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宋体" w:hAnsi="宋体" w:eastAsia="宋体"/>
          <w:b/>
          <w:sz w:val="44"/>
          <w:szCs w:val="44"/>
          <w:lang w:val="en"/>
        </w:rPr>
      </w:pPr>
      <w:r>
        <w:rPr>
          <w:rFonts w:hint="default" w:ascii="宋体" w:hAnsi="宋体" w:eastAsia="宋体"/>
          <w:b/>
          <w:sz w:val="44"/>
          <w:szCs w:val="44"/>
          <w:lang w:val="en"/>
        </w:rPr>
        <w:t>附件2</w:t>
      </w:r>
      <w:bookmarkStart w:id="0" w:name="_GoBack"/>
      <w:bookmarkEnd w:id="0"/>
      <w:r>
        <w:rPr>
          <w:rFonts w:hint="default" w:ascii="宋体" w:hAnsi="宋体" w:eastAsia="宋体"/>
          <w:b/>
          <w:sz w:val="44"/>
          <w:szCs w:val="44"/>
          <w:lang w:val="e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b/>
          <w:sz w:val="44"/>
          <w:szCs w:val="44"/>
        </w:rPr>
      </w:pPr>
      <w:r>
        <w:rPr>
          <w:rFonts w:hint="eastAsia" w:ascii="宋体" w:hAnsi="宋体" w:eastAsia="宋体"/>
          <w:b/>
          <w:sz w:val="44"/>
          <w:szCs w:val="44"/>
          <w:lang w:val="en-US" w:eastAsia="zh-CN"/>
        </w:rPr>
        <w:t xml:space="preserve">    </w:t>
      </w:r>
      <w:r>
        <w:rPr>
          <w:rFonts w:hint="eastAsia" w:ascii="宋体" w:hAnsi="宋体" w:eastAsia="宋体"/>
          <w:b/>
          <w:sz w:val="44"/>
          <w:szCs w:val="44"/>
        </w:rPr>
        <w:t>《光明区危险边坡防治管理办法（征求意见稿）》起草说明</w:t>
      </w:r>
    </w:p>
    <w:p>
      <w:pPr>
        <w:rPr>
          <w:rFonts w:ascii="仿宋" w:hAnsi="仿宋" w:eastAsia="仿宋"/>
          <w:color w:val="FF0000"/>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根据《地质灾害防治条例》《深圳市地质灾害防治管理办法》《深圳市党政部门安全管理工作职责规定》（深办</w:t>
      </w:r>
      <w:r>
        <w:rPr>
          <w:rFonts w:hint="eastAsia" w:ascii="仿宋" w:hAnsi="仿宋" w:eastAsia="仿宋" w:cs="微软雅黑"/>
          <w:sz w:val="32"/>
          <w:szCs w:val="32"/>
        </w:rPr>
        <w:t>﹝</w:t>
      </w:r>
      <w:r>
        <w:rPr>
          <w:rFonts w:hint="eastAsia" w:ascii="仿宋" w:hAnsi="仿宋" w:eastAsia="仿宋"/>
          <w:sz w:val="32"/>
          <w:szCs w:val="32"/>
        </w:rPr>
        <w:t>2</w:t>
      </w:r>
      <w:r>
        <w:rPr>
          <w:rFonts w:ascii="仿宋" w:hAnsi="仿宋" w:eastAsia="仿宋"/>
          <w:sz w:val="32"/>
          <w:szCs w:val="32"/>
        </w:rPr>
        <w:t>0</w:t>
      </w:r>
      <w:r>
        <w:rPr>
          <w:rFonts w:hint="eastAsia" w:ascii="仿宋" w:hAnsi="仿宋" w:eastAsia="仿宋"/>
          <w:sz w:val="32"/>
          <w:szCs w:val="32"/>
        </w:rPr>
        <w:t>20</w:t>
      </w:r>
      <w:r>
        <w:rPr>
          <w:rFonts w:hint="eastAsia" w:ascii="仿宋" w:hAnsi="仿宋" w:eastAsia="仿宋" w:cs="微软雅黑"/>
          <w:sz w:val="32"/>
          <w:szCs w:val="32"/>
        </w:rPr>
        <w:t>﹞</w:t>
      </w:r>
      <w:r>
        <w:rPr>
          <w:rFonts w:hint="eastAsia" w:ascii="仿宋" w:hAnsi="仿宋" w:eastAsia="仿宋"/>
          <w:sz w:val="32"/>
          <w:szCs w:val="32"/>
        </w:rPr>
        <w:t>3号）等相关文件要求，结合我区实际，我局编制了《光明区危险边坡防治管理办法（</w:t>
      </w:r>
      <w:r>
        <w:rPr>
          <w:rFonts w:hint="eastAsia" w:ascii="仿宋" w:hAnsi="仿宋" w:eastAsia="仿宋"/>
          <w:sz w:val="32"/>
          <w:szCs w:val="32"/>
          <w:lang w:eastAsia="zh-CN"/>
        </w:rPr>
        <w:t>征求意见稿</w:t>
      </w:r>
      <w:r>
        <w:rPr>
          <w:rFonts w:hint="eastAsia" w:ascii="仿宋" w:hAnsi="仿宋" w:eastAsia="仿宋"/>
          <w:sz w:val="32"/>
          <w:szCs w:val="32"/>
        </w:rPr>
        <w:t>）》（以下简称《</w:t>
      </w:r>
      <w:r>
        <w:rPr>
          <w:rFonts w:hint="eastAsia" w:ascii="仿宋" w:hAnsi="仿宋" w:eastAsia="仿宋"/>
          <w:sz w:val="32"/>
          <w:szCs w:val="32"/>
          <w:lang w:eastAsia="zh-CN"/>
        </w:rPr>
        <w:t>边坡</w:t>
      </w:r>
      <w:r>
        <w:rPr>
          <w:rFonts w:hint="eastAsia" w:ascii="仿宋" w:hAnsi="仿宋" w:eastAsia="仿宋"/>
          <w:sz w:val="32"/>
          <w:szCs w:val="32"/>
        </w:rPr>
        <w:t>管理办法》）。现就</w:t>
      </w:r>
      <w:r>
        <w:rPr>
          <w:rFonts w:hint="eastAsia" w:ascii="仿宋" w:hAnsi="仿宋" w:eastAsia="仿宋"/>
          <w:sz w:val="32"/>
          <w:szCs w:val="32"/>
          <w:lang w:eastAsia="zh-CN"/>
        </w:rPr>
        <w:t>该办法</w:t>
      </w:r>
      <w:r>
        <w:rPr>
          <w:rFonts w:hint="eastAsia" w:ascii="仿宋" w:hAnsi="仿宋" w:eastAsia="仿宋"/>
          <w:sz w:val="32"/>
          <w:szCs w:val="32"/>
        </w:rPr>
        <w:t>有关情况说明如下：</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黑体" w:hAnsi="黑体" w:eastAsia="黑体"/>
          <w:sz w:val="32"/>
          <w:szCs w:val="32"/>
        </w:rPr>
      </w:pPr>
      <w:r>
        <w:rPr>
          <w:rFonts w:hint="eastAsia" w:ascii="黑体" w:hAnsi="黑体" w:eastAsia="黑体"/>
          <w:sz w:val="32"/>
          <w:szCs w:val="32"/>
        </w:rPr>
        <w:t>一、编制背景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近年来，在</w:t>
      </w:r>
      <w:r>
        <w:rPr>
          <w:rFonts w:hint="eastAsia" w:ascii="仿宋" w:hAnsi="仿宋" w:eastAsia="仿宋"/>
          <w:sz w:val="32"/>
          <w:szCs w:val="32"/>
          <w:lang w:eastAsia="zh-CN"/>
        </w:rPr>
        <w:t>市、</w:t>
      </w:r>
      <w:r>
        <w:rPr>
          <w:rFonts w:hint="eastAsia" w:ascii="仿宋" w:hAnsi="仿宋" w:eastAsia="仿宋"/>
          <w:sz w:val="32"/>
          <w:szCs w:val="32"/>
        </w:rPr>
        <w:t>区政府</w:t>
      </w:r>
      <w:r>
        <w:rPr>
          <w:rFonts w:hint="eastAsia" w:ascii="仿宋" w:hAnsi="仿宋" w:eastAsia="仿宋"/>
          <w:sz w:val="32"/>
          <w:szCs w:val="32"/>
          <w:lang w:eastAsia="zh-CN"/>
        </w:rPr>
        <w:t>领导</w:t>
      </w:r>
      <w:r>
        <w:rPr>
          <w:rFonts w:hint="eastAsia" w:ascii="仿宋" w:hAnsi="仿宋" w:eastAsia="仿宋"/>
          <w:sz w:val="32"/>
          <w:szCs w:val="32"/>
        </w:rPr>
        <w:t>的</w:t>
      </w:r>
      <w:r>
        <w:rPr>
          <w:rFonts w:hint="eastAsia" w:ascii="仿宋" w:hAnsi="仿宋" w:eastAsia="仿宋"/>
          <w:sz w:val="32"/>
          <w:szCs w:val="32"/>
          <w:lang w:eastAsia="zh-CN"/>
        </w:rPr>
        <w:t>高度重视和领导</w:t>
      </w:r>
      <w:r>
        <w:rPr>
          <w:rFonts w:hint="eastAsia" w:ascii="仿宋" w:hAnsi="仿宋" w:eastAsia="仿宋"/>
          <w:sz w:val="32"/>
          <w:szCs w:val="32"/>
        </w:rPr>
        <w:t>下，辖区内地质灾害和危险建筑边坡防治管理工作取得了明显的成效，</w:t>
      </w:r>
      <w:r>
        <w:rPr>
          <w:rFonts w:hint="eastAsia" w:ascii="仿宋" w:hAnsi="仿宋" w:eastAsia="仿宋"/>
          <w:sz w:val="32"/>
          <w:szCs w:val="32"/>
          <w:lang w:eastAsia="zh-CN"/>
        </w:rPr>
        <w:t>目前已完成辖区</w:t>
      </w:r>
      <w:r>
        <w:rPr>
          <w:rFonts w:hint="eastAsia" w:ascii="仿宋" w:hAnsi="仿宋" w:eastAsia="仿宋"/>
          <w:sz w:val="32"/>
          <w:szCs w:val="32"/>
          <w:lang w:val="en-US" w:eastAsia="zh-CN"/>
        </w:rPr>
        <w:t>411处危险边坡治理，在全市率先实现治理清零</w:t>
      </w:r>
      <w:r>
        <w:rPr>
          <w:rFonts w:hint="eastAsia" w:ascii="仿宋" w:hAnsi="仿宋" w:eastAsia="仿宋"/>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制定《</w:t>
      </w:r>
      <w:r>
        <w:rPr>
          <w:rFonts w:hint="eastAsia" w:ascii="仿宋" w:hAnsi="仿宋" w:eastAsia="仿宋"/>
          <w:sz w:val="32"/>
          <w:szCs w:val="32"/>
          <w:lang w:eastAsia="zh-CN"/>
        </w:rPr>
        <w:t>边坡</w:t>
      </w:r>
      <w:r>
        <w:rPr>
          <w:rFonts w:hint="eastAsia" w:ascii="仿宋" w:hAnsi="仿宋" w:eastAsia="仿宋"/>
          <w:sz w:val="32"/>
          <w:szCs w:val="32"/>
        </w:rPr>
        <w:t>管理办法》，是在辖区内各职能部门职责分工进一步明确和细化的基础上，逐步完善和优化危险边坡防治管理制度，为全面实现“纵向到底、横向到边”的管理框架，切实消除危险边坡安全隐患，保障人民群众生命财产安全，提升光明区的营商环境。</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hint="eastAsia" w:ascii="黑体" w:hAnsi="黑体" w:eastAsia="黑体"/>
          <w:sz w:val="32"/>
          <w:szCs w:val="32"/>
        </w:rPr>
      </w:pPr>
      <w:r>
        <w:rPr>
          <w:rFonts w:hint="eastAsia" w:ascii="黑体" w:hAnsi="黑体" w:eastAsia="黑体"/>
          <w:sz w:val="32"/>
          <w:szCs w:val="32"/>
        </w:rPr>
        <w:t>二、编制必要性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016</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光明区组建危险边坡防治管理领导小组办公室，在地质灾害防治管理相关文件要求的基础上突破创新，增加危险建筑边坡的防治管理工作，全面统筹和推进辖区内危险边坡防治管理工作，推进危险边坡防治工作的一体化管理，各项工作取得长足进展和显著成效。同时推动光明区危险边坡防治管理工作进入新的阶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一是管理重心转变。近年来，光明区危险边坡治理工程全面实施，现阶段已基本完成工程主体施工，基本消除危险边坡安全隐患，危险边坡的防治管理工作重心由原来的“预防为主”转变为“管养维护为主”，管理的思路、流程和技术手段需要明确和落实。</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二是管理职责明确。随着行业主管部门管理职能的进一步细化，光明区危险边坡包含的地质灾害隐患点和危险建筑边坡防治管理工作已明确分别由区规划和自然资源部门和区住建部门统筹，以及区建筑工务等部门和各街道办事处在危险边坡防治管理工作流程中的职责进一步明确，管理的职责分工需要固化和执行。</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三是增加核销工作流程。核销工作是光明区现阶段危险边坡防治管理工作的重要节点，也是管理流程中“预防为主”转变成“管养维护为主”的重要环节，需要在原规定文件的基础上增加此节点。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四是“高质量高颜值”新要求。危险边坡防治管理过程，需要充分依据光明区“高质量高颜值”工作实施方案，在工程治理阶段和管养维护阶段，全面嵌入工程质量监管和生态景观提升要求。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五是提升科技管理手段。危险边坡防治管理工作流程包括预防、应急、治理、核销和管养维护五个节点，且每个节点工作几乎覆盖辖区所有职能部门，每个部门管理条件和要求不同，直接影响管理工作流程档案的统一集成；部分工作节点涉及专业性强的技术要求，参与人员专业技术水平参差不齐，导致技术成果标准不统一等，需要增加信息平台开发及应用要求，确保危险边坡防治管理工作汇交档案的统一性和标准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综上条件，有必要根据国家、省市的有关立法，制定《</w:t>
      </w:r>
      <w:r>
        <w:rPr>
          <w:rFonts w:hint="eastAsia" w:ascii="仿宋" w:hAnsi="仿宋" w:eastAsia="仿宋"/>
          <w:sz w:val="32"/>
          <w:szCs w:val="32"/>
          <w:lang w:eastAsia="zh-CN"/>
        </w:rPr>
        <w:t>边坡</w:t>
      </w:r>
      <w:r>
        <w:rPr>
          <w:rFonts w:hint="eastAsia" w:ascii="仿宋" w:hAnsi="仿宋" w:eastAsia="仿宋"/>
          <w:sz w:val="32"/>
          <w:szCs w:val="32"/>
        </w:rPr>
        <w:t>管理办法》。</w:t>
      </w:r>
    </w:p>
    <w:p>
      <w:pPr>
        <w:keepNext w:val="0"/>
        <w:keepLines w:val="0"/>
        <w:pageBreakBefore w:val="0"/>
        <w:kinsoku/>
        <w:wordWrap/>
        <w:overflowPunct/>
        <w:topLinePunct w:val="0"/>
        <w:autoSpaceDE/>
        <w:autoSpaceDN/>
        <w:bidi w:val="0"/>
        <w:adjustRightInd/>
        <w:snapToGrid/>
        <w:spacing w:before="156" w:beforeLines="50" w:line="600" w:lineRule="exact"/>
        <w:ind w:firstLine="640" w:firstLineChars="200"/>
        <w:jc w:val="left"/>
        <w:textAlignment w:val="auto"/>
        <w:outlineLvl w:val="0"/>
        <w:rPr>
          <w:rFonts w:ascii="黑体" w:hAnsi="黑体" w:eastAsia="黑体"/>
          <w:sz w:val="32"/>
          <w:szCs w:val="32"/>
        </w:rPr>
      </w:pPr>
      <w:r>
        <w:rPr>
          <w:rFonts w:hint="eastAsia" w:ascii="黑体" w:hAnsi="黑体" w:eastAsia="黑体"/>
          <w:sz w:val="32"/>
          <w:szCs w:val="32"/>
        </w:rPr>
        <w:t>三、编制依据</w:t>
      </w:r>
    </w:p>
    <w:p>
      <w:pPr>
        <w:keepNext w:val="0"/>
        <w:keepLines w:val="0"/>
        <w:pageBreakBefore w:val="0"/>
        <w:kinsoku/>
        <w:wordWrap/>
        <w:overflowPunct/>
        <w:topLinePunct w:val="0"/>
        <w:autoSpaceDE/>
        <w:autoSpaceDN/>
        <w:bidi w:val="0"/>
        <w:adjustRightInd/>
        <w:snapToGrid/>
        <w:spacing w:before="156" w:beforeLines="50" w:line="600" w:lineRule="exact"/>
        <w:ind w:firstLine="640" w:firstLineChars="200"/>
        <w:textAlignment w:val="auto"/>
        <w:outlineLvl w:val="0"/>
        <w:rPr>
          <w:rFonts w:hint="eastAsia" w:ascii="黑体" w:hAnsi="黑体" w:eastAsia="黑体"/>
          <w:sz w:val="32"/>
          <w:szCs w:val="32"/>
        </w:rPr>
      </w:pPr>
      <w:r>
        <w:rPr>
          <w:rFonts w:hint="eastAsia" w:ascii="仿宋_GB2312" w:hAnsi="黑体" w:eastAsia="仿宋_GB2312"/>
          <w:sz w:val="32"/>
          <w:szCs w:val="32"/>
        </w:rPr>
        <w:t>在编制过程中，主要参考了以下依据：1.《地质灾害防治条例》；2.《广东省地质灾害隐患点特征认定和灾害分级标准》；</w:t>
      </w:r>
      <w:r>
        <w:rPr>
          <w:rFonts w:hint="eastAsia" w:ascii="仿宋_GB2312" w:hAnsi="黑体" w:eastAsia="仿宋_GB2312"/>
          <w:sz w:val="32"/>
          <w:szCs w:val="32"/>
          <w:lang w:val="en-US" w:eastAsia="zh-CN"/>
        </w:rPr>
        <w:t>3</w:t>
      </w:r>
      <w:r>
        <w:rPr>
          <w:rFonts w:hint="eastAsia" w:ascii="仿宋_GB2312" w:hAnsi="黑体" w:eastAsia="仿宋_GB2312"/>
          <w:sz w:val="32"/>
          <w:szCs w:val="32"/>
        </w:rPr>
        <w:t>.《广东省地质灾害危险性评估实施细则》；</w:t>
      </w:r>
      <w:r>
        <w:rPr>
          <w:rFonts w:hint="eastAsia" w:ascii="仿宋_GB2312" w:hAnsi="黑体" w:eastAsia="仿宋_GB2312"/>
          <w:sz w:val="32"/>
          <w:szCs w:val="32"/>
          <w:lang w:val="en-US" w:eastAsia="zh-CN"/>
        </w:rPr>
        <w:t>4</w:t>
      </w:r>
      <w:r>
        <w:rPr>
          <w:rFonts w:hint="eastAsia" w:ascii="仿宋_GB2312" w:hAnsi="黑体" w:eastAsia="仿宋_GB2312"/>
          <w:sz w:val="32"/>
          <w:szCs w:val="32"/>
        </w:rPr>
        <w:t>.《深圳市地质灾害防治管理办法》；</w:t>
      </w:r>
      <w:r>
        <w:rPr>
          <w:rFonts w:hint="eastAsia" w:ascii="仿宋_GB2312" w:hAnsi="黑体" w:eastAsia="仿宋_GB2312"/>
          <w:sz w:val="32"/>
          <w:szCs w:val="32"/>
          <w:lang w:val="en-US" w:eastAsia="zh-CN"/>
        </w:rPr>
        <w:t>5</w:t>
      </w:r>
      <w:r>
        <w:rPr>
          <w:rFonts w:hint="eastAsia" w:ascii="仿宋_GB2312" w:hAnsi="黑体" w:eastAsia="仿宋_GB2312"/>
          <w:sz w:val="32"/>
          <w:szCs w:val="32"/>
        </w:rPr>
        <w:t>.《深圳市党政部门安全管理工作职责规定》；</w:t>
      </w:r>
      <w:r>
        <w:rPr>
          <w:rFonts w:hint="eastAsia" w:ascii="仿宋_GB2312" w:hAnsi="黑体" w:eastAsia="仿宋_GB2312"/>
          <w:sz w:val="32"/>
          <w:szCs w:val="32"/>
          <w:lang w:val="en-US" w:eastAsia="zh-CN"/>
        </w:rPr>
        <w:t>6</w:t>
      </w:r>
      <w:r>
        <w:rPr>
          <w:rFonts w:hint="eastAsia" w:ascii="仿宋_GB2312" w:hAnsi="黑体" w:eastAsia="仿宋_GB2312"/>
          <w:sz w:val="32"/>
          <w:szCs w:val="32"/>
        </w:rPr>
        <w:t>.《深圳市贯彻落实国务院关于加强地质灾害防治工作决定重点工作分工方案》；</w:t>
      </w:r>
      <w:r>
        <w:rPr>
          <w:rFonts w:hint="eastAsia" w:ascii="仿宋_GB2312" w:hAnsi="黑体" w:eastAsia="仿宋_GB2312"/>
          <w:sz w:val="32"/>
          <w:szCs w:val="32"/>
          <w:lang w:val="en-US" w:eastAsia="zh-CN"/>
        </w:rPr>
        <w:t>7</w:t>
      </w:r>
      <w:r>
        <w:rPr>
          <w:rFonts w:hint="eastAsia" w:ascii="仿宋_GB2312" w:hAnsi="黑体" w:eastAsia="仿宋_GB2312"/>
          <w:sz w:val="32"/>
          <w:szCs w:val="32"/>
        </w:rPr>
        <w:t>.《建筑边坡工程技术规范》；</w:t>
      </w:r>
      <w:r>
        <w:rPr>
          <w:rFonts w:hint="eastAsia" w:ascii="仿宋_GB2312" w:hAnsi="黑体" w:eastAsia="仿宋_GB2312"/>
          <w:sz w:val="32"/>
          <w:szCs w:val="32"/>
          <w:lang w:val="en-US" w:eastAsia="zh-CN"/>
        </w:rPr>
        <w:t>8</w:t>
      </w:r>
      <w:r>
        <w:rPr>
          <w:rFonts w:hint="eastAsia" w:ascii="仿宋_GB2312" w:hAnsi="黑体" w:eastAsia="仿宋_GB2312"/>
          <w:sz w:val="32"/>
          <w:szCs w:val="32"/>
        </w:rPr>
        <w:t>.《建筑边坡工程鉴定与加固技术规范》</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编制过程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自2</w:t>
      </w:r>
      <w:r>
        <w:rPr>
          <w:rFonts w:ascii="仿宋" w:hAnsi="仿宋" w:eastAsia="仿宋"/>
          <w:sz w:val="32"/>
          <w:szCs w:val="32"/>
        </w:rPr>
        <w:t>022</w:t>
      </w:r>
      <w:r>
        <w:rPr>
          <w:rFonts w:hint="eastAsia" w:ascii="仿宋" w:hAnsi="仿宋" w:eastAsia="仿宋"/>
          <w:sz w:val="32"/>
          <w:szCs w:val="32"/>
        </w:rPr>
        <w:t>年2月1</w:t>
      </w:r>
      <w:r>
        <w:rPr>
          <w:rFonts w:ascii="仿宋" w:hAnsi="仿宋" w:eastAsia="仿宋"/>
          <w:sz w:val="32"/>
          <w:szCs w:val="32"/>
        </w:rPr>
        <w:t>8</w:t>
      </w:r>
      <w:r>
        <w:rPr>
          <w:rFonts w:hint="eastAsia" w:ascii="仿宋" w:hAnsi="仿宋" w:eastAsia="仿宋"/>
          <w:sz w:val="32"/>
          <w:szCs w:val="32"/>
        </w:rPr>
        <w:t>日委托深圳市自然资源和不动产评估发展研究中心（深圳市地质环境监测中心）以来，收集了《地质灾害防治条例》《深圳市地质灾害防治管理办法》《深圳市党政部门安全管理工作职责规定》（深办</w:t>
      </w:r>
      <w:r>
        <w:rPr>
          <w:rFonts w:hint="eastAsia" w:ascii="仿宋" w:hAnsi="仿宋" w:eastAsia="仿宋" w:cs="微软雅黑"/>
          <w:sz w:val="32"/>
          <w:szCs w:val="32"/>
        </w:rPr>
        <w:t>﹝</w:t>
      </w:r>
      <w:r>
        <w:rPr>
          <w:rFonts w:hint="eastAsia" w:ascii="仿宋" w:hAnsi="仿宋" w:eastAsia="仿宋"/>
          <w:sz w:val="32"/>
          <w:szCs w:val="32"/>
        </w:rPr>
        <w:t>2</w:t>
      </w:r>
      <w:r>
        <w:rPr>
          <w:rFonts w:ascii="仿宋" w:hAnsi="仿宋" w:eastAsia="仿宋"/>
          <w:sz w:val="32"/>
          <w:szCs w:val="32"/>
        </w:rPr>
        <w:t>0</w:t>
      </w:r>
      <w:r>
        <w:rPr>
          <w:rFonts w:hint="eastAsia" w:ascii="仿宋" w:hAnsi="仿宋" w:eastAsia="仿宋"/>
          <w:sz w:val="32"/>
          <w:szCs w:val="32"/>
        </w:rPr>
        <w:t>20</w:t>
      </w:r>
      <w:r>
        <w:rPr>
          <w:rFonts w:hint="eastAsia" w:ascii="仿宋" w:hAnsi="仿宋" w:eastAsia="仿宋" w:cs="微软雅黑"/>
          <w:sz w:val="32"/>
          <w:szCs w:val="32"/>
        </w:rPr>
        <w:t>﹞</w:t>
      </w:r>
      <w:r>
        <w:rPr>
          <w:rFonts w:hint="eastAsia" w:ascii="仿宋" w:hAnsi="仿宋" w:eastAsia="仿宋"/>
          <w:sz w:val="32"/>
          <w:szCs w:val="32"/>
        </w:rPr>
        <w:t>3号）等相关文件，充分参考光明区印发的《深圳市光明新区地质灾害治理暂行办法（2</w:t>
      </w:r>
      <w:r>
        <w:rPr>
          <w:rFonts w:ascii="仿宋" w:hAnsi="仿宋" w:eastAsia="仿宋"/>
          <w:sz w:val="32"/>
          <w:szCs w:val="32"/>
        </w:rPr>
        <w:t>012</w:t>
      </w:r>
      <w:r>
        <w:rPr>
          <w:rFonts w:hint="eastAsia" w:ascii="仿宋" w:hAnsi="仿宋" w:eastAsia="仿宋"/>
          <w:sz w:val="32"/>
          <w:szCs w:val="32"/>
        </w:rPr>
        <w:t>年8月3日）》《光明区地质灾害（隐患）和危险建筑边坡维护管理工作指南》《光明区危险边皮治理及设计指南》等系列文件，编制了《</w:t>
      </w:r>
      <w:r>
        <w:rPr>
          <w:rFonts w:hint="eastAsia" w:ascii="仿宋" w:hAnsi="仿宋" w:eastAsia="仿宋"/>
          <w:sz w:val="32"/>
          <w:szCs w:val="32"/>
          <w:lang w:eastAsia="zh-CN"/>
        </w:rPr>
        <w:t>边坡</w:t>
      </w:r>
      <w:r>
        <w:rPr>
          <w:rFonts w:hint="eastAsia" w:ascii="仿宋" w:hAnsi="仿宋" w:eastAsia="仿宋"/>
          <w:sz w:val="32"/>
          <w:szCs w:val="32"/>
        </w:rPr>
        <w:t>管理办法》。</w:t>
      </w:r>
      <w:r>
        <w:rPr>
          <w:rFonts w:hint="eastAsia" w:ascii="仿宋" w:hAnsi="仿宋" w:eastAsia="仿宋"/>
          <w:sz w:val="32"/>
          <w:szCs w:val="32"/>
          <w:lang w:eastAsia="zh-CN"/>
        </w:rPr>
        <w:t>分别</w:t>
      </w:r>
      <w:r>
        <w:rPr>
          <w:rFonts w:hint="eastAsia" w:ascii="仿宋" w:hAnsi="仿宋" w:eastAsia="仿宋"/>
          <w:sz w:val="32"/>
          <w:szCs w:val="32"/>
        </w:rPr>
        <w:t>于</w:t>
      </w:r>
      <w:r>
        <w:rPr>
          <w:rFonts w:ascii="仿宋" w:hAnsi="仿宋" w:eastAsia="仿宋" w:cs="仿宋"/>
          <w:color w:val="000000"/>
          <w:kern w:val="0"/>
          <w:sz w:val="33"/>
          <w:szCs w:val="33"/>
          <w:lang w:bidi="ar"/>
        </w:rPr>
        <w:t>2022年3月17日</w:t>
      </w:r>
      <w:r>
        <w:rPr>
          <w:rFonts w:hint="eastAsia" w:ascii="仿宋" w:hAnsi="仿宋" w:eastAsia="仿宋"/>
          <w:sz w:val="32"/>
          <w:szCs w:val="32"/>
        </w:rPr>
        <w:t>和 2022年 4月7日</w:t>
      </w:r>
      <w:r>
        <w:rPr>
          <w:rFonts w:hint="eastAsia" w:ascii="仿宋" w:hAnsi="仿宋" w:eastAsia="仿宋"/>
          <w:sz w:val="32"/>
          <w:szCs w:val="32"/>
          <w:lang w:eastAsia="zh-CN"/>
        </w:rPr>
        <w:t>征求市</w:t>
      </w:r>
      <w:r>
        <w:rPr>
          <w:rFonts w:hint="eastAsia" w:ascii="仿宋" w:hAnsi="仿宋" w:eastAsia="仿宋"/>
          <w:sz w:val="32"/>
          <w:szCs w:val="32"/>
        </w:rPr>
        <w:t>规划和自然资源局</w:t>
      </w:r>
      <w:r>
        <w:rPr>
          <w:rFonts w:hint="eastAsia" w:ascii="仿宋" w:hAnsi="仿宋" w:eastAsia="仿宋"/>
          <w:sz w:val="32"/>
          <w:szCs w:val="32"/>
          <w:lang w:eastAsia="zh-CN"/>
        </w:rPr>
        <w:t>光明管理局各科室</w:t>
      </w:r>
      <w:r>
        <w:rPr>
          <w:rFonts w:hint="eastAsia" w:ascii="仿宋" w:hAnsi="仿宋" w:eastAsia="仿宋"/>
          <w:sz w:val="32"/>
          <w:szCs w:val="32"/>
        </w:rPr>
        <w:t>意见，共收到反馈意见</w:t>
      </w:r>
      <w:r>
        <w:rPr>
          <w:rFonts w:hint="eastAsia" w:ascii="仿宋" w:hAnsi="仿宋" w:eastAsia="仿宋"/>
          <w:sz w:val="32"/>
          <w:szCs w:val="32"/>
          <w:lang w:val="en-US" w:eastAsia="zh-CN"/>
        </w:rPr>
        <w:t>16</w:t>
      </w:r>
      <w:r>
        <w:rPr>
          <w:rFonts w:hint="eastAsia" w:ascii="仿宋" w:hAnsi="仿宋" w:eastAsia="仿宋"/>
          <w:sz w:val="32"/>
          <w:szCs w:val="32"/>
        </w:rPr>
        <w:t>条，其中采纳</w:t>
      </w:r>
      <w:r>
        <w:rPr>
          <w:rFonts w:hint="eastAsia" w:ascii="仿宋" w:hAnsi="仿宋" w:eastAsia="仿宋"/>
          <w:sz w:val="32"/>
          <w:szCs w:val="32"/>
          <w:lang w:val="en-US" w:eastAsia="zh-CN"/>
        </w:rPr>
        <w:t>12</w:t>
      </w:r>
      <w:r>
        <w:rPr>
          <w:rFonts w:hint="eastAsia" w:ascii="仿宋" w:hAnsi="仿宋" w:eastAsia="仿宋"/>
          <w:sz w:val="32"/>
          <w:szCs w:val="32"/>
        </w:rPr>
        <w:t>条、</w:t>
      </w:r>
      <w:r>
        <w:rPr>
          <w:rFonts w:hint="eastAsia" w:ascii="仿宋" w:hAnsi="仿宋" w:eastAsia="仿宋"/>
          <w:sz w:val="32"/>
          <w:szCs w:val="32"/>
          <w:lang w:eastAsia="zh-CN"/>
        </w:rPr>
        <w:t>部分采纳</w:t>
      </w:r>
      <w:r>
        <w:rPr>
          <w:rFonts w:hint="eastAsia" w:ascii="仿宋" w:hAnsi="仿宋" w:eastAsia="仿宋"/>
          <w:sz w:val="32"/>
          <w:szCs w:val="32"/>
          <w:lang w:val="en-US" w:eastAsia="zh-CN"/>
        </w:rPr>
        <w:t>1条</w:t>
      </w:r>
      <w:r>
        <w:rPr>
          <w:rFonts w:hint="eastAsia" w:ascii="仿宋" w:hAnsi="仿宋" w:eastAsia="仿宋"/>
          <w:sz w:val="32"/>
          <w:szCs w:val="32"/>
        </w:rPr>
        <w:t>和解释</w:t>
      </w:r>
      <w:r>
        <w:rPr>
          <w:rFonts w:hint="eastAsia" w:ascii="仿宋" w:hAnsi="仿宋" w:eastAsia="仿宋"/>
          <w:sz w:val="32"/>
          <w:szCs w:val="32"/>
          <w:lang w:val="en-US" w:eastAsia="zh-CN"/>
        </w:rPr>
        <w:t>3</w:t>
      </w:r>
      <w:r>
        <w:rPr>
          <w:rFonts w:hint="eastAsia" w:ascii="仿宋" w:hAnsi="仿宋" w:eastAsia="仿宋"/>
          <w:sz w:val="32"/>
          <w:szCs w:val="32"/>
        </w:rPr>
        <w:t>条。2</w:t>
      </w:r>
      <w:r>
        <w:rPr>
          <w:rFonts w:ascii="仿宋" w:hAnsi="仿宋" w:eastAsia="仿宋"/>
          <w:sz w:val="32"/>
          <w:szCs w:val="32"/>
        </w:rPr>
        <w:t>022</w:t>
      </w:r>
      <w:r>
        <w:rPr>
          <w:rFonts w:hint="eastAsia" w:ascii="仿宋" w:hAnsi="仿宋" w:eastAsia="仿宋"/>
          <w:sz w:val="32"/>
          <w:szCs w:val="32"/>
        </w:rPr>
        <w:t>年4月7日，</w:t>
      </w:r>
      <w:r>
        <w:rPr>
          <w:rFonts w:hint="eastAsia" w:ascii="仿宋" w:hAnsi="仿宋" w:eastAsia="仿宋"/>
          <w:sz w:val="32"/>
          <w:szCs w:val="32"/>
          <w:lang w:eastAsia="zh-CN"/>
        </w:rPr>
        <w:t>市</w:t>
      </w:r>
      <w:r>
        <w:rPr>
          <w:rFonts w:hint="eastAsia" w:ascii="仿宋" w:hAnsi="仿宋" w:eastAsia="仿宋"/>
          <w:sz w:val="32"/>
          <w:szCs w:val="32"/>
        </w:rPr>
        <w:t>规划和自然资源局</w:t>
      </w:r>
      <w:r>
        <w:rPr>
          <w:rFonts w:hint="eastAsia" w:ascii="仿宋" w:hAnsi="仿宋" w:eastAsia="仿宋"/>
          <w:sz w:val="32"/>
          <w:szCs w:val="32"/>
          <w:lang w:eastAsia="zh-CN"/>
        </w:rPr>
        <w:t>光明管理局</w:t>
      </w:r>
      <w:r>
        <w:rPr>
          <w:rFonts w:hint="eastAsia" w:ascii="仿宋" w:hAnsi="仿宋" w:eastAsia="仿宋"/>
          <w:sz w:val="32"/>
          <w:szCs w:val="32"/>
        </w:rPr>
        <w:t>生态地环科</w:t>
      </w:r>
      <w:r>
        <w:rPr>
          <w:rFonts w:hint="eastAsia" w:ascii="仿宋" w:hAnsi="仿宋" w:eastAsia="仿宋"/>
          <w:sz w:val="32"/>
          <w:szCs w:val="32"/>
          <w:lang w:eastAsia="zh-CN"/>
        </w:rPr>
        <w:t>负责人</w:t>
      </w:r>
      <w:r>
        <w:rPr>
          <w:rFonts w:hint="eastAsia" w:ascii="仿宋" w:hAnsi="仿宋" w:eastAsia="仿宋"/>
          <w:sz w:val="32"/>
          <w:szCs w:val="32"/>
        </w:rPr>
        <w:t>主持局内各科室协调会，会上法制科、建筑设计科分别提出意见与建议，经讨论研究，全部采纳，</w:t>
      </w:r>
      <w:r>
        <w:rPr>
          <w:rFonts w:hint="eastAsia" w:ascii="仿宋" w:hAnsi="仿宋" w:eastAsia="仿宋"/>
          <w:sz w:val="32"/>
          <w:szCs w:val="32"/>
          <w:lang w:eastAsia="zh-CN"/>
        </w:rPr>
        <w:t>进一步</w:t>
      </w:r>
      <w:r>
        <w:rPr>
          <w:rFonts w:hint="eastAsia" w:ascii="仿宋" w:hAnsi="仿宋" w:eastAsia="仿宋"/>
          <w:sz w:val="32"/>
          <w:szCs w:val="32"/>
        </w:rPr>
        <w:t>修改完善《</w:t>
      </w:r>
      <w:r>
        <w:rPr>
          <w:rFonts w:hint="eastAsia" w:ascii="仿宋" w:hAnsi="仿宋" w:eastAsia="仿宋"/>
          <w:sz w:val="32"/>
          <w:szCs w:val="32"/>
          <w:lang w:eastAsia="zh-CN"/>
        </w:rPr>
        <w:t>边坡</w:t>
      </w:r>
      <w:r>
        <w:rPr>
          <w:rFonts w:hint="eastAsia" w:ascii="仿宋" w:hAnsi="仿宋" w:eastAsia="仿宋"/>
          <w:sz w:val="32"/>
          <w:szCs w:val="32"/>
        </w:rPr>
        <w:t>管理办法》。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rPr>
        <w:t>2022年9月27日，区委常委、副区长姚高科主持召开光明区危险边坡防治工作研究会</w:t>
      </w:r>
      <w:r>
        <w:rPr>
          <w:rFonts w:hint="eastAsia" w:ascii="仿宋" w:hAnsi="仿宋" w:eastAsia="仿宋"/>
          <w:sz w:val="32"/>
          <w:szCs w:val="32"/>
          <w:lang w:eastAsia="zh-CN"/>
        </w:rPr>
        <w:t>，会上对危险边坡层级及各单位职责分工进行了明确安排。根据该会议纪要内容，修改调整《边坡管理办法》，并于</w:t>
      </w:r>
      <w:r>
        <w:rPr>
          <w:rFonts w:hint="eastAsia" w:ascii="仿宋" w:hAnsi="仿宋" w:eastAsia="仿宋"/>
          <w:sz w:val="32"/>
          <w:szCs w:val="32"/>
          <w:lang w:val="en-US" w:eastAsia="zh-CN"/>
        </w:rPr>
        <w:t>12月1日再次征求</w:t>
      </w:r>
      <w:r>
        <w:rPr>
          <w:rFonts w:hint="eastAsia" w:ascii="仿宋" w:hAnsi="仿宋" w:eastAsia="仿宋"/>
          <w:sz w:val="32"/>
          <w:szCs w:val="32"/>
          <w:lang w:eastAsia="zh-CN"/>
        </w:rPr>
        <w:t>市</w:t>
      </w:r>
      <w:r>
        <w:rPr>
          <w:rFonts w:hint="eastAsia" w:ascii="仿宋" w:hAnsi="仿宋" w:eastAsia="仿宋"/>
          <w:sz w:val="32"/>
          <w:szCs w:val="32"/>
        </w:rPr>
        <w:t>规划和自然资源局</w:t>
      </w:r>
      <w:r>
        <w:rPr>
          <w:rFonts w:hint="eastAsia" w:ascii="仿宋" w:hAnsi="仿宋" w:eastAsia="仿宋"/>
          <w:sz w:val="32"/>
          <w:szCs w:val="32"/>
          <w:lang w:eastAsia="zh-CN"/>
        </w:rPr>
        <w:t>光明管理局各科室意见。</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、主要内容</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楷体" w:hAnsi="楷体" w:eastAsia="楷体"/>
          <w:sz w:val="32"/>
          <w:szCs w:val="32"/>
        </w:rPr>
      </w:pPr>
      <w:r>
        <w:rPr>
          <w:rFonts w:hint="eastAsia" w:ascii="楷体" w:hAnsi="楷体" w:eastAsia="楷体"/>
          <w:sz w:val="32"/>
          <w:szCs w:val="32"/>
        </w:rPr>
        <w:t>（一）关于危险边坡定义</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仿宋" w:hAnsi="仿宋" w:eastAsia="仿宋"/>
          <w:sz w:val="32"/>
          <w:szCs w:val="32"/>
        </w:rPr>
      </w:pPr>
      <w:r>
        <w:rPr>
          <w:rFonts w:hint="eastAsia" w:ascii="仿宋" w:hAnsi="仿宋" w:eastAsia="仿宋"/>
          <w:sz w:val="32"/>
          <w:szCs w:val="32"/>
        </w:rPr>
        <w:t>危险边坡是指较不稳定（稳定系数小于1.05）且存在安全隐患的边坡。边坡是辖区内所有边坡的统称，在此基础上，根据《</w:t>
      </w:r>
      <w:r>
        <w:rPr>
          <w:rFonts w:ascii="仿宋" w:hAnsi="仿宋" w:eastAsia="仿宋"/>
          <w:sz w:val="32"/>
          <w:szCs w:val="32"/>
        </w:rPr>
        <w:t>建筑边坡工程技术规范</w:t>
      </w:r>
      <w:r>
        <w:rPr>
          <w:rFonts w:hint="eastAsia" w:ascii="仿宋" w:hAnsi="仿宋" w:eastAsia="仿宋"/>
          <w:sz w:val="32"/>
          <w:szCs w:val="32"/>
        </w:rPr>
        <w:t>》（</w:t>
      </w:r>
      <w:r>
        <w:rPr>
          <w:rFonts w:ascii="仿宋" w:hAnsi="仿宋" w:eastAsia="仿宋"/>
          <w:sz w:val="32"/>
          <w:szCs w:val="32"/>
        </w:rPr>
        <w:t>GB50330-2013</w:t>
      </w:r>
      <w:r>
        <w:rPr>
          <w:rFonts w:hint="eastAsia" w:ascii="仿宋" w:hAnsi="仿宋" w:eastAsia="仿宋"/>
          <w:sz w:val="32"/>
          <w:szCs w:val="32"/>
        </w:rPr>
        <w:t>）表5</w:t>
      </w:r>
      <w:r>
        <w:rPr>
          <w:rFonts w:ascii="仿宋" w:hAnsi="仿宋" w:eastAsia="仿宋"/>
          <w:sz w:val="32"/>
          <w:szCs w:val="32"/>
        </w:rPr>
        <w:t>.3.1</w:t>
      </w:r>
      <w:r>
        <w:rPr>
          <w:rFonts w:hint="eastAsia" w:ascii="仿宋" w:hAnsi="仿宋" w:eastAsia="仿宋"/>
          <w:sz w:val="32"/>
          <w:szCs w:val="32"/>
        </w:rPr>
        <w:t>，边坡稳定性系数小于1</w:t>
      </w:r>
      <w:r>
        <w:rPr>
          <w:rFonts w:ascii="仿宋" w:hAnsi="仿宋" w:eastAsia="仿宋"/>
          <w:sz w:val="32"/>
          <w:szCs w:val="32"/>
        </w:rPr>
        <w:t>.0</w:t>
      </w:r>
      <w:r>
        <w:rPr>
          <w:rFonts w:hint="eastAsia" w:ascii="仿宋" w:hAnsi="仿宋" w:eastAsia="仿宋"/>
          <w:sz w:val="32"/>
          <w:szCs w:val="32"/>
          <w:lang w:val="en-US" w:eastAsia="zh-CN"/>
        </w:rPr>
        <w:t>5</w:t>
      </w:r>
      <w:r>
        <w:rPr>
          <w:rFonts w:hint="eastAsia" w:ascii="仿宋" w:hAnsi="仿宋" w:eastAsia="仿宋"/>
          <w:sz w:val="32"/>
          <w:szCs w:val="32"/>
        </w:rPr>
        <w:t>时，边坡处于</w:t>
      </w:r>
      <w:r>
        <w:rPr>
          <w:rFonts w:hint="eastAsia" w:ascii="仿宋" w:hAnsi="仿宋" w:eastAsia="仿宋"/>
          <w:sz w:val="32"/>
          <w:szCs w:val="32"/>
          <w:lang w:eastAsia="zh-CN"/>
        </w:rPr>
        <w:t>较</w:t>
      </w:r>
      <w:r>
        <w:rPr>
          <w:rFonts w:hint="eastAsia" w:ascii="仿宋" w:hAnsi="仿宋" w:eastAsia="仿宋"/>
          <w:sz w:val="32"/>
          <w:szCs w:val="32"/>
        </w:rPr>
        <w:t>不稳定状态；如边坡影响范围内存在人、财、物等威胁对象的边坡，称为危险边坡，包括斜坡类地质灾害隐患点和危险建筑边坡。</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二</w:t>
      </w:r>
      <w:r>
        <w:rPr>
          <w:rFonts w:hint="eastAsia" w:ascii="楷体" w:hAnsi="楷体" w:eastAsia="楷体"/>
          <w:sz w:val="32"/>
          <w:szCs w:val="32"/>
        </w:rPr>
        <w:t>）关于危险边坡防治内容</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仿宋" w:hAnsi="仿宋" w:eastAsia="仿宋"/>
          <w:sz w:val="32"/>
          <w:szCs w:val="32"/>
        </w:rPr>
      </w:pPr>
      <w:r>
        <w:rPr>
          <w:rFonts w:hint="eastAsia" w:ascii="仿宋" w:hAnsi="仿宋" w:eastAsia="仿宋"/>
          <w:sz w:val="32"/>
          <w:szCs w:val="32"/>
        </w:rPr>
        <w:t>根据《市规划和自然资源局地质灾害隐患点调查、责任认定和核销工作规程（修订版）》（深规划资源发〔2</w:t>
      </w:r>
      <w:r>
        <w:rPr>
          <w:rFonts w:ascii="仿宋" w:hAnsi="仿宋" w:eastAsia="仿宋"/>
          <w:sz w:val="32"/>
          <w:szCs w:val="32"/>
        </w:rPr>
        <w:t>021</w:t>
      </w:r>
      <w:r>
        <w:rPr>
          <w:rFonts w:hint="eastAsia" w:ascii="仿宋" w:hAnsi="仿宋" w:eastAsia="仿宋"/>
          <w:sz w:val="32"/>
          <w:szCs w:val="32"/>
        </w:rPr>
        <w:t>〕2</w:t>
      </w:r>
      <w:r>
        <w:rPr>
          <w:rFonts w:ascii="仿宋" w:hAnsi="仿宋" w:eastAsia="仿宋"/>
          <w:sz w:val="32"/>
          <w:szCs w:val="32"/>
        </w:rPr>
        <w:t>3</w:t>
      </w:r>
      <w:r>
        <w:rPr>
          <w:rFonts w:hint="eastAsia" w:ascii="仿宋" w:hAnsi="仿宋" w:eastAsia="仿宋"/>
          <w:sz w:val="32"/>
          <w:szCs w:val="32"/>
        </w:rPr>
        <w:t>号）通知的要求，结合光明区近年来开展大规模危险边坡综合整治的实际，需对在册危险边坡进行核销，故在《深圳市地质灾害防治管理办法》规定的预防、应急、治理和工程维护的基础上，增加了核销</w:t>
      </w:r>
      <w:r>
        <w:rPr>
          <w:rFonts w:hint="eastAsia" w:ascii="仿宋" w:hAnsi="仿宋" w:eastAsia="仿宋"/>
          <w:sz w:val="32"/>
          <w:szCs w:val="32"/>
          <w:lang w:eastAsia="zh-CN"/>
        </w:rPr>
        <w:t>相关</w:t>
      </w:r>
      <w:r>
        <w:rPr>
          <w:rFonts w:hint="eastAsia" w:ascii="仿宋" w:hAnsi="仿宋" w:eastAsia="仿宋"/>
          <w:sz w:val="32"/>
          <w:szCs w:val="32"/>
        </w:rPr>
        <w:t>内容。</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）关于防治管理系统数据更新</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仿宋" w:hAnsi="仿宋" w:eastAsia="仿宋"/>
          <w:sz w:val="32"/>
          <w:szCs w:val="32"/>
        </w:rPr>
      </w:pPr>
      <w:r>
        <w:rPr>
          <w:rFonts w:hint="eastAsia" w:ascii="仿宋" w:hAnsi="仿宋" w:eastAsia="仿宋"/>
          <w:sz w:val="32"/>
          <w:szCs w:val="32"/>
        </w:rPr>
        <w:t>根据新形势和新要求，光明区建成首个县区级地质灾害防治管理信息平台，并于2</w:t>
      </w:r>
      <w:r>
        <w:rPr>
          <w:rFonts w:ascii="仿宋" w:hAnsi="仿宋" w:eastAsia="仿宋"/>
          <w:sz w:val="32"/>
          <w:szCs w:val="32"/>
        </w:rPr>
        <w:t>021</w:t>
      </w:r>
      <w:r>
        <w:rPr>
          <w:rFonts w:hint="eastAsia" w:ascii="仿宋" w:hAnsi="仿宋" w:eastAsia="仿宋"/>
          <w:sz w:val="32"/>
          <w:szCs w:val="32"/>
        </w:rPr>
        <w:t>年3月份正式投入运营。《</w:t>
      </w:r>
      <w:r>
        <w:rPr>
          <w:rFonts w:hint="eastAsia" w:ascii="仿宋" w:hAnsi="仿宋" w:eastAsia="仿宋"/>
          <w:sz w:val="32"/>
          <w:szCs w:val="32"/>
          <w:lang w:eastAsia="zh-CN"/>
        </w:rPr>
        <w:t>边坡</w:t>
      </w:r>
      <w:r>
        <w:rPr>
          <w:rFonts w:hint="eastAsia" w:ascii="仿宋" w:hAnsi="仿宋" w:eastAsia="仿宋"/>
          <w:sz w:val="32"/>
          <w:szCs w:val="32"/>
        </w:rPr>
        <w:t>管理办法》在常规管理制度的基础上，增加信息化等科技手段管理要求，进一步规范管理边坡档案，逐步实现边坡管理“一</w:t>
      </w:r>
      <w:r>
        <w:rPr>
          <w:rFonts w:hint="default" w:ascii="仿宋" w:hAnsi="仿宋" w:eastAsia="仿宋"/>
          <w:sz w:val="32"/>
          <w:szCs w:val="32"/>
          <w:lang w:val="en-US"/>
        </w:rPr>
        <w:t>坡</w:t>
      </w:r>
      <w:r>
        <w:rPr>
          <w:rFonts w:hint="eastAsia" w:ascii="仿宋" w:hAnsi="仿宋" w:eastAsia="仿宋"/>
          <w:sz w:val="32"/>
          <w:szCs w:val="32"/>
        </w:rPr>
        <w:t>一档”。</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四</w:t>
      </w:r>
      <w:r>
        <w:rPr>
          <w:rFonts w:hint="eastAsia" w:ascii="楷体" w:hAnsi="楷体" w:eastAsia="楷体"/>
          <w:sz w:val="32"/>
          <w:szCs w:val="32"/>
        </w:rPr>
        <w:t>）关于职责分工</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hint="eastAsia" w:ascii="仿宋" w:hAnsi="仿宋" w:eastAsia="仿宋"/>
          <w:sz w:val="32"/>
          <w:szCs w:val="32"/>
        </w:rPr>
      </w:pPr>
      <w:r>
        <w:rPr>
          <w:rFonts w:hint="eastAsia" w:ascii="仿宋" w:hAnsi="仿宋" w:eastAsia="仿宋"/>
          <w:sz w:val="32"/>
          <w:szCs w:val="32"/>
          <w:lang w:eastAsia="zh-CN"/>
        </w:rPr>
        <w:t>根据</w:t>
      </w:r>
      <w:r>
        <w:rPr>
          <w:rFonts w:hint="eastAsia" w:ascii="仿宋" w:hAnsi="仿宋" w:eastAsia="仿宋"/>
          <w:sz w:val="32"/>
          <w:szCs w:val="32"/>
        </w:rPr>
        <w:t>区委常委、副区长姚高科主持召开</w:t>
      </w:r>
      <w:r>
        <w:rPr>
          <w:rFonts w:hint="eastAsia" w:ascii="仿宋" w:hAnsi="仿宋" w:eastAsia="仿宋"/>
          <w:sz w:val="32"/>
          <w:szCs w:val="32"/>
          <w:lang w:eastAsia="zh-CN"/>
        </w:rPr>
        <w:t>的</w:t>
      </w:r>
      <w:r>
        <w:rPr>
          <w:rFonts w:hint="eastAsia" w:ascii="仿宋" w:hAnsi="仿宋" w:eastAsia="仿宋"/>
          <w:sz w:val="32"/>
          <w:szCs w:val="32"/>
        </w:rPr>
        <w:t>光明区危险边坡防治工作研究会</w:t>
      </w:r>
      <w:r>
        <w:rPr>
          <w:rFonts w:hint="eastAsia" w:ascii="仿宋" w:hAnsi="仿宋" w:eastAsia="仿宋"/>
          <w:sz w:val="32"/>
          <w:szCs w:val="32"/>
          <w:lang w:eastAsia="zh-CN"/>
        </w:rPr>
        <w:t>议定的职责分工：</w:t>
      </w:r>
      <w:r>
        <w:rPr>
          <w:rFonts w:hint="eastAsia" w:ascii="仿宋" w:hAnsi="仿宋" w:eastAsia="仿宋"/>
          <w:sz w:val="32"/>
          <w:szCs w:val="32"/>
        </w:rPr>
        <w:t>区发展改革(区轨道办)、区规划和自然资源、住房建设、交通、城管、水务部门作为行业监管部门，负责行业领域内危险边坡排查、巡查、专业监测、危险性评价、治理责任认定、治理立项、核销、应急调查和提供技术支撑等工作,并督促协调边坡主体责任单位落实具体防治工作；监督并落实行业所涉及配套治理工程与主体工程同步设计、施工、验收和交付使用。对辖区内属于市行业主管部门管理或其他单位的道路、公园、绿道、河道和水库范围内及其建设工程造成的边坡,区行业监管部门要履行协调、督促等属地监管职责,建立市区联动机制,依职责共同做好危险边坡防治工作,确保人民群众生命财产安全。</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hint="eastAsia" w:ascii="仿宋" w:hAnsi="仿宋" w:eastAsia="仿宋"/>
          <w:sz w:val="32"/>
          <w:szCs w:val="32"/>
        </w:rPr>
      </w:pPr>
      <w:r>
        <w:rPr>
          <w:rFonts w:hint="eastAsia" w:ascii="仿宋" w:hAnsi="仿宋" w:eastAsia="仿宋"/>
          <w:sz w:val="32"/>
          <w:szCs w:val="32"/>
        </w:rPr>
        <w:t>区教育、文化广电旅游体育、卫生健康部门等主体责任单位负责落实其管理设施所涉边坡的安全主体责任,负责组织实施工程治理和日常管养维护工作,并接受行业部门监管。</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仿宋" w:hAnsi="仿宋" w:eastAsia="仿宋"/>
          <w:sz w:val="32"/>
          <w:szCs w:val="32"/>
        </w:rPr>
      </w:pPr>
      <w:r>
        <w:rPr>
          <w:rFonts w:hint="eastAsia" w:ascii="仿宋" w:hAnsi="仿宋" w:eastAsia="仿宋"/>
          <w:sz w:val="32"/>
          <w:szCs w:val="32"/>
        </w:rPr>
        <w:t>各街道办负责所辖范围内危险边坡属地管理责任，负责履行部分无法落实行业监管部门的隐患点的行业监管部门职责。</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五</w:t>
      </w:r>
      <w:r>
        <w:rPr>
          <w:rFonts w:hint="eastAsia" w:ascii="楷体" w:hAnsi="楷体" w:eastAsia="楷体"/>
          <w:sz w:val="32"/>
          <w:szCs w:val="32"/>
        </w:rPr>
        <w:t>）关于工程治理情况</w:t>
      </w:r>
    </w:p>
    <w:p>
      <w:pPr>
        <w:pStyle w:val="4"/>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rPr>
        <w:t>工程治理从治理主体责任角度分为专项治理和配套治理，同时明确工程治理的安全责任主体。专项治理是分阶段有序认定和解决存量危险边坡，逐步消除安全隐患；</w:t>
      </w:r>
    </w:p>
    <w:p>
      <w:pPr>
        <w:pStyle w:val="4"/>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宋体"/>
          <w:sz w:val="32"/>
          <w:szCs w:val="32"/>
          <w:lang w:eastAsia="zh-CN"/>
        </w:rPr>
      </w:pPr>
      <w:r>
        <w:rPr>
          <w:rFonts w:hint="eastAsia" w:ascii="仿宋" w:hAnsi="仿宋" w:eastAsia="仿宋"/>
          <w:sz w:val="32"/>
          <w:szCs w:val="32"/>
        </w:rPr>
        <w:t>配套治理是从危险边坡的源头进行监督和管理，确保</w:t>
      </w:r>
      <w:r>
        <w:rPr>
          <w:rFonts w:ascii="仿宋" w:hAnsi="仿宋" w:eastAsia="仿宋"/>
          <w:sz w:val="32"/>
          <w:szCs w:val="32"/>
        </w:rPr>
        <w:t>与主体工程同时设计、同时施工、同时投产使用</w:t>
      </w:r>
      <w:r>
        <w:rPr>
          <w:rFonts w:hint="eastAsia" w:ascii="仿宋" w:hAnsi="仿宋" w:eastAsia="仿宋"/>
          <w:sz w:val="32"/>
          <w:szCs w:val="32"/>
        </w:rPr>
        <w:t>，不产生新的安全隐患。</w:t>
      </w:r>
      <w:r>
        <w:rPr>
          <w:rFonts w:hint="eastAsia" w:ascii="仿宋" w:hAnsi="仿宋" w:eastAsia="仿宋"/>
          <w:sz w:val="32"/>
          <w:szCs w:val="32"/>
          <w:lang w:eastAsia="zh-CN"/>
        </w:rPr>
        <w:t>本办法重点细化完善</w:t>
      </w:r>
      <w:r>
        <w:rPr>
          <w:rFonts w:hint="eastAsia" w:ascii="仿宋" w:hAnsi="仿宋" w:eastAsia="仿宋"/>
          <w:sz w:val="32"/>
          <w:szCs w:val="32"/>
        </w:rPr>
        <w:t>配套治理工程</w:t>
      </w:r>
      <w:r>
        <w:rPr>
          <w:rFonts w:hint="eastAsia" w:ascii="仿宋" w:hAnsi="仿宋" w:eastAsia="仿宋"/>
          <w:sz w:val="32"/>
          <w:szCs w:val="32"/>
          <w:lang w:eastAsia="zh-CN"/>
        </w:rPr>
        <w:t>监管工作，</w:t>
      </w:r>
      <w:r>
        <w:rPr>
          <w:rFonts w:hint="eastAsia" w:ascii="仿宋" w:hAnsi="仿宋" w:eastAsia="仿宋" w:cs="宋体"/>
          <w:sz w:val="32"/>
          <w:szCs w:val="32"/>
          <w:lang w:eastAsia="zh-CN"/>
        </w:rPr>
        <w:t>除在建设用地、建设工程规划许可阶段做好配套治理工程监督外，要求区住房建设部门对配套工程有关设计及施工图纸等资料进行技术审查审查合格后，方可颁发建设工程施工许可证，并监督建设单位在施工过程中落实配套治理，并对其工程安全质量进行监管。同时建设单位应将配套治理工程与主体工程一并办理竣工验收备案，区住房建设部门依职责做好竣工验收备案工作，对未落实地质灾害配套治理工程的，其主体工程依法不予通过竣工验收。对其他不在住建部门办理施工许可的建设项目且须落实地质灾害配套治理工程的，区交通运输部门、区水务部门、区城管部门、区建筑工务部门和各街道办事处应依职责加强地质灾害配套治理工程的施工、验收和交付使用过程的工作监管，对未落实地质灾害配套治理工程的，其主体工程依法不予通过竣工验收。</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六</w:t>
      </w:r>
      <w:r>
        <w:rPr>
          <w:rFonts w:hint="eastAsia" w:ascii="楷体" w:hAnsi="楷体" w:eastAsia="楷体"/>
          <w:sz w:val="32"/>
          <w:szCs w:val="32"/>
        </w:rPr>
        <w:t>）关于维护管养要求</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仿宋" w:hAnsi="仿宋" w:eastAsia="仿宋"/>
          <w:sz w:val="32"/>
          <w:szCs w:val="32"/>
        </w:rPr>
      </w:pPr>
      <w:r>
        <w:rPr>
          <w:rFonts w:hint="eastAsia" w:ascii="仿宋" w:hAnsi="仿宋" w:eastAsia="仿宋"/>
          <w:sz w:val="32"/>
          <w:szCs w:val="32"/>
        </w:rPr>
        <w:t>根据《光明区危险边皮治理及设计指南》和光明区“高质量高颜值”实施方案要求，在《深圳市地质灾害防治管理办法》的“工程维护”基础上，增加了边坡生态提升的理念和后续的管养维护要求，确保边坡工程质量和生态环境提升与城市绿色发展相融合。</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hint="eastAsia" w:ascii="仿宋" w:hAnsi="仿宋" w:eastAsia="仿宋"/>
          <w:sz w:val="32"/>
          <w:szCs w:val="32"/>
        </w:rPr>
      </w:pPr>
      <w:r>
        <w:rPr>
          <w:rFonts w:hint="eastAsia" w:ascii="黑体" w:hAnsi="黑体" w:eastAsia="黑体"/>
          <w:sz w:val="32"/>
          <w:szCs w:val="32"/>
          <w:lang w:eastAsia="zh-CN"/>
        </w:rPr>
        <w:t>六</w:t>
      </w:r>
      <w:r>
        <w:rPr>
          <w:rFonts w:hint="eastAsia" w:ascii="黑体" w:hAnsi="黑体" w:eastAsia="黑体"/>
          <w:sz w:val="32"/>
          <w:szCs w:val="32"/>
        </w:rPr>
        <w:t>、需要说明的问题</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仿宋" w:hAnsi="仿宋" w:eastAsia="仿宋"/>
          <w:sz w:val="32"/>
          <w:szCs w:val="32"/>
        </w:rPr>
      </w:pPr>
      <w:r>
        <w:rPr>
          <w:rFonts w:hint="eastAsia" w:ascii="仿宋" w:hAnsi="仿宋" w:eastAsia="仿宋"/>
          <w:sz w:val="32"/>
          <w:szCs w:val="32"/>
        </w:rPr>
        <w:t>《深圳市地质灾害防治管理办法》已明确了相关的法律责任，光明区危险边坡防治过程</w:t>
      </w:r>
      <w:r>
        <w:rPr>
          <w:rFonts w:hint="eastAsia" w:ascii="仿宋" w:hAnsi="仿宋" w:eastAsia="仿宋"/>
          <w:sz w:val="32"/>
          <w:szCs w:val="32"/>
          <w:lang w:eastAsia="zh-CN"/>
        </w:rPr>
        <w:t>参照</w:t>
      </w:r>
      <w:r>
        <w:rPr>
          <w:rFonts w:hint="eastAsia" w:ascii="仿宋" w:hAnsi="仿宋" w:eastAsia="仿宋"/>
          <w:sz w:val="32"/>
          <w:szCs w:val="32"/>
        </w:rPr>
        <w:t>执行，《</w:t>
      </w:r>
      <w:r>
        <w:rPr>
          <w:rFonts w:hint="eastAsia" w:ascii="仿宋" w:hAnsi="仿宋" w:eastAsia="仿宋"/>
          <w:sz w:val="32"/>
          <w:szCs w:val="32"/>
          <w:lang w:eastAsia="zh-CN"/>
        </w:rPr>
        <w:t>边坡</w:t>
      </w:r>
      <w:r>
        <w:rPr>
          <w:rFonts w:hint="eastAsia" w:ascii="仿宋" w:hAnsi="仿宋" w:eastAsia="仿宋"/>
          <w:sz w:val="32"/>
          <w:szCs w:val="32"/>
        </w:rPr>
        <w:t>管理办法》不重复相关条款。</w:t>
      </w:r>
    </w:p>
    <w:p>
      <w:pPr>
        <w:keepNext w:val="0"/>
        <w:keepLines w:val="0"/>
        <w:pageBreakBefore w:val="0"/>
        <w:kinsoku/>
        <w:wordWrap/>
        <w:overflowPunct/>
        <w:topLinePunct w:val="0"/>
        <w:autoSpaceDE/>
        <w:autoSpaceDN/>
        <w:bidi w:val="0"/>
        <w:adjustRightInd/>
        <w:snapToGrid/>
        <w:spacing w:line="600" w:lineRule="exact"/>
        <w:ind w:firstLine="646" w:firstLineChars="202"/>
        <w:textAlignment w:val="auto"/>
        <w:rPr>
          <w:rFonts w:ascii="仿宋" w:hAnsi="仿宋" w:eastAsia="仿宋"/>
          <w:sz w:val="32"/>
          <w:szCs w:val="32"/>
        </w:rPr>
      </w:pPr>
      <w:r>
        <w:rPr>
          <w:rFonts w:hint="eastAsia" w:ascii="仿宋" w:hAnsi="仿宋" w:eastAsia="仿宋"/>
          <w:sz w:val="32"/>
          <w:szCs w:val="32"/>
        </w:rPr>
        <w:t>特此说明。</w:t>
      </w:r>
    </w:p>
    <w:p>
      <w:pPr>
        <w:keepNext w:val="0"/>
        <w:keepLines w:val="0"/>
        <w:pageBreakBefore w:val="0"/>
        <w:kinsoku/>
        <w:wordWrap/>
        <w:overflowPunct/>
        <w:topLinePunct w:val="0"/>
        <w:autoSpaceDE/>
        <w:autoSpaceDN/>
        <w:bidi w:val="0"/>
        <w:adjustRightInd/>
        <w:snapToGrid/>
        <w:spacing w:line="600" w:lineRule="exact"/>
        <w:ind w:firstLine="646" w:firstLineChars="202"/>
        <w:jc w:val="right"/>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600" w:lineRule="exact"/>
        <w:ind w:firstLine="646" w:firstLineChars="202"/>
        <w:jc w:val="right"/>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600" w:lineRule="exact"/>
        <w:ind w:firstLine="646" w:firstLineChars="202"/>
        <w:jc w:val="right"/>
        <w:textAlignment w:val="auto"/>
        <w:rPr>
          <w:rFonts w:ascii="仿宋" w:hAnsi="仿宋" w:eastAsia="仿宋"/>
          <w:sz w:val="32"/>
          <w:szCs w:val="32"/>
        </w:rPr>
      </w:pPr>
      <w:r>
        <w:rPr>
          <w:rFonts w:hint="eastAsia" w:ascii="仿宋" w:hAnsi="仿宋" w:eastAsia="仿宋"/>
          <w:sz w:val="32"/>
          <w:szCs w:val="32"/>
        </w:rPr>
        <w:t>市规划和自然资源局光明管理局</w:t>
      </w:r>
    </w:p>
    <w:p>
      <w:pPr>
        <w:keepNext w:val="0"/>
        <w:keepLines w:val="0"/>
        <w:pageBreakBefore w:val="0"/>
        <w:kinsoku/>
        <w:wordWrap/>
        <w:overflowPunct/>
        <w:topLinePunct w:val="0"/>
        <w:autoSpaceDE/>
        <w:autoSpaceDN/>
        <w:bidi w:val="0"/>
        <w:adjustRightInd/>
        <w:snapToGrid/>
        <w:spacing w:line="600" w:lineRule="exact"/>
        <w:ind w:firstLine="646" w:firstLineChars="202"/>
        <w:jc w:val="center"/>
        <w:textAlignment w:val="auto"/>
        <w:rPr>
          <w:rFonts w:ascii="仿宋" w:hAnsi="仿宋" w:eastAsia="仿宋"/>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202</w:t>
      </w:r>
      <w:r>
        <w:rPr>
          <w:rFonts w:hint="default" w:ascii="仿宋" w:hAnsi="仿宋" w:eastAsia="仿宋"/>
          <w:sz w:val="32"/>
          <w:szCs w:val="32"/>
          <w:lang w:val="en-US"/>
        </w:rPr>
        <w:t>3</w:t>
      </w:r>
      <w:r>
        <w:rPr>
          <w:rFonts w:ascii="仿宋" w:hAnsi="仿宋" w:eastAsia="仿宋"/>
          <w:sz w:val="32"/>
          <w:szCs w:val="32"/>
        </w:rPr>
        <w:t>年</w:t>
      </w:r>
      <w:r>
        <w:rPr>
          <w:rFonts w:hint="default" w:ascii="仿宋" w:hAnsi="仿宋" w:eastAsia="仿宋"/>
          <w:sz w:val="32"/>
          <w:szCs w:val="32"/>
          <w:lang w:val="en-US" w:eastAsia="zh-CN"/>
        </w:rPr>
        <w:t>3</w:t>
      </w:r>
      <w:r>
        <w:rPr>
          <w:rFonts w:ascii="仿宋" w:hAnsi="仿宋" w:eastAsia="仿宋"/>
          <w:sz w:val="32"/>
          <w:szCs w:val="32"/>
        </w:rPr>
        <w:t>月</w:t>
      </w:r>
      <w:r>
        <w:rPr>
          <w:rFonts w:hint="default" w:ascii="仿宋" w:hAnsi="仿宋" w:eastAsia="仿宋"/>
          <w:sz w:val="32"/>
          <w:szCs w:val="32"/>
          <w:lang w:val="en-US"/>
        </w:rPr>
        <w:t>6</w:t>
      </w:r>
      <w:r>
        <w:rPr>
          <w:rFonts w:ascii="仿宋" w:hAnsi="仿宋" w:eastAsia="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r>
      <w:t>/8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15"/>
    <w:rsid w:val="00002C15"/>
    <w:rsid w:val="00005B22"/>
    <w:rsid w:val="00072C96"/>
    <w:rsid w:val="00073DF7"/>
    <w:rsid w:val="00080BAF"/>
    <w:rsid w:val="000A0B7A"/>
    <w:rsid w:val="001165D4"/>
    <w:rsid w:val="00126470"/>
    <w:rsid w:val="0014384B"/>
    <w:rsid w:val="001852F6"/>
    <w:rsid w:val="00185E31"/>
    <w:rsid w:val="00195B4E"/>
    <w:rsid w:val="001973FF"/>
    <w:rsid w:val="001B4C9A"/>
    <w:rsid w:val="001D0CF4"/>
    <w:rsid w:val="001F13C7"/>
    <w:rsid w:val="001F3FC0"/>
    <w:rsid w:val="00226BEE"/>
    <w:rsid w:val="00255D62"/>
    <w:rsid w:val="00257D53"/>
    <w:rsid w:val="00266958"/>
    <w:rsid w:val="002973E1"/>
    <w:rsid w:val="002C374B"/>
    <w:rsid w:val="00306388"/>
    <w:rsid w:val="0032441E"/>
    <w:rsid w:val="00327620"/>
    <w:rsid w:val="0034069C"/>
    <w:rsid w:val="003500E0"/>
    <w:rsid w:val="00352F74"/>
    <w:rsid w:val="00353719"/>
    <w:rsid w:val="00356B50"/>
    <w:rsid w:val="00361C15"/>
    <w:rsid w:val="00371CE6"/>
    <w:rsid w:val="00382868"/>
    <w:rsid w:val="00391C74"/>
    <w:rsid w:val="003C4892"/>
    <w:rsid w:val="003D2346"/>
    <w:rsid w:val="00445707"/>
    <w:rsid w:val="0045272F"/>
    <w:rsid w:val="00471B62"/>
    <w:rsid w:val="004723E8"/>
    <w:rsid w:val="0048020B"/>
    <w:rsid w:val="00484EA2"/>
    <w:rsid w:val="00495554"/>
    <w:rsid w:val="004A16DA"/>
    <w:rsid w:val="00500AB8"/>
    <w:rsid w:val="005302AF"/>
    <w:rsid w:val="00564CD4"/>
    <w:rsid w:val="00573A1E"/>
    <w:rsid w:val="005B0808"/>
    <w:rsid w:val="005C524C"/>
    <w:rsid w:val="005F79F7"/>
    <w:rsid w:val="0060077B"/>
    <w:rsid w:val="006131D3"/>
    <w:rsid w:val="00617777"/>
    <w:rsid w:val="00621B52"/>
    <w:rsid w:val="00637529"/>
    <w:rsid w:val="00660458"/>
    <w:rsid w:val="00663F81"/>
    <w:rsid w:val="006671F0"/>
    <w:rsid w:val="006725B9"/>
    <w:rsid w:val="0067703C"/>
    <w:rsid w:val="006B4F71"/>
    <w:rsid w:val="006C3928"/>
    <w:rsid w:val="00736B8C"/>
    <w:rsid w:val="007453AC"/>
    <w:rsid w:val="007961AE"/>
    <w:rsid w:val="007E2981"/>
    <w:rsid w:val="008124CA"/>
    <w:rsid w:val="008E65A6"/>
    <w:rsid w:val="008F35E3"/>
    <w:rsid w:val="00916169"/>
    <w:rsid w:val="00920BC9"/>
    <w:rsid w:val="00922E1E"/>
    <w:rsid w:val="0093683F"/>
    <w:rsid w:val="00970EFE"/>
    <w:rsid w:val="00974B33"/>
    <w:rsid w:val="009760E8"/>
    <w:rsid w:val="009D0538"/>
    <w:rsid w:val="00A02E3F"/>
    <w:rsid w:val="00A2206C"/>
    <w:rsid w:val="00A23FBE"/>
    <w:rsid w:val="00A35405"/>
    <w:rsid w:val="00A86F92"/>
    <w:rsid w:val="00A9432B"/>
    <w:rsid w:val="00A96913"/>
    <w:rsid w:val="00AA5206"/>
    <w:rsid w:val="00AC0BE1"/>
    <w:rsid w:val="00AC45CA"/>
    <w:rsid w:val="00AE453B"/>
    <w:rsid w:val="00AE69DC"/>
    <w:rsid w:val="00AF704B"/>
    <w:rsid w:val="00B03591"/>
    <w:rsid w:val="00B203BF"/>
    <w:rsid w:val="00B760E9"/>
    <w:rsid w:val="00BC5C34"/>
    <w:rsid w:val="00BD2A60"/>
    <w:rsid w:val="00C51F51"/>
    <w:rsid w:val="00CB2BEA"/>
    <w:rsid w:val="00CC2EE2"/>
    <w:rsid w:val="00CC7F5E"/>
    <w:rsid w:val="00CE2FEA"/>
    <w:rsid w:val="00CE686A"/>
    <w:rsid w:val="00D10674"/>
    <w:rsid w:val="00D15880"/>
    <w:rsid w:val="00D716EB"/>
    <w:rsid w:val="00D72EEE"/>
    <w:rsid w:val="00D73FF4"/>
    <w:rsid w:val="00DA68B2"/>
    <w:rsid w:val="00DB672C"/>
    <w:rsid w:val="00DC3F11"/>
    <w:rsid w:val="00DD721C"/>
    <w:rsid w:val="00DF2CB8"/>
    <w:rsid w:val="00E11F55"/>
    <w:rsid w:val="00E341F8"/>
    <w:rsid w:val="00E36BE9"/>
    <w:rsid w:val="00E7393D"/>
    <w:rsid w:val="00E741AA"/>
    <w:rsid w:val="00EC13AF"/>
    <w:rsid w:val="00EC51E3"/>
    <w:rsid w:val="00F611A5"/>
    <w:rsid w:val="00F66B76"/>
    <w:rsid w:val="00FC06E5"/>
    <w:rsid w:val="00FC5FEC"/>
    <w:rsid w:val="00FC6E95"/>
    <w:rsid w:val="137A956B"/>
    <w:rsid w:val="1FFEC535"/>
    <w:rsid w:val="32B73ACB"/>
    <w:rsid w:val="36BFFC29"/>
    <w:rsid w:val="4FEB70C5"/>
    <w:rsid w:val="5CFF9F07"/>
    <w:rsid w:val="677FCBC1"/>
    <w:rsid w:val="67FB4E1D"/>
    <w:rsid w:val="6E7E3ABC"/>
    <w:rsid w:val="6FF65DF4"/>
    <w:rsid w:val="76FFA11C"/>
    <w:rsid w:val="77FB8134"/>
    <w:rsid w:val="7B5D2231"/>
    <w:rsid w:val="7EFB2A48"/>
    <w:rsid w:val="7FC787F8"/>
    <w:rsid w:val="96E9E782"/>
    <w:rsid w:val="A2FB97F8"/>
    <w:rsid w:val="B30F34D2"/>
    <w:rsid w:val="B375345F"/>
    <w:rsid w:val="B7FFA35A"/>
    <w:rsid w:val="DF726DF0"/>
    <w:rsid w:val="F59F9558"/>
    <w:rsid w:val="F7F90968"/>
    <w:rsid w:val="FAB7C52A"/>
    <w:rsid w:val="FF7B3F38"/>
    <w:rsid w:val="FFDF1654"/>
    <w:rsid w:val="FFEF82A0"/>
    <w:rsid w:val="FFFD9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rFonts w:asciiTheme="minorHAnsi" w:hAnsiTheme="minorHAnsi" w:eastAsiaTheme="minorEastAsia" w:cstheme="minorBidi"/>
      <w:kern w:val="2"/>
      <w:sz w:val="18"/>
      <w:szCs w:val="18"/>
    </w:rPr>
  </w:style>
  <w:style w:type="character" w:customStyle="1" w:styleId="10">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541</Words>
  <Characters>3090</Characters>
  <Lines>25</Lines>
  <Paragraphs>7</Paragraphs>
  <TotalTime>14</TotalTime>
  <ScaleCrop>false</ScaleCrop>
  <LinksUpToDate>false</LinksUpToDate>
  <CharactersWithSpaces>3624</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2022-04-26T09:12:00Z</dcterms:created>
  <dc:creator>蔡建斯</dc:creator>
  <cp:lastModifiedBy>gm</cp:lastModifiedBy>
  <cp:lastPrinted>2023-03-07T06:58:00Z</cp:lastPrinted>
  <dcterms:modified xsi:type="dcterms:W3CDTF">2023-03-28T15:26:07Z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0C424F5626BB63D4118D0564FC45D815</vt:lpwstr>
  </property>
</Properties>
</file>