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bCs/>
          <w:color w:val="000000" w:themeColor="text1"/>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楷体_GB2312" w:hAnsi="宋体" w:eastAsia="楷体_GB2312"/>
          <w:b/>
          <w:bCs/>
          <w:color w:val="000000" w:themeColor="text1"/>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深坪产监协〔202</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3</w:t>
      </w:r>
      <w:r>
        <w:rPr>
          <w:rFonts w:hint="eastAsia" w:ascii="仿宋_GB2312" w:hAnsi="宋体" w:eastAsia="仿宋_GB2312"/>
          <w:color w:val="000000" w:themeColor="text1"/>
          <w:sz w:val="28"/>
          <w:szCs w:val="28"/>
          <w:highlight w:val="none"/>
          <w14:textFill>
            <w14:solidFill>
              <w14:schemeClr w14:val="tx1"/>
            </w14:solidFill>
          </w14:textFill>
        </w:rPr>
        <w:t>〕第   号</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48"/>
          <w:szCs w:val="4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48"/>
          <w:szCs w:val="48"/>
          <w:highlight w:val="none"/>
          <w14:textFill>
            <w14:solidFill>
              <w14:schemeClr w14:val="tx1"/>
            </w14:solidFill>
          </w14:textFill>
        </w:rPr>
      </w:pPr>
      <w:r>
        <w:rPr>
          <w:rFonts w:hint="eastAsia" w:ascii="楷体_GB2312" w:hAnsi="宋体" w:eastAsia="楷体_GB2312"/>
          <w:b/>
          <w:bCs/>
          <w:color w:val="000000" w:themeColor="text1"/>
          <w:sz w:val="48"/>
          <w:szCs w:val="48"/>
          <w:highlight w:val="none"/>
          <w14:textFill>
            <w14:solidFill>
              <w14:schemeClr w14:val="tx1"/>
            </w14:solidFill>
          </w14:textFill>
        </w:rPr>
        <w:t>深圳市坪山区产业用地</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48"/>
          <w:szCs w:val="48"/>
          <w:highlight w:val="none"/>
          <w14:textFill>
            <w14:solidFill>
              <w14:schemeClr w14:val="tx1"/>
            </w14:solidFill>
          </w14:textFill>
        </w:rPr>
      </w:pPr>
      <w:r>
        <w:rPr>
          <w:rFonts w:hint="eastAsia" w:ascii="楷体_GB2312" w:hAnsi="宋体" w:eastAsia="楷体_GB2312"/>
          <w:b/>
          <w:bCs/>
          <w:color w:val="000000" w:themeColor="text1"/>
          <w:sz w:val="48"/>
          <w:szCs w:val="48"/>
          <w:highlight w:val="none"/>
          <w14:textFill>
            <w14:solidFill>
              <w14:schemeClr w14:val="tx1"/>
            </w14:solidFill>
          </w14:textFill>
        </w:rPr>
        <w:t>建设和使用监管协议书</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color w:val="000000" w:themeColor="text1"/>
          <w:sz w:val="32"/>
          <w:highlight w:val="none"/>
          <w14:textFill>
            <w14:solidFill>
              <w14:schemeClr w14:val="tx1"/>
            </w14:solidFill>
          </w14:textFill>
        </w:rPr>
      </w:pPr>
      <w:r>
        <w:rPr>
          <w:rFonts w:hint="eastAsia" w:ascii="楷体_GB2312" w:hAnsi="宋体" w:eastAsia="楷体_GB2312"/>
          <w:color w:val="000000" w:themeColor="text1"/>
          <w:sz w:val="32"/>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firstLine="630" w:firstLineChars="196"/>
        <w:textAlignment w:val="auto"/>
        <w:rPr>
          <w:rFonts w:hint="eastAsia" w:ascii="楷体_GB2312" w:hAnsi="宋体" w:eastAsia="楷体_GB2312"/>
          <w:color w:val="000000" w:themeColor="text1"/>
          <w:sz w:val="32"/>
          <w:highlight w:val="none"/>
          <w:u w:val="single"/>
          <w:lang w:val="en-US" w:eastAsia="zh-CN"/>
          <w14:textFill>
            <w14:solidFill>
              <w14:schemeClr w14:val="tx1"/>
            </w14:solidFill>
          </w14:textFill>
        </w:rPr>
      </w:pPr>
      <w:r>
        <w:rPr>
          <w:rFonts w:hint="eastAsia" w:ascii="楷体_GB2312" w:hAnsi="宋体" w:eastAsia="楷体_GB2312"/>
          <w:b/>
          <w:bCs/>
          <w:color w:val="000000" w:themeColor="text1"/>
          <w:sz w:val="32"/>
          <w:highlight w:val="none"/>
          <w14:textFill>
            <w14:solidFill>
              <w14:schemeClr w14:val="tx1"/>
            </w14:solidFill>
          </w14:textFill>
        </w:rPr>
        <w:t>宗地编号/用地方案号：</w:t>
      </w:r>
      <w:r>
        <w:rPr>
          <w:rFonts w:hint="eastAsia" w:ascii="楷体_GB2312" w:hAnsi="宋体" w:eastAsia="楷体_GB2312"/>
          <w:b/>
          <w:bCs/>
          <w:color w:val="000000" w:themeColor="text1"/>
          <w:sz w:val="32"/>
          <w:highlight w:val="none"/>
          <w:u w:val="single"/>
          <w14:textFill>
            <w14:solidFill>
              <w14:schemeClr w14:val="tx1"/>
            </w14:solidFill>
          </w14:textFill>
        </w:rPr>
        <w:t xml:space="preserve"> </w:t>
      </w:r>
      <w:r>
        <w:rPr>
          <w:rFonts w:hint="eastAsia" w:ascii="楷体_GB2312" w:hAnsi="宋体" w:eastAsia="楷体_GB2312"/>
          <w:bCs/>
          <w:color w:val="000000" w:themeColor="text1"/>
          <w:sz w:val="30"/>
          <w:szCs w:val="30"/>
          <w:highlight w:val="none"/>
          <w:u w:val="single"/>
          <w:lang w:val="en-US" w:eastAsia="zh-CN"/>
          <w14:textFill>
            <w14:solidFill>
              <w14:schemeClr w14:val="tx1"/>
            </w14:solidFill>
          </w14:textFill>
        </w:rPr>
        <w:t xml:space="preserve">   </w:t>
      </w:r>
      <w:r>
        <w:rPr>
          <w:rFonts w:hint="eastAsia" w:ascii="楷体_GB2312" w:hAnsi="宋体" w:eastAsia="楷体_GB2312"/>
          <w:b/>
          <w:bCs w:val="0"/>
          <w:color w:val="000000" w:themeColor="text1"/>
          <w:sz w:val="30"/>
          <w:szCs w:val="30"/>
          <w:highlight w:val="none"/>
          <w:u w:val="single"/>
          <w:lang w:val="en-US" w:eastAsia="zh-CN"/>
          <w14:textFill>
            <w14:solidFill>
              <w14:schemeClr w14:val="tx1"/>
            </w14:solidFill>
          </w14:textFill>
        </w:rPr>
        <w:t>G14311-8036</w:t>
      </w:r>
      <w:r>
        <w:rPr>
          <w:rFonts w:hint="eastAsia" w:ascii="楷体_GB2312" w:hAnsi="宋体" w:eastAsia="楷体_GB2312"/>
          <w:bCs/>
          <w:color w:val="000000" w:themeColor="text1"/>
          <w:sz w:val="30"/>
          <w:szCs w:val="30"/>
          <w:highlight w:val="none"/>
          <w:u w:val="single"/>
          <w:lang w:val="en-US" w:eastAsia="zh-CN"/>
          <w14:textFill>
            <w14:solidFill>
              <w14:schemeClr w14:val="tx1"/>
            </w14:solidFill>
          </w14:textFill>
        </w:rPr>
        <w:t xml:space="preserve">         </w:t>
      </w:r>
      <w:r>
        <w:rPr>
          <w:rFonts w:hint="eastAsia" w:ascii="楷体_GB2312" w:hAnsi="宋体" w:eastAsia="楷体_GB2312"/>
          <w:bCs/>
          <w:color w:val="000000" w:themeColor="text1"/>
          <w:sz w:val="30"/>
          <w:szCs w:val="30"/>
          <w:highlight w:val="none"/>
          <w:u w:val="single"/>
          <w14:textFill>
            <w14:solidFill>
              <w14:schemeClr w14:val="tx1"/>
            </w14:solidFill>
          </w14:textFill>
        </w:rPr>
        <w:t xml:space="preserve">  </w:t>
      </w:r>
      <w:r>
        <w:rPr>
          <w:rFonts w:hint="eastAsia" w:ascii="楷体_GB2312" w:hAnsi="宋体" w:eastAsia="楷体_GB2312"/>
          <w:b/>
          <w:bCs/>
          <w:color w:val="000000" w:themeColor="text1"/>
          <w:sz w:val="32"/>
          <w:highlight w:val="none"/>
          <w:u w:val="single"/>
          <w14:textFill>
            <w14:solidFill>
              <w14:schemeClr w14:val="tx1"/>
            </w14:solidFill>
          </w14:textFill>
        </w:rPr>
        <w:t xml:space="preserve"> </w:t>
      </w:r>
      <w:r>
        <w:rPr>
          <w:rFonts w:hint="eastAsia" w:ascii="楷体_GB2312" w:hAnsi="宋体" w:eastAsia="楷体_GB2312"/>
          <w:b/>
          <w:bCs/>
          <w:color w:val="000000" w:themeColor="text1"/>
          <w:sz w:val="32"/>
          <w:highlight w:val="none"/>
          <w:u w:val="single"/>
          <w:lang w:val="en-US" w:eastAsia="zh-CN"/>
          <w14:textFill>
            <w14:solidFill>
              <w14:schemeClr w14:val="tx1"/>
            </w14:solidFill>
          </w14:textFill>
        </w:rPr>
        <w:t xml:space="preserve">       </w:t>
      </w:r>
    </w:p>
    <w:p>
      <w:pPr>
        <w:keepNext w:val="0"/>
        <w:keepLines w:val="0"/>
        <w:pageBreakBefore w:val="0"/>
        <w:tabs>
          <w:tab w:val="left" w:pos="7200"/>
        </w:tabs>
        <w:kinsoku/>
        <w:wordWrap/>
        <w:overflowPunct/>
        <w:topLinePunct w:val="0"/>
        <w:autoSpaceDE/>
        <w:autoSpaceDN/>
        <w:bidi w:val="0"/>
        <w:adjustRightInd w:val="0"/>
        <w:snapToGrid w:val="0"/>
        <w:spacing w:line="560" w:lineRule="exact"/>
        <w:ind w:left="2566" w:leftChars="304" w:hanging="1928" w:hangingChars="600"/>
        <w:textAlignment w:val="auto"/>
        <w:rPr>
          <w:rFonts w:hint="eastAsia" w:ascii="楷体_GB2312" w:hAnsi="宋体" w:eastAsia="楷体_GB2312"/>
          <w:b/>
          <w:bCs/>
          <w:color w:val="000000" w:themeColor="text1"/>
          <w:sz w:val="32"/>
          <w:highlight w:val="none"/>
          <w:u w:val="single"/>
          <w14:textFill>
            <w14:solidFill>
              <w14:schemeClr w14:val="tx1"/>
            </w14:solidFill>
          </w14:textFill>
        </w:rPr>
      </w:pPr>
      <w:r>
        <w:rPr>
          <w:rFonts w:hint="eastAsia" w:ascii="楷体_GB2312" w:hAnsi="宋体" w:eastAsia="楷体_GB2312"/>
          <w:b/>
          <w:bCs/>
          <w:color w:val="000000" w:themeColor="text1"/>
          <w:sz w:val="32"/>
          <w:highlight w:val="none"/>
          <w14:textFill>
            <w14:solidFill>
              <w14:schemeClr w14:val="tx1"/>
            </w14:solidFill>
          </w14:textFill>
        </w:rPr>
        <w:t>项目名称：</w:t>
      </w:r>
      <w:r>
        <w:rPr>
          <w:rFonts w:hint="eastAsia" w:ascii="楷体_GB2312" w:hAnsi="宋体" w:eastAsia="楷体_GB2312"/>
          <w:b/>
          <w:bCs/>
          <w:color w:val="000000" w:themeColor="text1"/>
          <w:sz w:val="32"/>
          <w:highlight w:val="none"/>
          <w:u w:val="single"/>
          <w14:textFill>
            <w14:solidFill>
              <w14:schemeClr w14:val="tx1"/>
            </w14:solidFill>
          </w14:textFill>
        </w:rPr>
        <w:t xml:space="preserve">                           </w:t>
      </w:r>
      <w:r>
        <w:rPr>
          <w:rFonts w:hint="eastAsia" w:ascii="楷体_GB2312" w:hAnsi="宋体" w:eastAsia="楷体_GB2312"/>
          <w:bCs/>
          <w:color w:val="000000" w:themeColor="text1"/>
          <w:sz w:val="30"/>
          <w:szCs w:val="30"/>
          <w:highlight w:val="none"/>
          <w:u w:val="single"/>
          <w14:textFill>
            <w14:solidFill>
              <w14:schemeClr w14:val="tx1"/>
            </w14:solidFill>
          </w14:textFill>
        </w:rPr>
        <w:t xml:space="preserve">      </w:t>
      </w:r>
    </w:p>
    <w:p>
      <w:pPr>
        <w:keepNext w:val="0"/>
        <w:keepLines w:val="0"/>
        <w:pageBreakBefore w:val="0"/>
        <w:tabs>
          <w:tab w:val="left" w:pos="7200"/>
        </w:tabs>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宋体" w:eastAsia="楷体_GB2312"/>
          <w:bCs/>
          <w:color w:val="000000" w:themeColor="text1"/>
          <w:sz w:val="30"/>
          <w:szCs w:val="30"/>
          <w:highlight w:val="none"/>
          <w:u w:val="single"/>
          <w14:textFill>
            <w14:solidFill>
              <w14:schemeClr w14:val="tx1"/>
            </w14:solidFill>
          </w14:textFill>
        </w:rPr>
      </w:pPr>
      <w:r>
        <w:rPr>
          <w:rFonts w:hint="eastAsia" w:ascii="楷体_GB2312" w:hAnsi="宋体" w:eastAsia="楷体_GB2312"/>
          <w:b/>
          <w:bCs/>
          <w:color w:val="000000" w:themeColor="text1"/>
          <w:sz w:val="32"/>
          <w:szCs w:val="32"/>
          <w:highlight w:val="none"/>
          <w14:textFill>
            <w14:solidFill>
              <w14:schemeClr w14:val="tx1"/>
            </w14:solidFill>
          </w14:textFill>
        </w:rPr>
        <w:t>项目单位：</w:t>
      </w:r>
      <w:r>
        <w:rPr>
          <w:rFonts w:hint="eastAsia" w:ascii="楷体_GB2312" w:hAnsi="宋体" w:eastAsia="楷体_GB2312"/>
          <w:b/>
          <w:bCs/>
          <w:color w:val="000000" w:themeColor="text1"/>
          <w:sz w:val="32"/>
          <w:highlight w:val="none"/>
          <w:u w:val="single"/>
          <w14:textFill>
            <w14:solidFill>
              <w14:schemeClr w14:val="tx1"/>
            </w14:solidFill>
          </w14:textFill>
        </w:rPr>
        <w:t xml:space="preserve">                           </w:t>
      </w:r>
      <w:r>
        <w:rPr>
          <w:rFonts w:hint="eastAsia" w:ascii="楷体_GB2312" w:hAnsi="宋体" w:eastAsia="楷体_GB2312"/>
          <w:bCs/>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30" w:firstLineChars="196"/>
        <w:textAlignment w:val="auto"/>
        <w:rPr>
          <w:rFonts w:hint="eastAsia" w:ascii="楷体_GB2312" w:hAnsi="宋体" w:eastAsia="楷体_GB2312"/>
          <w:bCs/>
          <w:color w:val="000000" w:themeColor="text1"/>
          <w:sz w:val="30"/>
          <w:szCs w:val="30"/>
          <w:highlight w:val="none"/>
          <w:u w:val="single"/>
          <w14:textFill>
            <w14:solidFill>
              <w14:schemeClr w14:val="tx1"/>
            </w14:solidFill>
          </w14:textFill>
        </w:rPr>
      </w:pPr>
      <w:r>
        <w:rPr>
          <w:rFonts w:hint="eastAsia" w:ascii="楷体_GB2312" w:hAnsi="宋体" w:eastAsia="楷体_GB2312"/>
          <w:b/>
          <w:bCs/>
          <w:color w:val="000000" w:themeColor="text1"/>
          <w:sz w:val="32"/>
          <w:highlight w:val="none"/>
          <w14:textFill>
            <w14:solidFill>
              <w14:schemeClr w14:val="tx1"/>
            </w14:solidFill>
          </w14:textFill>
        </w:rPr>
        <w:t>土地出让合同编号：</w:t>
      </w:r>
      <w:r>
        <w:rPr>
          <w:rFonts w:hint="eastAsia" w:ascii="楷体_GB2312" w:hAnsi="宋体" w:eastAsia="楷体_GB2312"/>
          <w:b/>
          <w:bCs/>
          <w:color w:val="000000" w:themeColor="text1"/>
          <w:sz w:val="32"/>
          <w:highlight w:val="none"/>
          <w:u w:val="single"/>
          <w14:textFill>
            <w14:solidFill>
              <w14:schemeClr w14:val="tx1"/>
            </w14:solidFill>
          </w14:textFill>
        </w:rPr>
        <w:t xml:space="preserve">                     </w:t>
      </w:r>
      <w:r>
        <w:rPr>
          <w:rFonts w:hint="eastAsia" w:ascii="楷体_GB2312" w:hAnsi="宋体" w:eastAsia="楷体_GB2312"/>
          <w:color w:val="000000" w:themeColor="text1"/>
          <w:sz w:val="32"/>
          <w:highlight w:val="none"/>
          <w:u w:val="single"/>
          <w14:textFill>
            <w14:solidFill>
              <w14:schemeClr w14:val="tx1"/>
            </w14:solidFill>
          </w14:textFill>
        </w:rPr>
        <w:t xml:space="preserve"> </w:t>
      </w:r>
      <w:r>
        <w:rPr>
          <w:rFonts w:hint="eastAsia" w:ascii="楷体_GB2312" w:hAnsi="宋体" w:eastAsia="楷体_GB2312"/>
          <w:b/>
          <w:bCs/>
          <w:color w:val="000000" w:themeColor="text1"/>
          <w:sz w:val="32"/>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楷体_GB2312" w:hAnsi="宋体" w:eastAsia="楷体_GB2312"/>
          <w:b/>
          <w:bCs/>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firstLine="956" w:firstLineChars="299"/>
        <w:jc w:val="center"/>
        <w:textAlignment w:val="auto"/>
        <w:rPr>
          <w:rFonts w:hint="eastAsia" w:ascii="楷体_GB2312" w:hAnsi="宋体" w:eastAsia="楷体_GB2312"/>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firstLine="956" w:firstLineChars="299"/>
        <w:jc w:val="center"/>
        <w:textAlignment w:val="auto"/>
        <w:rPr>
          <w:rFonts w:hint="eastAsia" w:ascii="楷体_GB2312" w:hAnsi="宋体" w:eastAsia="楷体_GB2312"/>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firstLine="956" w:firstLineChars="299"/>
        <w:jc w:val="center"/>
        <w:textAlignment w:val="auto"/>
        <w:rPr>
          <w:rFonts w:hint="eastAsia" w:ascii="楷体_GB2312" w:hAnsi="宋体" w:eastAsia="楷体_GB2312"/>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楷体_GB2312" w:hAnsi="宋体" w:eastAsia="楷体_GB2312"/>
          <w:color w:val="000000" w:themeColor="text1"/>
          <w:sz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000000" w:themeColor="text1"/>
          <w:highlight w:val="none"/>
          <w14:textFill>
            <w14:solidFill>
              <w14:schemeClr w14:val="tx1"/>
            </w14:solidFill>
          </w14:textFill>
        </w:rPr>
      </w:pPr>
      <w:r>
        <w:rPr>
          <w:rFonts w:hint="eastAsia" w:ascii="楷体_GB2312" w:hAnsi="宋体" w:eastAsia="楷体_GB2312"/>
          <w:b/>
          <w:bCs/>
          <w:color w:val="000000" w:themeColor="text1"/>
          <w:sz w:val="32"/>
          <w:highlight w:val="none"/>
          <w14:textFill>
            <w14:solidFill>
              <w14:schemeClr w14:val="tx1"/>
            </w14:solidFill>
          </w14:textFill>
        </w:rPr>
        <w:br w:type="page"/>
      </w:r>
    </w:p>
    <w:p>
      <w:pPr>
        <w:pStyle w:val="4"/>
        <w:ind w:firstLine="573"/>
        <w:rPr>
          <w:rFonts w:hint="eastAsia" w:ascii="CESI仿宋-GB2312" w:hAnsi="CESI仿宋-GB2312" w:eastAsia="CESI仿宋-GB2312" w:cs="CESI仿宋-GB2312"/>
          <w:b/>
          <w:bCs/>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根据《深圳市工业及其他产业用地供应管理办法》（深府规﹝2019﹞4号）（以下简称《管理办法》），</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为</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保障坪山区产业发展用地</w:t>
      </w:r>
      <w:r>
        <w:rPr>
          <w:rFonts w:hint="eastAsia" w:ascii="CESI仿宋-GB2312" w:hAnsi="CESI仿宋-GB2312" w:eastAsia="CESI仿宋-GB2312" w:cs="CESI仿宋-GB2312"/>
          <w:color w:val="000000" w:themeColor="text1"/>
          <w:sz w:val="30"/>
          <w:szCs w:val="30"/>
          <w14:textFill>
            <w14:solidFill>
              <w14:schemeClr w14:val="tx1"/>
            </w14:solidFill>
          </w14:textFill>
        </w:rPr>
        <w:t>需求</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切实履行产业监管相关要求，</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甲方代表深圳市坪山区人民政府，与乙方协商一致，订立此协议。本协议作为土地使用权出让合同(合同编号: 深地合字</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号 )的附件</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一、本协议双方当事人</w:t>
      </w:r>
    </w:p>
    <w:p>
      <w:pPr>
        <w:keepNext w:val="0"/>
        <w:keepLines w:val="0"/>
        <w:pageBreakBefore w:val="0"/>
        <w:kinsoku/>
        <w:wordWrap/>
        <w:overflowPunct/>
        <w:topLinePunct w:val="0"/>
        <w:autoSpaceDE/>
        <w:autoSpaceDN/>
        <w:bidi w:val="0"/>
        <w:adjustRightInd w:val="0"/>
        <w:snapToGrid w:val="0"/>
        <w:spacing w:line="560" w:lineRule="exact"/>
        <w:ind w:left="630" w:leftChars="300"/>
        <w:textAlignment w:val="auto"/>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甲方：</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630" w:leftChars="300"/>
        <w:textAlignment w:val="auto"/>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法定代表人：</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职务：</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149" w:leftChars="-71" w:firstLine="750" w:firstLineChars="250"/>
        <w:jc w:val="left"/>
        <w:textAlignment w:val="auto"/>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 xml:space="preserve">地址: </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149" w:leftChars="-71" w:firstLine="750" w:firstLineChars="250"/>
        <w:jc w:val="left"/>
        <w:textAlignment w:val="auto"/>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电话：</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630" w:leftChars="300"/>
        <w:textAlignment w:val="auto"/>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乙方（土地竞得者）：</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630" w:leftChars="30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统一社会信用代码：</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法定代表人：</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职务：</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p>
    <w:p>
      <w:pPr>
        <w:keepNext w:val="0"/>
        <w:keepLines w:val="0"/>
        <w:pageBreakBefore w:val="0"/>
        <w:tabs>
          <w:tab w:val="left" w:pos="5220"/>
        </w:tabs>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position w:val="-32"/>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 xml:space="preserve">地址： </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p>
    <w:p>
      <w:pPr>
        <w:keepNext w:val="0"/>
        <w:keepLines w:val="0"/>
        <w:pageBreakBefore w:val="0"/>
        <w:tabs>
          <w:tab w:val="left" w:pos="2700"/>
        </w:tabs>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电话：</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lang w:eastAsia="zh-CN"/>
          <w14:textFill>
            <w14:solidFill>
              <w14:schemeClr w14:val="tx1"/>
            </w14:solidFill>
          </w14:textFill>
        </w:rPr>
        <w:t>二、</w:t>
      </w: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地块基本情况</w:t>
      </w:r>
    </w:p>
    <w:p>
      <w:pPr>
        <w:keepNext w:val="0"/>
        <w:keepLines w:val="0"/>
        <w:pageBreakBefore w:val="0"/>
        <w:kinsoku/>
        <w:wordWrap/>
        <w:overflowPunct/>
        <w:topLinePunct w:val="0"/>
        <w:autoSpaceDE/>
        <w:autoSpaceDN/>
        <w:bidi w:val="0"/>
        <w:adjustRightInd w:val="0"/>
        <w:snapToGrid w:val="0"/>
        <w:spacing w:line="560" w:lineRule="exact"/>
        <w:ind w:left="447" w:leftChars="213" w:firstLine="120" w:firstLineChars="40"/>
        <w:textAlignment w:val="auto"/>
        <w:rPr>
          <w:rFonts w:hint="eastAsia" w:ascii="CESI仿宋-GB2312" w:hAnsi="CESI仿宋-GB2312" w:eastAsia="CESI仿宋-GB2312" w:cs="CESI仿宋-GB2312"/>
          <w:bCs/>
          <w:color w:val="000000" w:themeColor="text1"/>
          <w:spacing w:val="-20"/>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宗地编号/用地方案号：</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t xml:space="preserve"> G14311-8036    </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t xml:space="preserve"> </w:t>
      </w:r>
      <w:r>
        <w:rPr>
          <w:rFonts w:hint="eastAsia" w:ascii="CESI仿宋-GB2312" w:hAnsi="CESI仿宋-GB2312" w:eastAsia="CESI仿宋-GB2312" w:cs="CESI仿宋-GB2312"/>
          <w:bCs/>
          <w:color w:val="000000" w:themeColor="text1"/>
          <w:spacing w:val="-20"/>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567" w:leftChars="270"/>
        <w:textAlignment w:val="auto"/>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土地位置：</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坪山区坑梓街道沙田社区规划中村路与下角路交汇处西南角            </w:t>
      </w:r>
      <w:r>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567" w:leftChars="270"/>
        <w:textAlignment w:val="auto"/>
        <w:rPr>
          <w:rFonts w:hint="eastAsia" w:ascii="CESI仿宋-GB2312" w:hAnsi="CESI仿宋-GB2312" w:eastAsia="CESI仿宋-GB2312" w:cs="CESI仿宋-GB2312"/>
          <w:bCs/>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土地用途：</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u w:val="single"/>
          <w:lang w:val="en-US" w:eastAsia="zh-CN"/>
          <w14:textFill>
            <w14:solidFill>
              <w14:schemeClr w14:val="tx1"/>
            </w14:solidFill>
          </w14:textFill>
        </w:rPr>
        <w:t>普通</w:t>
      </w:r>
      <w:r>
        <w:rPr>
          <w:rFonts w:hint="eastAsia" w:ascii="CESI仿宋-GB2312" w:hAnsi="CESI仿宋-GB2312" w:eastAsia="CESI仿宋-GB2312" w:cs="CESI仿宋-GB2312"/>
          <w:bCs/>
          <w:color w:val="000000" w:themeColor="text1"/>
          <w:sz w:val="30"/>
          <w:szCs w:val="30"/>
          <w:u w:val="single"/>
          <w14:textFill>
            <w14:solidFill>
              <w14:schemeClr w14:val="tx1"/>
            </w14:solidFill>
          </w14:textFill>
        </w:rPr>
        <w:t>工业用地</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总用地面积（平方米）：</w:t>
      </w:r>
      <w:r>
        <w:rPr>
          <w:rFonts w:hint="eastAsia" w:ascii="CESI仿宋-GB2312" w:hAnsi="CESI仿宋-GB2312" w:eastAsia="CESI仿宋-GB2312" w:cs="CESI仿宋-GB2312"/>
          <w:bCs/>
          <w:color w:val="000000" w:themeColor="text1"/>
          <w:spacing w:val="-20"/>
          <w:sz w:val="30"/>
          <w:szCs w:val="30"/>
          <w:highlight w:val="none"/>
          <w:u w:val="single"/>
          <w14:textFill>
            <w14:solidFill>
              <w14:schemeClr w14:val="tx1"/>
            </w14:solidFill>
          </w14:textFill>
        </w:rPr>
        <w:t xml:space="preserve">   25422.97 </w:t>
      </w:r>
      <w:r>
        <w:rPr>
          <w:rFonts w:hint="eastAsia" w:ascii="CESI仿宋-GB2312" w:hAnsi="CESI仿宋-GB2312" w:eastAsia="CESI仿宋-GB2312" w:cs="CESI仿宋-GB2312"/>
          <w:bCs/>
          <w:color w:val="000000" w:themeColor="text1"/>
          <w:spacing w:val="-20"/>
          <w:sz w:val="30"/>
          <w:szCs w:val="30"/>
          <w:highlight w:val="none"/>
          <w:u w:val="single"/>
          <w:lang w:val="en-US" w:eastAsia="zh-CN"/>
          <w14:textFill>
            <w14:solidFill>
              <w14:schemeClr w14:val="tx1"/>
            </w14:solidFill>
          </w14:textFill>
        </w:rPr>
        <w:t xml:space="preserve">            </w:t>
      </w:r>
      <w:r>
        <w:rPr>
          <w:rFonts w:hint="eastAsia" w:ascii="CESI仿宋-GB2312" w:hAnsi="CESI仿宋-GB2312" w:eastAsia="CESI仿宋-GB2312" w:cs="CESI仿宋-GB2312"/>
          <w:bCs/>
          <w:color w:val="000000" w:themeColor="text1"/>
          <w:spacing w:val="-20"/>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pacing w:val="-20"/>
          <w:sz w:val="30"/>
          <w:szCs w:val="30"/>
          <w:highlight w:val="none"/>
          <w:u w:val="single"/>
          <w:lang w:val="en-US" w:eastAsia="zh-CN"/>
          <w14:textFill>
            <w14:solidFill>
              <w14:schemeClr w14:val="tx1"/>
            </w14:solidFill>
          </w14:textFill>
        </w:rPr>
        <w:t xml:space="preserve">            </w:t>
      </w:r>
    </w:p>
    <w:p>
      <w:pPr>
        <w:keepNext w:val="0"/>
        <w:keepLines w:val="0"/>
        <w:pageBreakBefore w:val="0"/>
        <w:tabs>
          <w:tab w:val="left" w:pos="5220"/>
          <w:tab w:val="left" w:pos="5400"/>
          <w:tab w:val="left" w:pos="5580"/>
        </w:tabs>
        <w:kinsoku/>
        <w:wordWrap/>
        <w:overflowPunct/>
        <w:topLinePunct w:val="0"/>
        <w:autoSpaceDE/>
        <w:autoSpaceDN/>
        <w:bidi w:val="0"/>
        <w:adjustRightInd w:val="0"/>
        <w:snapToGrid w:val="0"/>
        <w:spacing w:line="560" w:lineRule="exact"/>
        <w:ind w:firstLine="570"/>
        <w:textAlignment w:val="auto"/>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总建筑面积（平方米）：</w:t>
      </w:r>
      <w:r>
        <w:rPr>
          <w:rFonts w:hint="eastAsia" w:ascii="CESI仿宋-GB2312" w:hAnsi="CESI仿宋-GB2312" w:eastAsia="CESI仿宋-GB2312" w:cs="CESI仿宋-GB2312"/>
          <w:bCs/>
          <w:color w:val="000000" w:themeColor="text1"/>
          <w:spacing w:val="-20"/>
          <w:sz w:val="30"/>
          <w:szCs w:val="30"/>
          <w:highlight w:val="none"/>
          <w:u w:val="single"/>
          <w14:textFill>
            <w14:solidFill>
              <w14:schemeClr w14:val="tx1"/>
            </w14:solidFill>
          </w14:textFill>
        </w:rPr>
        <w:t xml:space="preserve">  10</w:t>
      </w:r>
      <w:r>
        <w:rPr>
          <w:rFonts w:hint="eastAsia" w:ascii="CESI仿宋-GB2312" w:hAnsi="CESI仿宋-GB2312" w:eastAsia="CESI仿宋-GB2312" w:cs="CESI仿宋-GB2312"/>
          <w:bCs/>
          <w:color w:val="000000" w:themeColor="text1"/>
          <w:spacing w:val="-20"/>
          <w:sz w:val="30"/>
          <w:szCs w:val="30"/>
          <w:highlight w:val="none"/>
          <w:u w:val="single"/>
          <w:lang w:val="en-US" w:eastAsia="zh-CN"/>
          <w14:textFill>
            <w14:solidFill>
              <w14:schemeClr w14:val="tx1"/>
            </w14:solidFill>
          </w14:textFill>
        </w:rPr>
        <w:t>9000</w:t>
      </w:r>
      <w:r>
        <w:rPr>
          <w:rFonts w:hint="eastAsia" w:ascii="CESI仿宋-GB2312" w:hAnsi="CESI仿宋-GB2312" w:eastAsia="CESI仿宋-GB2312" w:cs="CESI仿宋-GB2312"/>
          <w:bCs/>
          <w:color w:val="000000" w:themeColor="text1"/>
          <w:spacing w:val="-20"/>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pacing w:val="-20"/>
          <w:sz w:val="30"/>
          <w:szCs w:val="30"/>
          <w:highlight w:val="none"/>
          <w:u w:val="single"/>
          <w:lang w:val="en-US" w:eastAsia="zh-CN"/>
          <w14:textFill>
            <w14:solidFill>
              <w14:schemeClr w14:val="tx1"/>
            </w14:solidFill>
          </w14:textFill>
        </w:rPr>
        <w:t xml:space="preserve">              </w:t>
      </w:r>
    </w:p>
    <w:p>
      <w:pPr>
        <w:keepNext w:val="0"/>
        <w:keepLines w:val="0"/>
        <w:pageBreakBefore w:val="0"/>
        <w:tabs>
          <w:tab w:val="left" w:pos="7200"/>
        </w:tabs>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项目名称：</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土地使用年期（年）：</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t>20</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t xml:space="preserve"> </w:t>
      </w:r>
      <w:bookmarkStart w:id="1" w:name="_GoBack"/>
      <w:bookmarkEnd w:id="1"/>
      <w:r>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Cs/>
          <w:color w:val="000000" w:themeColor="text1"/>
          <w:sz w:val="30"/>
          <w:szCs w:val="30"/>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三、甲方权利和义务</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（一）甲方根据深圳市和坪山区产业政策和发展要求，为产业用地项目提供指导性服务。</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（二）本协议约定项目投产</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后</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1年内</w:t>
      </w:r>
      <w:r>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t>、</w:t>
      </w:r>
      <w:r>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t>投产</w:t>
      </w:r>
      <w:r>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t>后每隔5年、</w:t>
      </w:r>
      <w:r>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t>使用</w:t>
      </w:r>
      <w:r>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t>年期届满前1年等阶段，甲方</w:t>
      </w:r>
      <w:r>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t>有权</w:t>
      </w:r>
      <w:r>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t>自行或委托专业机构对本协议约定事项的履行情况进行核查；乙方应当配合，提供核查所需的文件、资料和数据等。</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t>除上述定期核查外，本协议履行期间，甲方可根据乙方履约情况随时展开核查，或调整履约核查的时间和频率，确保乙方各项义务得到全面履行。</w:t>
      </w:r>
    </w:p>
    <w:p>
      <w:pPr>
        <w:adjustRightInd w:val="0"/>
        <w:snapToGrid w:val="0"/>
        <w:spacing w:line="560" w:lineRule="exact"/>
        <w:ind w:firstLine="600" w:firstLineChars="200"/>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t>（三）</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本协议履行期间，</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政府相关职能部门，包括但不限于</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甲方</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区发改局、</w:t>
      </w:r>
      <w:r>
        <w:rPr>
          <w:rFonts w:hint="eastAsia" w:eastAsia="CESI仿宋-GB2312" w:cs="Times New Roman"/>
          <w:color w:val="auto"/>
          <w:sz w:val="30"/>
          <w:szCs w:val="30"/>
          <w:lang w:eastAsia="zh-CN"/>
        </w:rPr>
        <w:t>区科创局、</w:t>
      </w:r>
      <w:r>
        <w:rPr>
          <w:rFonts w:hint="default" w:ascii="Times New Roman" w:hAnsi="Times New Roman" w:eastAsia="CESI仿宋-GB2312" w:cs="Times New Roman"/>
          <w:color w:val="auto"/>
          <w:sz w:val="30"/>
          <w:szCs w:val="30"/>
        </w:rPr>
        <w:t>区工信局、</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市规划和自然资源局坪山管理局</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市生态环境局坪山管理局</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区税务局等</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依据各自职能对乙方</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履约情况</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进行监管。</w:t>
      </w:r>
    </w:p>
    <w:p>
      <w:pPr>
        <w:adjustRightInd w:val="0"/>
        <w:snapToGrid w:val="0"/>
        <w:spacing w:line="560" w:lineRule="exact"/>
        <w:ind w:firstLine="600" w:firstLineChars="200"/>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t>（四）履约核查未通过的，</w:t>
      </w:r>
      <w:r>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t>甲方有权要求乙方</w:t>
      </w:r>
      <w:r>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t>限期</w:t>
      </w:r>
      <w:r>
        <w:rPr>
          <w:rFonts w:hint="eastAsia" w:ascii="CESI仿宋-GB2312" w:hAnsi="CESI仿宋-GB2312" w:eastAsia="CESI仿宋-GB2312" w:cs="CESI仿宋-GB2312"/>
          <w:bCs w:val="0"/>
          <w:color w:val="000000" w:themeColor="text1"/>
          <w:sz w:val="30"/>
          <w:szCs w:val="30"/>
          <w:highlight w:val="none"/>
          <w14:textFill>
            <w14:solidFill>
              <w14:schemeClr w14:val="tx1"/>
            </w14:solidFill>
          </w14:textFill>
        </w:rPr>
        <w:t>进行整改</w:t>
      </w:r>
      <w:r>
        <w:rPr>
          <w:rFonts w:hint="eastAsia" w:ascii="CESI仿宋-GB2312" w:hAnsi="CESI仿宋-GB2312" w:eastAsia="CESI仿宋-GB2312" w:cs="CESI仿宋-GB2312"/>
          <w:bCs w:val="0"/>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若乙方违反本协议有关约定，甲方有权追究乙方的违约责任。</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lang w:val="en-US" w:eastAsia="zh-CN"/>
          <w14:textFill>
            <w14:solidFill>
              <w14:schemeClr w14:val="tx1"/>
            </w14:solidFill>
          </w14:textFill>
        </w:rPr>
        <w:t>四、</w:t>
      </w: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乙方权利和义务</w:t>
      </w:r>
    </w:p>
    <w:p>
      <w:pPr>
        <w:numPr>
          <w:ilvl w:val="0"/>
          <w:numId w:val="0"/>
        </w:numPr>
        <w:adjustRightInd w:val="0"/>
        <w:snapToGrid w:val="0"/>
        <w:spacing w:line="560" w:lineRule="exact"/>
        <w:ind w:left="0" w:leftChars="0" w:firstLine="600" w:firstLineChars="200"/>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（一）</w:t>
      </w:r>
      <w:r>
        <w:rPr>
          <w:rFonts w:hint="eastAsia" w:ascii="CESI仿宋-GB2312" w:hAnsi="CESI仿宋-GB2312" w:eastAsia="CESI仿宋-GB2312" w:cs="CESI仿宋-GB2312"/>
          <w:color w:val="000000" w:themeColor="text1"/>
          <w:sz w:val="30"/>
          <w:szCs w:val="30"/>
          <w14:textFill>
            <w14:solidFill>
              <w14:schemeClr w14:val="tx1"/>
            </w14:solidFill>
          </w14:textFill>
        </w:rPr>
        <w:t>乙方承诺，本宗地</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只能用于本协议第二条“地块基本情况”中约定项目的建设。</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（二）</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乙方承诺：</w:t>
      </w:r>
    </w:p>
    <w:p>
      <w:pPr>
        <w:keepNext w:val="0"/>
        <w:keepLines w:val="0"/>
        <w:pageBreakBefore w:val="0"/>
        <w:kinsoku/>
        <w:wordWrap/>
        <w:overflowPunct/>
        <w:topLinePunct w:val="0"/>
        <w:autoSpaceDE/>
        <w:autoSpaceDN/>
        <w:bidi w:val="0"/>
        <w:adjustRightInd w:val="0"/>
        <w:snapToGrid w:val="0"/>
        <w:spacing w:line="560" w:lineRule="exact"/>
        <w:ind w:left="0" w:leftChars="0" w:firstLine="641" w:firstLineChars="213"/>
        <w:textAlignment w:val="auto"/>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t>1.项目投产：</w:t>
      </w:r>
    </w:p>
    <w:p>
      <w:pPr>
        <w:keepNext w:val="0"/>
        <w:keepLines w:val="0"/>
        <w:pageBreakBefore w:val="0"/>
        <w:kinsoku/>
        <w:wordWrap/>
        <w:overflowPunct/>
        <w:topLinePunct w:val="0"/>
        <w:autoSpaceDE/>
        <w:autoSpaceDN/>
        <w:bidi w:val="0"/>
        <w:adjustRightInd w:val="0"/>
        <w:snapToGrid w:val="0"/>
        <w:spacing w:line="560" w:lineRule="exact"/>
        <w:ind w:left="0" w:leftChars="0" w:firstLine="639" w:firstLineChars="213"/>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项目投产时间为</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项目竣工</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后</w:t>
      </w:r>
      <w:r>
        <w:rPr>
          <w:rFonts w:hint="eastAsia" w:ascii="CESI仿宋-GB2312" w:hAnsi="CESI仿宋-GB2312" w:eastAsia="CESI仿宋-GB2312" w:cs="CESI仿宋-GB2312"/>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6  </w:t>
      </w:r>
      <w:r>
        <w:rPr>
          <w:rFonts w:hint="eastAsia" w:ascii="CESI仿宋-GB2312" w:hAnsi="CESI仿宋-GB2312" w:eastAsia="CESI仿宋-GB2312" w:cs="CESI仿宋-GB2312"/>
          <w:color w:val="000000" w:themeColor="text1"/>
          <w:sz w:val="30"/>
          <w:szCs w:val="30"/>
          <w:highlight w:val="none"/>
          <w:u w:val="none"/>
          <w:lang w:val="en-US" w:eastAsia="zh-CN"/>
          <w14:textFill>
            <w14:solidFill>
              <w14:schemeClr w14:val="tx1"/>
            </w14:solidFill>
          </w14:textFill>
        </w:rPr>
        <w:t>个月</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内</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。本协议所指项目竣工以</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本宗地土地</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使用</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权出让合同书</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约定的竣工日期为准；竣工日期变更的，以有关部门批准变更的竣工日期为准。</w:t>
      </w:r>
    </w:p>
    <w:p>
      <w:pPr>
        <w:keepNext w:val="0"/>
        <w:keepLines w:val="0"/>
        <w:pageBreakBefore w:val="0"/>
        <w:kinsoku/>
        <w:wordWrap/>
        <w:overflowPunct/>
        <w:topLinePunct w:val="0"/>
        <w:autoSpaceDE/>
        <w:autoSpaceDN/>
        <w:bidi w:val="0"/>
        <w:adjustRightInd w:val="0"/>
        <w:snapToGrid w:val="0"/>
        <w:spacing w:line="560" w:lineRule="exact"/>
        <w:ind w:left="0" w:leftChars="0" w:firstLine="641" w:firstLineChars="213"/>
        <w:textAlignment w:val="auto"/>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t>2.投资强度：</w:t>
      </w:r>
    </w:p>
    <w:p>
      <w:pPr>
        <w:keepNext w:val="0"/>
        <w:keepLines w:val="0"/>
        <w:pageBreakBefore w:val="0"/>
        <w:kinsoku/>
        <w:wordWrap/>
        <w:overflowPunct/>
        <w:topLinePunct w:val="0"/>
        <w:autoSpaceDE/>
        <w:autoSpaceDN/>
        <w:bidi w:val="0"/>
        <w:adjustRightInd w:val="0"/>
        <w:snapToGrid w:val="0"/>
        <w:spacing w:line="560" w:lineRule="exact"/>
        <w:ind w:left="0" w:leftChars="0" w:firstLine="639" w:firstLineChars="213"/>
        <w:textAlignment w:val="auto"/>
        <w:rPr>
          <w:rFonts w:hint="default" w:ascii="CESI仿宋-GB2312" w:hAnsi="CESI仿宋-GB2312" w:eastAsia="CESI仿宋-GB2312" w:cs="CESI仿宋-GB2312"/>
          <w:color w:val="auto"/>
          <w:sz w:val="30"/>
          <w:szCs w:val="30"/>
          <w:highlight w:val="none"/>
          <w:lang w:val="en" w:eastAsia="zh-CN"/>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截至</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项目</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投产后</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w:t>
      </w:r>
      <w:r>
        <w:rPr>
          <w:rFonts w:hint="default" w:ascii="CESI仿宋-GB2312" w:hAnsi="CESI仿宋-GB2312" w:eastAsia="CESI仿宋-GB2312" w:cs="CESI仿宋-GB2312"/>
          <w:color w:val="000000" w:themeColor="text1"/>
          <w:sz w:val="30"/>
          <w:szCs w:val="30"/>
          <w:highlight w:val="none"/>
          <w:u w:val="single"/>
          <w:lang w:val="en" w:eastAsia="zh-CN"/>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1  </w:t>
      </w:r>
      <w:r>
        <w:rPr>
          <w:rFonts w:hint="eastAsia" w:ascii="CESI仿宋-GB2312" w:hAnsi="CESI仿宋-GB2312" w:eastAsia="CESI仿宋-GB2312" w:cs="CESI仿宋-GB2312"/>
          <w:color w:val="000000" w:themeColor="text1"/>
          <w:sz w:val="30"/>
          <w:szCs w:val="30"/>
          <w:highlight w:val="none"/>
          <w:u w:val="none"/>
          <w:lang w:val="en-US" w:eastAsia="zh-CN"/>
          <w14:textFill>
            <w14:solidFill>
              <w14:schemeClr w14:val="tx1"/>
            </w14:solidFill>
          </w14:textFill>
        </w:rPr>
        <w:t>年</w:t>
      </w:r>
      <w:r>
        <w:rPr>
          <w:rFonts w:hint="eastAsia" w:ascii="CESI仿宋-GB2312" w:hAnsi="CESI仿宋-GB2312" w:eastAsia="CESI仿宋-GB2312" w:cs="CESI仿宋-GB2312"/>
          <w:color w:val="auto"/>
          <w:sz w:val="30"/>
          <w:szCs w:val="30"/>
          <w:highlight w:val="none"/>
        </w:rPr>
        <w:t>，项目</w:t>
      </w:r>
      <w:r>
        <w:rPr>
          <w:rFonts w:hint="eastAsia" w:ascii="CESI仿宋-GB2312" w:hAnsi="CESI仿宋-GB2312" w:eastAsia="CESI仿宋-GB2312" w:cs="CESI仿宋-GB2312"/>
          <w:color w:val="auto"/>
          <w:sz w:val="30"/>
          <w:szCs w:val="30"/>
          <w:highlight w:val="none"/>
          <w:lang w:eastAsia="zh-CN"/>
        </w:rPr>
        <w:t>总</w:t>
      </w:r>
      <w:r>
        <w:rPr>
          <w:rFonts w:hint="eastAsia" w:ascii="CESI仿宋-GB2312" w:hAnsi="CESI仿宋-GB2312" w:eastAsia="CESI仿宋-GB2312" w:cs="CESI仿宋-GB2312"/>
          <w:color w:val="auto"/>
          <w:sz w:val="30"/>
          <w:szCs w:val="30"/>
          <w:highlight w:val="none"/>
        </w:rPr>
        <w:t>固定资产投资</w:t>
      </w:r>
      <w:r>
        <w:rPr>
          <w:rFonts w:hint="eastAsia" w:ascii="CESI仿宋-GB2312" w:hAnsi="CESI仿宋-GB2312" w:eastAsia="CESI仿宋-GB2312" w:cs="CESI仿宋-GB2312"/>
          <w:color w:val="auto"/>
          <w:sz w:val="30"/>
          <w:szCs w:val="30"/>
          <w:highlight w:val="none"/>
          <w:lang w:eastAsia="zh-CN"/>
        </w:rPr>
        <w:t>额</w:t>
      </w:r>
      <w:r>
        <w:rPr>
          <w:rFonts w:hint="eastAsia" w:ascii="CESI仿宋-GB2312" w:hAnsi="CESI仿宋-GB2312" w:eastAsia="CESI仿宋-GB2312" w:cs="CESI仿宋-GB2312"/>
          <w:color w:val="auto"/>
          <w:sz w:val="30"/>
          <w:szCs w:val="30"/>
          <w:highlight w:val="none"/>
        </w:rPr>
        <w:t>不低于</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5.5  亿</w:t>
      </w:r>
      <w:r>
        <w:rPr>
          <w:rFonts w:hint="eastAsia" w:ascii="CESI仿宋-GB2312" w:hAnsi="CESI仿宋-GB2312" w:eastAsia="CESI仿宋-GB2312" w:cs="CESI仿宋-GB2312"/>
          <w:color w:val="auto"/>
          <w:sz w:val="30"/>
          <w:szCs w:val="30"/>
          <w:highlight w:val="none"/>
        </w:rPr>
        <w:t>元。固定资产投资额</w:t>
      </w:r>
      <w:r>
        <w:rPr>
          <w:rFonts w:hint="eastAsia" w:ascii="CESI仿宋-GB2312" w:hAnsi="CESI仿宋-GB2312" w:eastAsia="CESI仿宋-GB2312" w:cs="CESI仿宋-GB2312"/>
          <w:color w:val="auto"/>
          <w:sz w:val="30"/>
          <w:szCs w:val="30"/>
          <w:highlight w:val="none"/>
          <w:lang w:eastAsia="zh-CN"/>
        </w:rPr>
        <w:t>包</w:t>
      </w:r>
      <w:r>
        <w:rPr>
          <w:rFonts w:hint="eastAsia" w:ascii="CESI仿宋-GB2312" w:hAnsi="CESI仿宋-GB2312" w:eastAsia="CESI仿宋-GB2312" w:cs="CESI仿宋-GB2312"/>
          <w:color w:val="auto"/>
          <w:sz w:val="30"/>
          <w:szCs w:val="30"/>
          <w:highlight w:val="none"/>
          <w:lang w:val="en-US" w:eastAsia="zh-CN"/>
        </w:rPr>
        <w:t>括厂房、设备和</w:t>
      </w:r>
      <w:r>
        <w:rPr>
          <w:rFonts w:hint="eastAsia" w:ascii="CESI仿宋-GB2312" w:hAnsi="CESI仿宋-GB2312" w:eastAsia="CESI仿宋-GB2312" w:cs="CESI仿宋-GB2312"/>
          <w:color w:val="auto"/>
          <w:sz w:val="30"/>
          <w:szCs w:val="30"/>
          <w:highlight w:val="none"/>
        </w:rPr>
        <w:t>地价款</w:t>
      </w:r>
      <w:r>
        <w:rPr>
          <w:rFonts w:hint="default" w:ascii="CESI仿宋-GB2312" w:hAnsi="CESI仿宋-GB2312" w:eastAsia="CESI仿宋-GB2312" w:cs="CESI仿宋-GB2312"/>
          <w:color w:val="auto"/>
          <w:sz w:val="30"/>
          <w:szCs w:val="30"/>
          <w:highlight w:val="none"/>
          <w:lang w:val="en" w:eastAsia="zh-CN"/>
        </w:rPr>
        <w:t>。</w:t>
      </w:r>
    </w:p>
    <w:p>
      <w:pPr>
        <w:pStyle w:val="2"/>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pPr>
      <w:r>
        <w:rPr>
          <w:rFonts w:hint="default" w:ascii="CESI仿宋-GB2312" w:hAnsi="CESI仿宋-GB2312" w:eastAsia="CESI仿宋-GB2312" w:cs="CESI仿宋-GB2312"/>
          <w:b/>
          <w:bCs/>
          <w:color w:val="000000" w:themeColor="text1"/>
          <w:sz w:val="30"/>
          <w:szCs w:val="30"/>
          <w:highlight w:val="none"/>
          <w:lang w:val="en" w:eastAsia="zh-CN"/>
          <w14:textFill>
            <w14:solidFill>
              <w14:schemeClr w14:val="tx1"/>
            </w14:solidFill>
          </w14:textFill>
        </w:rPr>
        <w:t>3.</w:t>
      </w:r>
      <w:r>
        <w:rPr>
          <w:rFonts w:hint="eastAsia" w:ascii="CESI仿宋-GB2312" w:hAnsi="CESI仿宋-GB2312" w:eastAsia="CESI仿宋-GB2312" w:cs="CESI仿宋-GB2312"/>
          <w:b/>
          <w:bCs/>
          <w:color w:val="000000" w:themeColor="text1"/>
          <w:sz w:val="30"/>
          <w:szCs w:val="30"/>
          <w:highlight w:val="none"/>
          <w:lang w:val="en" w:eastAsia="zh-CN"/>
          <w14:textFill>
            <w14:solidFill>
              <w14:schemeClr w14:val="tx1"/>
            </w14:solidFill>
          </w14:textFill>
        </w:rPr>
        <w:t>土地</w:t>
      </w:r>
      <w:r>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t>产出效率和税收贡献率：</w:t>
      </w:r>
    </w:p>
    <w:p>
      <w:pPr>
        <w:pStyle w:val="2"/>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30"/>
          <w:szCs w:val="30"/>
          <w:highlight w:val="none"/>
          <w:lang w:val="en-US" w:eastAsia="zh-CN"/>
          <w14:textFill>
            <w14:solidFill>
              <w14:schemeClr w14:val="tx1"/>
            </w14:solidFill>
          </w14:textFill>
        </w:rPr>
        <w:t>（1）从签订</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土地</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使用</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权出让合同书</w:t>
      </w:r>
      <w:r>
        <w:rPr>
          <w:rFonts w:hint="eastAsia" w:ascii="CESI仿宋-GB2312" w:hAnsi="CESI仿宋-GB2312" w:eastAsia="CESI仿宋-GB2312" w:cs="CESI仿宋-GB2312"/>
          <w:b w:val="0"/>
          <w:bCs w:val="0"/>
          <w:color w:val="000000" w:themeColor="text1"/>
          <w:sz w:val="30"/>
          <w:szCs w:val="30"/>
          <w:highlight w:val="none"/>
          <w:lang w:val="en-US" w:eastAsia="zh-CN"/>
          <w14:textFill>
            <w14:solidFill>
              <w14:schemeClr w14:val="tx1"/>
            </w14:solidFill>
          </w14:textFill>
        </w:rPr>
        <w:t>当年至项目投产当年</w:t>
      </w:r>
      <w:r>
        <w:rPr>
          <w:rFonts w:hint="eastAsia" w:ascii="CESI仿宋-GB2312" w:hAnsi="CESI仿宋-GB2312" w:eastAsia="CESI仿宋-GB2312" w:cs="CESI仿宋-GB2312"/>
          <w:b w:val="0"/>
          <w:bCs w:val="0"/>
          <w:color w:val="000000" w:themeColor="text1"/>
          <w:sz w:val="30"/>
          <w:szCs w:val="30"/>
          <w:highlight w:val="none"/>
          <w:u w:val="none"/>
          <w:lang w:val="en-US"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土地产出效率（</w:t>
      </w:r>
      <w:r>
        <w:rPr>
          <w:rFonts w:hint="default"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项目在坪山区纳统的年</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r>
        <w:rPr>
          <w:rFonts w:hint="default"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产</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值□营业收入</w:t>
      </w:r>
      <w:r>
        <w:rPr>
          <w:rFonts w:hint="default"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/项目建设用地面积</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年均不低于</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108174</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元/平方米；乙方</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的税收贡献</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率</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项目年纳税额</w:t>
      </w:r>
      <w:r>
        <w:rPr>
          <w:rFonts w:hint="default"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/项目建设用地面积</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）年均不低于</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1966  </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元/平方米。项目投产后（不含投产当年）</w:t>
      </w:r>
      <w:r>
        <w:rPr>
          <w:rFonts w:hint="eastAsia" w:ascii="CESI仿宋-GB2312" w:hAnsi="CESI仿宋-GB2312" w:eastAsia="CESI仿宋-GB2312" w:cs="CESI仿宋-GB2312"/>
          <w:color w:val="auto"/>
          <w:sz w:val="30"/>
          <w:szCs w:val="30"/>
          <w:highlight w:val="none"/>
          <w:lang w:val="en-US" w:eastAsia="zh-CN"/>
        </w:rPr>
        <w:t>首个</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5年，乙方的年均</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土地产出效率</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不低于</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118003  </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元/平方米，乙方的年均税收贡献率不低于</w:t>
      </w:r>
      <w:r>
        <w:rPr>
          <w:rFonts w:hint="eastAsia" w:ascii="CESI仿宋-GB2312" w:hAnsi="CESI仿宋-GB2312" w:eastAsia="CESI仿宋-GB2312" w:cs="CESI仿宋-GB2312"/>
          <w:color w:val="000000" w:themeColor="text1"/>
          <w:sz w:val="30"/>
          <w:szCs w:val="30"/>
          <w:highlight w:val="none"/>
          <w:u w:val="single"/>
          <w:lang w:val="en-US" w:eastAsia="zh-CN"/>
          <w14:textFill>
            <w14:solidFill>
              <w14:schemeClr w14:val="tx1"/>
            </w14:solidFill>
          </w14:textFill>
        </w:rPr>
        <w:t xml:space="preserve">  2458  </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元/平方米。</w:t>
      </w:r>
    </w:p>
    <w:p>
      <w:pPr>
        <w:pStyle w:val="2"/>
        <w:ind w:firstLine="600"/>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若乙方在竞得本宗地前，在坪山辖区内已持有</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工业及其他产业用地的</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上述</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项目建设用地面积</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为</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乙方在坪山区持有</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的全部工业及其他产业用地</w:t>
      </w:r>
      <w:r>
        <w:rPr>
          <w:rFonts w:hint="eastAsia" w:ascii="CESI仿宋-GB2312" w:hAnsi="CESI仿宋-GB2312" w:eastAsia="CESI仿宋-GB2312" w:cs="CESI仿宋-GB2312"/>
          <w:color w:val="000000" w:themeColor="text1"/>
          <w:sz w:val="30"/>
          <w:szCs w:val="30"/>
          <w:highlight w:val="none"/>
          <w:u w:val="none"/>
          <w:lang w:val="en-US" w:eastAsia="zh-CN"/>
          <w14:textFill>
            <w14:solidFill>
              <w14:schemeClr w14:val="tx1"/>
            </w14:solidFill>
          </w14:textFill>
        </w:rPr>
        <w:t>面积总和。</w:t>
      </w:r>
    </w:p>
    <w:p>
      <w:pPr>
        <w:pStyle w:val="2"/>
        <w:ind w:firstLine="600"/>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（2）</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承诺，利用本宗地</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所</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形成</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的产值（营业收入）</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和税收贡献</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全部纳入</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坪山</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区统计，且不以任何形式将产值（营业收入）和税收</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贡献</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转移至</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坪山</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区以外的法人主体。</w:t>
      </w:r>
    </w:p>
    <w:p>
      <w:pPr>
        <w:pStyle w:val="2"/>
        <w:keepNext w:val="0"/>
        <w:keepLines w:val="0"/>
        <w:pageBreakBefore w:val="0"/>
        <w:widowControl/>
        <w:kinsoku/>
        <w:wordWrap/>
        <w:overflowPunct/>
        <w:topLinePunct w:val="0"/>
        <w:autoSpaceDE/>
        <w:autoSpaceDN/>
        <w:bidi w:val="0"/>
        <w:adjustRightInd/>
        <w:snapToGrid w:val="0"/>
        <w:spacing w:line="560" w:lineRule="exact"/>
        <w:ind w:left="0" w:leftChars="0" w:firstLine="641" w:firstLineChars="213"/>
        <w:textAlignment w:val="auto"/>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pPr>
      <w:r>
        <w:rPr>
          <w:rFonts w:hint="default" w:ascii="CESI仿宋-GB2312" w:hAnsi="CESI仿宋-GB2312" w:eastAsia="CESI仿宋-GB2312" w:cs="CESI仿宋-GB2312"/>
          <w:b/>
          <w:bCs/>
          <w:color w:val="auto"/>
          <w:sz w:val="30"/>
          <w:szCs w:val="30"/>
          <w:highlight w:val="none"/>
          <w:lang w:val="en" w:eastAsia="zh-CN"/>
        </w:rPr>
        <w:t>4.</w:t>
      </w:r>
      <w:r>
        <w:rPr>
          <w:rFonts w:hint="default" w:ascii="CESI仿宋-GB2312" w:hAnsi="CESI仿宋-GB2312" w:eastAsia="CESI仿宋-GB2312" w:cs="CESI仿宋-GB2312"/>
          <w:b/>
          <w:bCs/>
          <w:color w:val="auto"/>
          <w:sz w:val="30"/>
          <w:szCs w:val="30"/>
          <w:highlight w:val="none"/>
          <w:lang w:val="en"/>
        </w:rPr>
        <w:t>产值</w:t>
      </w:r>
      <w:r>
        <w:rPr>
          <w:rFonts w:hint="eastAsia" w:ascii="CESI仿宋-GB2312" w:hAnsi="CESI仿宋-GB2312" w:eastAsia="CESI仿宋-GB2312" w:cs="CESI仿宋-GB2312"/>
          <w:b/>
          <w:bCs/>
          <w:color w:val="auto"/>
          <w:sz w:val="30"/>
          <w:szCs w:val="30"/>
          <w:highlight w:val="none"/>
        </w:rPr>
        <w:t>能耗</w:t>
      </w:r>
      <w:r>
        <w:rPr>
          <w:rFonts w:hint="eastAsia" w:ascii="CESI仿宋-GB2312" w:hAnsi="CESI仿宋-GB2312" w:eastAsia="CESI仿宋-GB2312" w:cs="CESI仿宋-GB2312"/>
          <w:color w:val="auto"/>
          <w:sz w:val="30"/>
          <w:szCs w:val="30"/>
          <w:highlight w:val="none"/>
          <w:lang w:eastAsia="zh-CN"/>
        </w:rPr>
        <w:t>：乙方上述项目投产后产值能耗</w:t>
      </w:r>
      <w:r>
        <w:rPr>
          <w:rFonts w:hint="eastAsia" w:ascii="CESI仿宋-GB2312" w:hAnsi="CESI仿宋-GB2312" w:eastAsia="CESI仿宋-GB2312" w:cs="CESI仿宋-GB2312"/>
          <w:color w:val="auto"/>
          <w:sz w:val="30"/>
          <w:szCs w:val="30"/>
          <w:highlight w:val="none"/>
        </w:rPr>
        <w:t>（单</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位工业总产值的能耗量）符合国家、省、市相关政策和法律法规要求</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left="0" w:leftChars="0" w:firstLine="641" w:firstLineChars="213"/>
        <w:textAlignment w:val="auto"/>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t>5.注册地：</w:t>
      </w:r>
    </w:p>
    <w:p>
      <w:pPr>
        <w:adjustRightInd w:val="0"/>
        <w:snapToGrid w:val="0"/>
        <w:spacing w:line="560" w:lineRule="exact"/>
        <w:ind w:firstLine="540" w:firstLineChars="180"/>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kern w:val="0"/>
          <w:sz w:val="30"/>
          <w:szCs w:val="30"/>
          <w:highlight w:val="none"/>
          <w14:textFill>
            <w14:solidFill>
              <w14:schemeClr w14:val="tx1"/>
            </w14:solidFill>
          </w14:textFill>
        </w:rPr>
        <w:t>乙方注册地址</w:t>
      </w:r>
      <w:r>
        <w:rPr>
          <w:rFonts w:hint="eastAsia" w:ascii="CESI仿宋-GB2312" w:hAnsi="CESI仿宋-GB2312" w:eastAsia="CESI仿宋-GB2312" w:cs="CESI仿宋-GB2312"/>
          <w:color w:val="000000" w:themeColor="text1"/>
          <w:kern w:val="0"/>
          <w:sz w:val="30"/>
          <w:szCs w:val="30"/>
          <w:highlight w:val="none"/>
          <w:lang w:eastAsia="zh-CN"/>
          <w14:textFill>
            <w14:solidFill>
              <w14:schemeClr w14:val="tx1"/>
            </w14:solidFill>
          </w14:textFill>
        </w:rPr>
        <w:t>（营业执照登记住所）</w:t>
      </w:r>
      <w:r>
        <w:rPr>
          <w:rFonts w:hint="eastAsia" w:ascii="CESI仿宋-GB2312" w:hAnsi="CESI仿宋-GB2312" w:eastAsia="CESI仿宋-GB2312" w:cs="CESI仿宋-GB2312"/>
          <w:color w:val="000000" w:themeColor="text1"/>
          <w:kern w:val="0"/>
          <w:sz w:val="30"/>
          <w:szCs w:val="30"/>
          <w:highlight w:val="none"/>
          <w14:textFill>
            <w14:solidFill>
              <w14:schemeClr w14:val="tx1"/>
            </w14:solidFill>
          </w14:textFill>
        </w:rPr>
        <w:t>不在坪山区的，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应</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在签订土地使用权出让合同后</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2</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个月内办理完成变更注册地址到坪山区的手续。乙方承诺土地</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使用</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年期内企业注册地址不变更到坪山区以外的地区。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1" w:firstLineChars="213"/>
        <w:textAlignment w:val="auto"/>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0"/>
          <w:szCs w:val="30"/>
          <w:highlight w:val="none"/>
          <w:lang w:val="en-US" w:eastAsia="zh-CN"/>
          <w14:textFill>
            <w14:solidFill>
              <w14:schemeClr w14:val="tx1"/>
            </w14:solidFill>
          </w14:textFill>
        </w:rPr>
        <w:t>6.</w:t>
      </w:r>
      <w:r>
        <w:rPr>
          <w:rFonts w:hint="eastAsia" w:ascii="CESI仿宋-GB2312" w:hAnsi="CESI仿宋-GB2312" w:eastAsia="CESI仿宋-GB2312" w:cs="CESI仿宋-GB2312"/>
          <w:b/>
          <w:bCs/>
          <w:color w:val="000000" w:themeColor="text1"/>
          <w:sz w:val="30"/>
          <w:szCs w:val="30"/>
          <w:highlight w:val="none"/>
          <w14:textFill>
            <w14:solidFill>
              <w14:schemeClr w14:val="tx1"/>
            </w14:solidFill>
          </w14:textFill>
        </w:rPr>
        <w:t>股权变更限制</w:t>
      </w:r>
      <w:r>
        <w:rPr>
          <w:rFonts w:hint="eastAsia" w:ascii="CESI仿宋-GB2312" w:hAnsi="CESI仿宋-GB2312" w:eastAsia="CESI仿宋-GB2312" w:cs="CESI仿宋-GB2312"/>
          <w:b/>
          <w:bCs/>
          <w:color w:val="000000" w:themeColor="text1"/>
          <w:sz w:val="30"/>
          <w:szCs w:val="30"/>
          <w:highlight w:val="none"/>
          <w:lang w:eastAsia="zh-CN"/>
          <w14:textFill>
            <w14:solidFill>
              <w14:schemeClr w14:val="tx1"/>
            </w14:solidFill>
          </w14:textFill>
        </w:rPr>
        <w:t>：</w:t>
      </w:r>
    </w:p>
    <w:p>
      <w:pPr>
        <w:pStyle w:val="2"/>
        <w:spacing w:line="560" w:lineRule="exact"/>
        <w:rPr>
          <w:rFonts w:hint="eastAsia" w:ascii="CESI仿宋-GB2312" w:hAnsi="CESI仿宋-GB2312" w:eastAsia="CESI仿宋-GB2312" w:cs="CESI仿宋-GB2312"/>
          <w:b w:val="0"/>
          <w:i w:val="0"/>
          <w:caps w:val="0"/>
          <w:color w:val="000000" w:themeColor="text1"/>
          <w:spacing w:val="0"/>
          <w:sz w:val="30"/>
          <w:szCs w:val="30"/>
          <w:highlight w:val="none"/>
          <w:shd w:val="clear" w:fill="auto"/>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未经坪山区人民政府同意，</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及主要股东、实际控制人不得擅自</w:t>
      </w:r>
      <w:r>
        <w:rPr>
          <w:rFonts w:hint="eastAsia" w:ascii="CESI仿宋-GB2312" w:hAnsi="CESI仿宋-GB2312" w:eastAsia="CESI仿宋-GB2312" w:cs="CESI仿宋-GB2312"/>
          <w:b w:val="0"/>
          <w:i w:val="0"/>
          <w:caps w:val="0"/>
          <w:color w:val="000000" w:themeColor="text1"/>
          <w:spacing w:val="0"/>
          <w:sz w:val="30"/>
          <w:szCs w:val="30"/>
          <w:highlight w:val="none"/>
          <w:shd w:val="clear" w:fill="auto"/>
          <w14:textFill>
            <w14:solidFill>
              <w14:schemeClr w14:val="tx1"/>
            </w14:solidFill>
          </w14:textFill>
        </w:rPr>
        <w:t>以股权转让或变更的方式变相转让</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建设用地使用权、地上建（构）筑物</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及</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其附属设施。</w:t>
      </w:r>
      <w:r>
        <w:rPr>
          <w:rFonts w:hint="eastAsia" w:ascii="CESI仿宋-GB2312" w:hAnsi="CESI仿宋-GB2312" w:eastAsia="CESI仿宋-GB2312" w:cs="CESI仿宋-GB2312"/>
          <w:b w:val="0"/>
          <w:i w:val="0"/>
          <w:caps w:val="0"/>
          <w:color w:val="000000" w:themeColor="text1"/>
          <w:spacing w:val="0"/>
          <w:sz w:val="30"/>
          <w:szCs w:val="30"/>
          <w:highlight w:val="none"/>
          <w:shd w:val="clear"/>
          <w:lang w:eastAsia="zh-CN"/>
          <w14:textFill>
            <w14:solidFill>
              <w14:schemeClr w14:val="tx1"/>
            </w14:solidFill>
          </w14:textFill>
        </w:rPr>
        <w:t>本协</w:t>
      </w:r>
      <w:r>
        <w:rPr>
          <w:rFonts w:hint="eastAsia" w:ascii="CESI仿宋-GB2312" w:hAnsi="CESI仿宋-GB2312" w:eastAsia="CESI仿宋-GB2312" w:cs="CESI仿宋-GB2312"/>
          <w:b w:val="0"/>
          <w:i w:val="0"/>
          <w:caps w:val="0"/>
          <w:color w:val="000000" w:themeColor="text1"/>
          <w:spacing w:val="0"/>
          <w:sz w:val="30"/>
          <w:szCs w:val="30"/>
          <w:highlight w:val="none"/>
          <w:shd w:val="clear" w:fill="auto"/>
          <w:lang w:eastAsia="zh-CN"/>
          <w14:textFill>
            <w14:solidFill>
              <w14:schemeClr w14:val="tx1"/>
            </w14:solidFill>
          </w14:textFill>
        </w:rPr>
        <w:t>议</w:t>
      </w:r>
      <w:r>
        <w:rPr>
          <w:rFonts w:hint="eastAsia" w:ascii="CESI仿宋-GB2312" w:hAnsi="CESI仿宋-GB2312" w:eastAsia="CESI仿宋-GB2312" w:cs="CESI仿宋-GB2312"/>
          <w:b w:val="0"/>
          <w:i w:val="0"/>
          <w:caps w:val="0"/>
          <w:color w:val="000000" w:themeColor="text1"/>
          <w:spacing w:val="0"/>
          <w:sz w:val="30"/>
          <w:szCs w:val="30"/>
          <w:highlight w:val="none"/>
          <w:shd w:val="clear" w:fill="auto"/>
          <w14:textFill>
            <w14:solidFill>
              <w14:schemeClr w14:val="tx1"/>
            </w14:solidFill>
          </w14:textFill>
        </w:rPr>
        <w:t>所称股权转让是指导致企业控股权或实际控制权发生变更的转让。甲方可视情形要求乙方主要股东、实际控制人就上述事项出具承诺书</w:t>
      </w:r>
      <w:r>
        <w:rPr>
          <w:rFonts w:hint="eastAsia" w:ascii="CESI仿宋-GB2312" w:hAnsi="CESI仿宋-GB2312" w:eastAsia="CESI仿宋-GB2312" w:cs="CESI仿宋-GB2312"/>
          <w:b w:val="0"/>
          <w:i w:val="0"/>
          <w:caps w:val="0"/>
          <w:color w:val="000000" w:themeColor="text1"/>
          <w:spacing w:val="0"/>
          <w:sz w:val="30"/>
          <w:szCs w:val="30"/>
          <w:highlight w:val="none"/>
          <w:shd w:val="clear" w:fill="auto"/>
          <w:lang w:eastAsia="zh-CN"/>
          <w14:textFill>
            <w14:solidFill>
              <w14:schemeClr w14:val="tx1"/>
            </w14:solidFill>
          </w14:textFill>
        </w:rPr>
        <w:t>。</w:t>
      </w:r>
    </w:p>
    <w:p>
      <w:pPr>
        <w:pStyle w:val="2"/>
        <w:spacing w:line="560" w:lineRule="exact"/>
        <w:rPr>
          <w:rFonts w:hint="eastAsia" w:ascii="CESI仿宋-GB2312" w:hAnsi="CESI仿宋-GB2312" w:eastAsia="CESI仿宋-GB2312" w:cs="CESI仿宋-GB2312"/>
          <w:b w:val="0"/>
          <w:i w:val="0"/>
          <w:caps w:val="0"/>
          <w:color w:val="000000" w:themeColor="text1"/>
          <w:spacing w:val="0"/>
          <w:sz w:val="30"/>
          <w:szCs w:val="30"/>
          <w:highlight w:val="none"/>
          <w:shd w:val="clear" w:fill="auto"/>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lang w:eastAsia="zh-CN"/>
          <w14:textFill>
            <w14:solidFill>
              <w14:schemeClr w14:val="tx1"/>
            </w14:solidFill>
          </w14:textFill>
        </w:rPr>
        <w:t>五</w:t>
      </w: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、法律责任</w:t>
      </w:r>
    </w:p>
    <w:p>
      <w:pPr>
        <w:pStyle w:val="2"/>
        <w:adjustRightInd w:val="0"/>
        <w:snapToGrid w:val="0"/>
        <w:spacing w:line="560" w:lineRule="exact"/>
        <w:ind w:firstLine="570"/>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一</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经核查，乙方出现下列情形的，</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应</w:t>
      </w:r>
      <w:r>
        <w:rPr>
          <w:rFonts w:hint="eastAsia" w:ascii="CESI仿宋-GB2312" w:hAnsi="CESI仿宋-GB2312" w:eastAsia="CESI仿宋-GB2312" w:cs="CESI仿宋-GB2312"/>
          <w:b/>
          <w:bCs/>
          <w:color w:val="000000" w:themeColor="text1"/>
          <w:sz w:val="30"/>
          <w:szCs w:val="30"/>
          <w:highlight w:val="none"/>
          <w14:textFill>
            <w14:solidFill>
              <w14:schemeClr w14:val="tx1"/>
            </w14:solidFill>
          </w14:textFill>
        </w:rPr>
        <w:t>承担</w:t>
      </w:r>
      <w:r>
        <w:rPr>
          <w:rFonts w:hint="eastAsia" w:ascii="CESI仿宋-GB2312" w:hAnsi="CESI仿宋-GB2312" w:eastAsia="CESI仿宋-GB2312" w:cs="CESI仿宋-GB2312"/>
          <w:b/>
          <w:bCs/>
          <w:color w:val="000000" w:themeColor="text1"/>
          <w:sz w:val="30"/>
          <w:szCs w:val="30"/>
          <w:highlight w:val="none"/>
          <w:lang w:eastAsia="zh-CN"/>
          <w14:textFill>
            <w14:solidFill>
              <w14:schemeClr w14:val="tx1"/>
            </w14:solidFill>
          </w14:textFill>
        </w:rPr>
        <w:t>相应</w:t>
      </w:r>
      <w:r>
        <w:rPr>
          <w:rFonts w:hint="eastAsia" w:ascii="CESI仿宋-GB2312" w:hAnsi="CESI仿宋-GB2312" w:eastAsia="CESI仿宋-GB2312" w:cs="CESI仿宋-GB2312"/>
          <w:b/>
          <w:bCs/>
          <w:color w:val="000000" w:themeColor="text1"/>
          <w:sz w:val="30"/>
          <w:szCs w:val="30"/>
          <w:highlight w:val="none"/>
          <w14:textFill>
            <w14:solidFill>
              <w14:schemeClr w14:val="tx1"/>
            </w14:solidFill>
          </w14:textFill>
        </w:rPr>
        <w:t>违约金</w:t>
      </w:r>
      <w:r>
        <w:rPr>
          <w:rFonts w:hint="eastAsia" w:ascii="CESI仿宋-GB2312" w:hAnsi="CESI仿宋-GB2312" w:eastAsia="CESI仿宋-GB2312" w:cs="CESI仿宋-GB2312"/>
          <w:b w:val="0"/>
          <w:bCs w:val="0"/>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乙方应</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自甲方发出</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《催缴</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通知书</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之日起20日内（或《催缴通知书》载明的期限内）</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缴清</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p>
    <w:p>
      <w:pPr>
        <w:keepNext w:val="0"/>
        <w:keepLines w:val="0"/>
        <w:pageBreakBefore w:val="0"/>
        <w:numPr>
          <w:ilvl w:val="0"/>
          <w:numId w:val="0"/>
        </w:numPr>
        <w:tabs>
          <w:tab w:val="left" w:pos="900"/>
        </w:tabs>
        <w:kinsoku/>
        <w:wordWrap/>
        <w:overflowPunct/>
        <w:topLinePunct w:val="0"/>
        <w:autoSpaceDE/>
        <w:autoSpaceDN/>
        <w:bidi w:val="0"/>
        <w:adjustRightInd w:val="0"/>
        <w:snapToGrid w:val="0"/>
        <w:spacing w:line="560" w:lineRule="exact"/>
        <w:ind w:left="0" w:leftChars="0" w:firstLine="639" w:firstLineChars="213"/>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lang w:val="en" w:eastAsia="zh-CN"/>
          <w14:textFill>
            <w14:solidFill>
              <w14:schemeClr w14:val="tx1"/>
            </w14:solidFill>
          </w14:textFill>
        </w:rPr>
        <w:t>1</w:t>
      </w:r>
      <w:r>
        <w:rPr>
          <w:rFonts w:hint="eastAsia" w:ascii="CESI仿宋-GB2312" w:hAnsi="CESI仿宋-GB2312" w:eastAsia="CESI仿宋-GB2312" w:cs="CESI仿宋-GB2312"/>
          <w:bCs/>
          <w:color w:val="000000" w:themeColor="text1"/>
          <w:sz w:val="30"/>
          <w:szCs w:val="30"/>
          <w:highlight w:val="none"/>
          <w:lang w:val="en-US" w:eastAsia="zh-CN"/>
          <w14:textFill>
            <w14:solidFill>
              <w14:schemeClr w14:val="tx1"/>
            </w14:solidFill>
          </w14:textFill>
        </w:rPr>
        <w:t>.</w:t>
      </w: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乙方不配合甲方核查的，每次应向甲方支付20万元违约金，且不因此解除乙方的配合核查义务。</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2.违反投产时间的违约责任：</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经甲方核查</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，乙方未在协议约定项目投产时间或甲方同意延长的项目投产时间内投产的，甲方有权要求乙方每逾期1个月支付承诺的固定资产投资额的1%作为违约金，直至该项目建成投产。</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3.</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违反固定资产投资额约定的违约责任：</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经甲方核查</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，乙方项目</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实际</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固定资产投资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额</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未达到本协议约定要求的，乙方</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应向甲方支付</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固定资产投资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额</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不足部分的</w:t>
      </w:r>
      <w:r>
        <w:rPr>
          <w:rFonts w:hint="default" w:ascii="CESI仿宋-GB2312" w:hAnsi="CESI仿宋-GB2312" w:eastAsia="CESI仿宋-GB2312" w:cs="CESI仿宋-GB2312"/>
          <w:color w:val="000000" w:themeColor="text1"/>
          <w:sz w:val="30"/>
          <w:szCs w:val="30"/>
          <w:highlight w:val="none"/>
          <w:lang w:val="en-US"/>
          <w14:textFill>
            <w14:solidFill>
              <w14:schemeClr w14:val="tx1"/>
            </w14:solidFill>
          </w14:textFill>
        </w:rPr>
        <w:t>5</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%作为</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初次</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违约金。履约核查不合格</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每</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满一年</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甲方有权再次组织核查，</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再次核查仍不合格的，乙方</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应</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向甲方支付固定资产投资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额</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不足部分的5%，直至经核查</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固定资产投资额</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达到约定要求为止。</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eastAsia" w:ascii="CESI楷体-GB2312" w:hAnsi="CESI楷体-GB2312" w:eastAsia="CESI楷体-GB2312" w:cs="CESI楷体-GB2312"/>
          <w:color w:val="000000" w:themeColor="text1"/>
          <w:sz w:val="30"/>
          <w:szCs w:val="30"/>
          <w:highlight w:val="none"/>
          <w14:textFill>
            <w14:solidFill>
              <w14:schemeClr w14:val="tx1"/>
            </w14:solidFill>
          </w14:textFill>
        </w:rPr>
      </w:pP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固定资产投资</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额</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不足部分的</w:t>
      </w:r>
      <w:r>
        <w:rPr>
          <w:rFonts w:hint="default" w:ascii="CESI楷体-GB2312" w:hAnsi="CESI楷体-GB2312" w:eastAsia="CESI楷体-GB2312" w:cs="CESI楷体-GB2312"/>
          <w:color w:val="000000" w:themeColor="text1"/>
          <w:sz w:val="30"/>
          <w:szCs w:val="30"/>
          <w:highlight w:val="none"/>
          <w:lang w:val="en-US"/>
          <w14:textFill>
            <w14:solidFill>
              <w14:schemeClr w14:val="tx1"/>
            </w14:solidFill>
          </w14:textFill>
        </w:rPr>
        <w:t>5</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%=（约定固定资产投资</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额</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-实际固定资产投资</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额</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）×5%。</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4.</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违反土地产出效率约定的违约责任：</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经甲方核查</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30"/>
          <w:szCs w:val="30"/>
          <w:highlight w:val="none"/>
          <w:lang w:val="en-US" w:eastAsia="zh-CN"/>
          <w14:textFill>
            <w14:solidFill>
              <w14:schemeClr w14:val="tx1"/>
            </w14:solidFill>
          </w14:textFill>
        </w:rPr>
        <w:t>从签订</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土地</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使用</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权出让合同书</w:t>
      </w:r>
      <w:r>
        <w:rPr>
          <w:rFonts w:hint="eastAsia" w:ascii="CESI仿宋-GB2312" w:hAnsi="CESI仿宋-GB2312" w:eastAsia="CESI仿宋-GB2312" w:cs="CESI仿宋-GB2312"/>
          <w:b w:val="0"/>
          <w:bCs w:val="0"/>
          <w:color w:val="000000" w:themeColor="text1"/>
          <w:sz w:val="30"/>
          <w:szCs w:val="30"/>
          <w:highlight w:val="none"/>
          <w:lang w:val="en-US" w:eastAsia="zh-CN"/>
          <w14:textFill>
            <w14:solidFill>
              <w14:schemeClr w14:val="tx1"/>
            </w14:solidFill>
          </w14:textFill>
        </w:rPr>
        <w:t>当年至项目投产当年</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投产</w:t>
      </w:r>
      <w:r>
        <w:rPr>
          <w:rFonts w:hint="eastAsia" w:ascii="CESI仿宋-GB2312" w:hAnsi="CESI仿宋-GB2312" w:eastAsia="CESI仿宋-GB2312" w:cs="CESI仿宋-GB2312"/>
          <w:color w:val="auto"/>
          <w:sz w:val="30"/>
          <w:szCs w:val="30"/>
          <w:highlight w:val="none"/>
          <w:lang w:eastAsia="zh-CN"/>
        </w:rPr>
        <w:t>后首个</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5年</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乙方纳入坪山区的土地产出效率未达到本协议第四条第（二）款第</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3项第（1）点</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约定要求的，乙方应向甲方支付土地产出效率不足部分的1%作为该阶段性核查不合格违约金。</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楷体-GB2312" w:hAnsi="CESI楷体-GB2312" w:eastAsia="CESI楷体-GB2312" w:cs="CESI楷体-GB2312"/>
          <w:color w:val="000000" w:themeColor="text1"/>
          <w:sz w:val="30"/>
          <w:szCs w:val="30"/>
          <w:highlight w:val="none"/>
          <w14:textFill>
            <w14:solidFill>
              <w14:schemeClr w14:val="tx1"/>
            </w14:solidFill>
          </w14:textFill>
        </w:rPr>
      </w:pP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土地产出效率违约金=（核查期内企业承诺形成的年均土地产出效率-核查期内企业实际形成的年均土地产出效率）</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乙方在坪山辖区</w:t>
      </w:r>
      <w:r>
        <w:rPr>
          <w:rFonts w:hint="eastAsia" w:ascii="CESI楷体-GB2312" w:hAnsi="CESI楷体-GB2312" w:eastAsia="CESI楷体-GB2312" w:cs="CESI楷体-GB2312"/>
          <w:color w:val="000000" w:themeColor="text1"/>
          <w:sz w:val="30"/>
          <w:szCs w:val="30"/>
          <w:highlight w:val="none"/>
          <w:lang w:val="en-US" w:eastAsia="zh-CN"/>
          <w14:textFill>
            <w14:solidFill>
              <w14:schemeClr w14:val="tx1"/>
            </w14:solidFill>
          </w14:textFill>
        </w:rPr>
        <w:t>持有的</w:t>
      </w:r>
      <w:r>
        <w:rPr>
          <w:rFonts w:hint="eastAsia" w:ascii="CESI楷体-GB2312" w:hAnsi="CESI楷体-GB2312" w:eastAsia="CESI楷体-GB2312" w:cs="CESI楷体-GB2312"/>
          <w:color w:val="auto"/>
          <w:sz w:val="30"/>
          <w:szCs w:val="30"/>
          <w:highlight w:val="none"/>
          <w:lang w:val="en-US" w:eastAsia="zh-CN"/>
        </w:rPr>
        <w:t>工业及其他产业用地总</w:t>
      </w:r>
      <w:r>
        <w:rPr>
          <w:rFonts w:hint="eastAsia" w:ascii="CESI楷体-GB2312" w:hAnsi="CESI楷体-GB2312" w:eastAsia="CESI楷体-GB2312" w:cs="CESI楷体-GB2312"/>
          <w:color w:val="auto"/>
          <w:sz w:val="30"/>
          <w:szCs w:val="30"/>
          <w:highlight w:val="none"/>
          <w:lang w:eastAsia="zh-CN"/>
        </w:rPr>
        <w:t>面积</w:t>
      </w:r>
      <w:r>
        <w:rPr>
          <w:rFonts w:hint="eastAsia" w:ascii="CESI楷体-GB2312" w:hAnsi="CESI楷体-GB2312" w:eastAsia="CESI楷体-GB2312" w:cs="CESI楷体-GB2312"/>
          <w:color w:val="auto"/>
          <w:sz w:val="30"/>
          <w:szCs w:val="30"/>
          <w:highlight w:val="none"/>
        </w:rPr>
        <w:t>×</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核查年期</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1%。</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5.</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违反税收贡献</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率</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约定的违约责任：</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经甲方核查</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30"/>
          <w:szCs w:val="30"/>
          <w:highlight w:val="none"/>
          <w:lang w:val="en-US" w:eastAsia="zh-CN"/>
          <w14:textFill>
            <w14:solidFill>
              <w14:schemeClr w14:val="tx1"/>
            </w14:solidFill>
          </w14:textFill>
        </w:rPr>
        <w:t>从签订</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土地</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使用</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权出让合同书</w:t>
      </w:r>
      <w:r>
        <w:rPr>
          <w:rFonts w:hint="eastAsia" w:ascii="CESI仿宋-GB2312" w:hAnsi="CESI仿宋-GB2312" w:eastAsia="CESI仿宋-GB2312" w:cs="CESI仿宋-GB2312"/>
          <w:b w:val="0"/>
          <w:bCs w:val="0"/>
          <w:color w:val="000000" w:themeColor="text1"/>
          <w:sz w:val="30"/>
          <w:szCs w:val="30"/>
          <w:highlight w:val="none"/>
          <w:lang w:val="en-US" w:eastAsia="zh-CN"/>
          <w14:textFill>
            <w14:solidFill>
              <w14:schemeClr w14:val="tx1"/>
            </w14:solidFill>
          </w14:textFill>
        </w:rPr>
        <w:t>当年至项目投产当年</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投产后</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首个5年乙方</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纳入坪山区的税收贡献未达到本协议第四条第（二）款第</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3项第（1）点</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约定要求的，乙方应向甲方支付税收贡献不足部分作为该阶段性核查不合格违约金。</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pP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税收贡献</w:t>
      </w:r>
      <w:r>
        <w:rPr>
          <w:rFonts w:hint="eastAsia" w:ascii="CESI楷体-GB2312" w:hAnsi="CESI楷体-GB2312" w:eastAsia="CESI楷体-GB2312" w:cs="CESI楷体-GB2312"/>
          <w:color w:val="000000" w:themeColor="text1"/>
          <w:sz w:val="30"/>
          <w:szCs w:val="30"/>
          <w:highlight w:val="none"/>
          <w:lang w:val="en-US" w:eastAsia="zh-CN"/>
          <w14:textFill>
            <w14:solidFill>
              <w14:schemeClr w14:val="tx1"/>
            </w14:solidFill>
          </w14:textFill>
        </w:rPr>
        <w:t>率</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违约金=（核查期内企业承诺形成的年均税收贡献率-核查期内企业实际形成的年均税收贡献率）</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乙方在坪山辖区</w:t>
      </w:r>
      <w:r>
        <w:rPr>
          <w:rFonts w:hint="eastAsia" w:ascii="CESI楷体-GB2312" w:hAnsi="CESI楷体-GB2312" w:eastAsia="CESI楷体-GB2312" w:cs="CESI楷体-GB2312"/>
          <w:color w:val="000000" w:themeColor="text1"/>
          <w:sz w:val="30"/>
          <w:szCs w:val="30"/>
          <w:highlight w:val="none"/>
          <w:lang w:val="en-US" w:eastAsia="zh-CN"/>
          <w14:textFill>
            <w14:solidFill>
              <w14:schemeClr w14:val="tx1"/>
            </w14:solidFill>
          </w14:textFill>
        </w:rPr>
        <w:t>持有</w:t>
      </w:r>
      <w:r>
        <w:rPr>
          <w:rFonts w:hint="eastAsia" w:ascii="CESI楷体-GB2312" w:hAnsi="CESI楷体-GB2312" w:eastAsia="CESI楷体-GB2312" w:cs="CESI楷体-GB2312"/>
          <w:color w:val="auto"/>
          <w:sz w:val="30"/>
          <w:szCs w:val="30"/>
          <w:highlight w:val="none"/>
          <w:lang w:val="en-US" w:eastAsia="zh-CN"/>
        </w:rPr>
        <w:t>的工业及其他产业用地总</w:t>
      </w:r>
      <w:r>
        <w:rPr>
          <w:rFonts w:hint="eastAsia" w:ascii="CESI楷体-GB2312" w:hAnsi="CESI楷体-GB2312" w:eastAsia="CESI楷体-GB2312" w:cs="CESI楷体-GB2312"/>
          <w:color w:val="auto"/>
          <w:sz w:val="30"/>
          <w:szCs w:val="30"/>
          <w:highlight w:val="none"/>
          <w:lang w:eastAsia="zh-CN"/>
        </w:rPr>
        <w:t>面积</w:t>
      </w:r>
      <w:r>
        <w:rPr>
          <w:rFonts w:hint="eastAsia" w:ascii="CESI楷体-GB2312" w:hAnsi="CESI楷体-GB2312" w:eastAsia="CESI楷体-GB2312" w:cs="CESI楷体-GB2312"/>
          <w:color w:val="000000" w:themeColor="text1"/>
          <w:sz w:val="30"/>
          <w:szCs w:val="30"/>
          <w:highlight w:val="none"/>
          <w14:textFill>
            <w14:solidFill>
              <w14:schemeClr w14:val="tx1"/>
            </w14:solidFill>
          </w14:textFill>
        </w:rPr>
        <w:t>×</w:t>
      </w:r>
      <w:r>
        <w:rPr>
          <w:rFonts w:hint="eastAsia" w:ascii="CESI楷体-GB2312" w:hAnsi="CESI楷体-GB2312" w:eastAsia="CESI楷体-GB2312" w:cs="CESI楷体-GB2312"/>
          <w:color w:val="000000" w:themeColor="text1"/>
          <w:sz w:val="30"/>
          <w:szCs w:val="30"/>
          <w:highlight w:val="none"/>
          <w:lang w:eastAsia="zh-CN"/>
          <w14:textFill>
            <w14:solidFill>
              <w14:schemeClr w14:val="tx1"/>
            </w14:solidFill>
          </w14:textFill>
        </w:rPr>
        <w:t>核查年期。</w:t>
      </w:r>
    </w:p>
    <w:p>
      <w:pPr>
        <w:pStyle w:val="2"/>
        <w:ind w:firstLine="0" w:firstLineChars="0"/>
        <w:rPr>
          <w:rFonts w:hint="eastAsia"/>
          <w:lang w:eastAsia="zh-CN"/>
        </w:rPr>
      </w:pP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二</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）乙方违反本协议约定</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，不配合整改或拒不支付违约金</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甲方有权通知区发改局、区科创局、区工信局、区住房保障中心等部门，对乙方在</w:t>
      </w:r>
      <w:r>
        <w:rPr>
          <w:rFonts w:hint="eastAsia" w:eastAsia="CESI仿宋-GB2312" w:cs="Times New Roman"/>
          <w:color w:val="000000"/>
          <w:sz w:val="30"/>
          <w:szCs w:val="30"/>
          <w:lang w:eastAsia="zh-CN"/>
        </w:rPr>
        <w:t>与本协议约定项目相关的</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政府资助扶持、住房保障等方面</w:t>
      </w:r>
      <w:r>
        <w:rPr>
          <w:rFonts w:hint="eastAsia" w:eastAsia="CESI仿宋-GB2312" w:cs="Times New Roman"/>
          <w:color w:val="000000"/>
          <w:sz w:val="30"/>
          <w:szCs w:val="30"/>
          <w:lang w:eastAsia="zh-CN"/>
        </w:rPr>
        <w:t>将不良履约记录作为评价因素并依法依规做出决定</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，直至整改合格或违约金付清为止。</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三</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）乙方出现下列情形之一的，甲方</w:t>
      </w:r>
      <w:r>
        <w:rPr>
          <w:rFonts w:hint="default" w:ascii="Times New Roman" w:hAnsi="Times New Roman" w:eastAsia="CESI仿宋-GB2312" w:cs="Times New Roman"/>
          <w:color w:val="auto"/>
          <w:sz w:val="30"/>
          <w:szCs w:val="30"/>
        </w:rPr>
        <w:t>报</w:t>
      </w:r>
      <w:r>
        <w:rPr>
          <w:rFonts w:hint="default" w:ascii="Times New Roman" w:hAnsi="Times New Roman" w:eastAsia="CESI仿宋-GB2312" w:cs="Times New Roman"/>
          <w:color w:val="000000"/>
          <w:sz w:val="30"/>
          <w:szCs w:val="30"/>
        </w:rPr>
        <w:t>坪山区人民政府</w:t>
      </w:r>
      <w:r>
        <w:rPr>
          <w:rFonts w:hint="default" w:ascii="Times New Roman" w:hAnsi="Times New Roman" w:eastAsia="CESI仿宋-GB2312" w:cs="Times New Roman"/>
          <w:color w:val="auto"/>
          <w:sz w:val="30"/>
          <w:szCs w:val="30"/>
        </w:rPr>
        <w:t>同意后，</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有权</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解除本协议并通知深圳市规划和自然资源局坪山管理局，由深圳市规划和自然资源局坪山管理局</w:t>
      </w:r>
      <w:r>
        <w:rPr>
          <w:rFonts w:hint="eastAsia" w:ascii="CESI仿宋-GB2312" w:hAnsi="CESI仿宋-GB2312" w:eastAsia="CESI仿宋-GB2312" w:cs="CESI仿宋-GB2312"/>
          <w:b/>
          <w:bCs/>
          <w:color w:val="000000" w:themeColor="text1"/>
          <w:sz w:val="30"/>
          <w:szCs w:val="30"/>
          <w:highlight w:val="none"/>
          <w14:textFill>
            <w14:solidFill>
              <w14:schemeClr w14:val="tx1"/>
            </w14:solidFill>
          </w14:textFill>
        </w:rPr>
        <w:t>解除土地使用权出让合同</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1.乙方违反本协议第四条第（二）款第3项第（2）点约定，以其他形式将产值（营业收入）或税收贡献转移至坪山区以外，且拒不整改的。</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2</w:t>
      </w:r>
      <w:r>
        <w:rPr>
          <w:rFonts w:hint="eastAsia" w:ascii="CESI仿宋-GB2312" w:hAnsi="CESI仿宋-GB2312" w:eastAsia="CESI仿宋-GB2312" w:cs="CESI仿宋-GB2312"/>
          <w:color w:val="auto"/>
          <w:sz w:val="30"/>
          <w:szCs w:val="30"/>
          <w:highlight w:val="none"/>
        </w:rPr>
        <w:t>.乙方擅自改变本宗建设用地用途的。</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3</w:t>
      </w:r>
      <w:r>
        <w:rPr>
          <w:rFonts w:hint="eastAsia" w:ascii="CESI仿宋-GB2312" w:hAnsi="CESI仿宋-GB2312" w:eastAsia="CESI仿宋-GB2312" w:cs="CESI仿宋-GB2312"/>
          <w:color w:val="auto"/>
          <w:sz w:val="30"/>
          <w:szCs w:val="30"/>
          <w:highlight w:val="none"/>
        </w:rPr>
        <w:t>.乙方在经营生产过程中严重违反国家、省、市环保、安全生产、能耗等相关法律法规规定和政策要求，并拒不改正或整改后未达标的。</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4</w:t>
      </w:r>
      <w:r>
        <w:rPr>
          <w:rFonts w:hint="eastAsia" w:ascii="CESI仿宋-GB2312" w:hAnsi="CESI仿宋-GB2312" w:eastAsia="CESI仿宋-GB2312" w:cs="CESI仿宋-GB2312"/>
          <w:color w:val="auto"/>
          <w:sz w:val="30"/>
          <w:szCs w:val="30"/>
          <w:highlight w:val="none"/>
        </w:rPr>
        <w:t>.乙方逾期未将注册地址变更到坪山区或在土地</w:t>
      </w:r>
      <w:r>
        <w:rPr>
          <w:rFonts w:hint="eastAsia" w:ascii="CESI仿宋-GB2312" w:hAnsi="CESI仿宋-GB2312" w:eastAsia="CESI仿宋-GB2312" w:cs="CESI仿宋-GB2312"/>
          <w:color w:val="auto"/>
          <w:sz w:val="30"/>
          <w:szCs w:val="30"/>
          <w:highlight w:val="none"/>
          <w:lang w:eastAsia="zh-CN"/>
        </w:rPr>
        <w:t>使用</w:t>
      </w:r>
      <w:r>
        <w:rPr>
          <w:rFonts w:hint="eastAsia" w:ascii="CESI仿宋-GB2312" w:hAnsi="CESI仿宋-GB2312" w:eastAsia="CESI仿宋-GB2312" w:cs="CESI仿宋-GB2312"/>
          <w:color w:val="auto"/>
          <w:sz w:val="30"/>
          <w:szCs w:val="30"/>
          <w:highlight w:val="none"/>
        </w:rPr>
        <w:t>年期内将注册地址变更到坪山区以外地区，收到甲方整改通知后未在限期内整改的。</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5</w:t>
      </w:r>
      <w:r>
        <w:rPr>
          <w:rFonts w:hint="eastAsia" w:ascii="CESI仿宋-GB2312" w:hAnsi="CESI仿宋-GB2312" w:eastAsia="CESI仿宋-GB2312" w:cs="CESI仿宋-GB2312"/>
          <w:color w:val="auto"/>
          <w:sz w:val="30"/>
          <w:szCs w:val="30"/>
          <w:highlight w:val="none"/>
        </w:rPr>
        <w:t>.</w:t>
      </w:r>
      <w:r>
        <w:rPr>
          <w:rFonts w:hint="eastAsia" w:ascii="CESI仿宋-GB2312" w:hAnsi="CESI仿宋-GB2312" w:eastAsia="CESI仿宋-GB2312" w:cs="CESI仿宋-GB2312"/>
          <w:color w:val="auto"/>
          <w:sz w:val="30"/>
          <w:szCs w:val="30"/>
          <w:highlight w:val="none"/>
          <w:lang w:eastAsia="zh-CN"/>
        </w:rPr>
        <w:t>乙方</w:t>
      </w:r>
      <w:r>
        <w:rPr>
          <w:rFonts w:hint="eastAsia" w:ascii="CESI仿宋-GB2312" w:hAnsi="CESI仿宋-GB2312" w:eastAsia="CESI仿宋-GB2312" w:cs="CESI仿宋-GB2312"/>
          <w:color w:val="auto"/>
          <w:sz w:val="30"/>
          <w:szCs w:val="30"/>
          <w:highlight w:val="none"/>
        </w:rPr>
        <w:t>擅自变相转让（以股权转让或变更的方式）建设用地使用权、地上建（构）筑物或其附属设施的。</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6.</w:t>
      </w:r>
      <w:r>
        <w:rPr>
          <w:rFonts w:hint="eastAsia" w:ascii="CESI仿宋-GB2312" w:hAnsi="CESI仿宋-GB2312" w:eastAsia="CESI仿宋-GB2312" w:cs="CESI仿宋-GB2312"/>
          <w:color w:val="auto"/>
          <w:sz w:val="30"/>
          <w:szCs w:val="30"/>
          <w:highlight w:val="none"/>
        </w:rPr>
        <w:t>乙方违反本协议约定，不配合整改或拒不支付违约金</w:t>
      </w:r>
      <w:r>
        <w:rPr>
          <w:rFonts w:hint="eastAsia" w:ascii="CESI仿宋-GB2312" w:hAnsi="CESI仿宋-GB2312" w:eastAsia="CESI仿宋-GB2312" w:cs="CESI仿宋-GB2312"/>
          <w:color w:val="auto"/>
          <w:sz w:val="30"/>
          <w:szCs w:val="30"/>
          <w:highlight w:val="none"/>
          <w:lang w:eastAsia="zh-CN"/>
        </w:rPr>
        <w:t>，</w:t>
      </w:r>
      <w:r>
        <w:rPr>
          <w:rFonts w:hint="eastAsia" w:ascii="CESI仿宋-GB2312" w:hAnsi="CESI仿宋-GB2312" w:eastAsia="CESI仿宋-GB2312" w:cs="CESI仿宋-GB2312"/>
          <w:color w:val="auto"/>
          <w:sz w:val="30"/>
          <w:szCs w:val="30"/>
          <w:highlight w:val="none"/>
          <w:lang w:val="en-US" w:eastAsia="zh-CN"/>
        </w:rPr>
        <w:t>情节严重</w:t>
      </w:r>
      <w:r>
        <w:rPr>
          <w:rFonts w:hint="eastAsia" w:ascii="CESI仿宋-GB2312" w:hAnsi="CESI仿宋-GB2312" w:eastAsia="CESI仿宋-GB2312" w:cs="CESI仿宋-GB2312"/>
          <w:color w:val="auto"/>
          <w:sz w:val="30"/>
          <w:szCs w:val="30"/>
          <w:highlight w:val="none"/>
        </w:rPr>
        <w:t>的。</w:t>
      </w:r>
    </w:p>
    <w:p>
      <w:pPr>
        <w:keepNext w:val="0"/>
        <w:keepLines w:val="0"/>
        <w:pageBreakBefore w:val="0"/>
        <w:kinsoku/>
        <w:wordWrap/>
        <w:overflowPunct/>
        <w:topLinePunct w:val="0"/>
        <w:autoSpaceDE/>
        <w:autoSpaceDN/>
        <w:bidi w:val="0"/>
        <w:adjustRightInd w:val="0"/>
        <w:snapToGrid w:val="0"/>
        <w:spacing w:line="560" w:lineRule="exact"/>
        <w:ind w:firstLine="645"/>
        <w:jc w:val="left"/>
        <w:textAlignment w:val="auto"/>
        <w:rPr>
          <w:rFonts w:hint="eastAsia" w:ascii="CESI仿宋-GB2312" w:hAnsi="CESI仿宋-GB2312" w:eastAsia="CESI仿宋-GB2312" w:cs="CESI仿宋-GB2312"/>
          <w:color w:val="000000" w:themeColor="text1"/>
          <w:sz w:val="30"/>
          <w:szCs w:val="30"/>
          <w14:textFill>
            <w14:solidFill>
              <w14:schemeClr w14:val="tx1"/>
            </w14:solidFill>
          </w14:textFill>
        </w:rPr>
      </w:pPr>
      <w:bookmarkStart w:id="0" w:name="_Hlk41639221"/>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四</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）因全球性经济危机、国际贸易摩擦、国家政策重大改变等</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不可抗力</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因素导致乙方所处的行业领域发展形势严重恶化，进而导致乙方经营生产活动出现严重困难，并直接造成乙方违约的，乙方可向甲方提出书面申请</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eastAsia="CESI仿宋-GB2312" w:cs="Times New Roman"/>
          <w:color w:val="auto"/>
          <w:sz w:val="30"/>
          <w:szCs w:val="30"/>
          <w:lang w:eastAsia="zh-CN"/>
        </w:rPr>
        <w:t>经</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甲方报坪山区</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人民政府</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同意后，可以免除</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乙方部分或者全部违约责任</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法律另有规定的除外</w:t>
      </w:r>
      <w:bookmarkEnd w:id="0"/>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p>
    <w:p>
      <w:pPr>
        <w:numPr>
          <w:ilvl w:val="-1"/>
          <w:numId w:val="0"/>
        </w:numPr>
        <w:adjustRightInd w:val="0"/>
        <w:snapToGrid w:val="0"/>
        <w:spacing w:line="560" w:lineRule="exact"/>
        <w:ind w:left="17" w:firstLine="600" w:firstLineChars="200"/>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lang w:eastAsia="zh-CN"/>
          <w14:textFill>
            <w14:solidFill>
              <w14:schemeClr w14:val="tx1"/>
            </w14:solidFill>
          </w14:textFill>
        </w:rPr>
        <w:t>六、</w:t>
      </w: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退出机制</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left="0" w:leftChars="0" w:firstLine="600" w:firstLineChars="20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（一）主动退出。</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乙方因自身原因终止项目投资建设</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或运营的</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在履行相关违约责任后，可申请解除</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土地使用权出让合同</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及本协议。</w:t>
      </w:r>
      <w:r>
        <w:rPr>
          <w:rFonts w:hint="default" w:ascii="Times New Roman" w:hAnsi="Times New Roman" w:eastAsia="CESI仿宋-GB2312" w:cs="Times New Roman"/>
          <w:color w:val="000000"/>
          <w:sz w:val="30"/>
          <w:szCs w:val="30"/>
        </w:rPr>
        <w:t>经</w:t>
      </w:r>
      <w:r>
        <w:rPr>
          <w:rFonts w:hint="eastAsia" w:eastAsia="CESI仿宋-GB2312" w:cs="Times New Roman"/>
          <w:color w:val="000000"/>
          <w:sz w:val="30"/>
          <w:szCs w:val="30"/>
          <w:lang w:eastAsia="zh-CN"/>
        </w:rPr>
        <w:t>甲方报</w:t>
      </w:r>
      <w:r>
        <w:rPr>
          <w:rFonts w:hint="default" w:ascii="Times New Roman" w:hAnsi="Times New Roman" w:eastAsia="CESI仿宋-GB2312" w:cs="Times New Roman"/>
          <w:color w:val="000000"/>
          <w:sz w:val="30"/>
          <w:szCs w:val="30"/>
        </w:rPr>
        <w:t>坪山区人民政府批准后</w:t>
      </w:r>
      <w:r>
        <w:rPr>
          <w:rFonts w:hint="eastAsia" w:eastAsia="CESI仿宋-GB2312" w:cs="Times New Roman"/>
          <w:color w:val="000000"/>
          <w:sz w:val="30"/>
          <w:szCs w:val="30"/>
          <w:lang w:eastAsia="zh-CN"/>
        </w:rPr>
        <w:t>，</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由</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深圳市规划和自然资源局坪山管理局</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收回建设用地</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，返回剩余年期土地出让价款，地上建（构）筑物及其附属设施按照建造成本折旧后对乙方进行补偿。</w:t>
      </w:r>
      <w:r>
        <w:rPr>
          <w:rFonts w:hint="eastAsia" w:ascii="CESI仿宋-GB2312" w:hAnsi="CESI仿宋-GB2312" w:eastAsia="CESI仿宋-GB2312" w:cs="CESI仿宋-GB2312"/>
          <w:color w:val="000000"/>
          <w:sz w:val="30"/>
          <w:szCs w:val="30"/>
          <w:highlight w:val="none"/>
          <w:lang w:eastAsia="zh-CN"/>
        </w:rPr>
        <w:t>经甲方报坪山区人民政府未获批准的，乙方应继续履行土地供应方案；拒不履行的，建设用地和地上建（构）筑物及其附属设施按照约定无偿收回，涉嫌闲置的，应当依法依规依约处置。</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（二）强制退出。符合本协议规定应当解除土地使用权出让合同情形的，</w:t>
      </w:r>
      <w:r>
        <w:rPr>
          <w:rFonts w:hint="default" w:ascii="Times New Roman" w:hAnsi="Times New Roman" w:eastAsia="CESI仿宋-GB2312" w:cs="Times New Roman"/>
          <w:color w:val="000000"/>
          <w:sz w:val="30"/>
          <w:szCs w:val="30"/>
        </w:rPr>
        <w:t>经</w:t>
      </w:r>
      <w:r>
        <w:rPr>
          <w:rFonts w:hint="eastAsia" w:eastAsia="CESI仿宋-GB2312" w:cs="Times New Roman"/>
          <w:color w:val="000000"/>
          <w:sz w:val="30"/>
          <w:szCs w:val="30"/>
          <w:lang w:eastAsia="zh-CN"/>
        </w:rPr>
        <w:t>甲方报</w:t>
      </w:r>
      <w:r>
        <w:rPr>
          <w:rFonts w:hint="default" w:ascii="Times New Roman" w:hAnsi="Times New Roman" w:eastAsia="CESI仿宋-GB2312" w:cs="Times New Roman"/>
          <w:color w:val="000000"/>
          <w:sz w:val="30"/>
          <w:szCs w:val="30"/>
        </w:rPr>
        <w:t>坪山区人民政府批准后</w:t>
      </w:r>
      <w:r>
        <w:rPr>
          <w:rFonts w:hint="eastAsia" w:eastAsia="CESI仿宋-GB2312" w:cs="Times New Roman"/>
          <w:color w:val="000000"/>
          <w:sz w:val="30"/>
          <w:szCs w:val="30"/>
          <w:lang w:eastAsia="zh-CN"/>
        </w:rPr>
        <w:t>，</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由深圳市规划和自然资源局坪山管理局解除土地使用权出让合同，分别按照以下方式处置：</w:t>
      </w:r>
    </w:p>
    <w:p>
      <w:pPr>
        <w:numPr>
          <w:ilvl w:val="0"/>
          <w:numId w:val="0"/>
        </w:numPr>
        <w:adjustRightInd w:val="0"/>
        <w:snapToGrid w:val="0"/>
        <w:spacing w:line="560" w:lineRule="exact"/>
        <w:ind w:firstLine="600"/>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1.项目已投产满5年（含）以上的，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收回建设用地返回剩余年期土地出让价款，地上建（构）筑物及其附属设施按照建造成本折旧后对乙方进行补偿。</w:t>
      </w:r>
    </w:p>
    <w:p>
      <w:pPr>
        <w:numPr>
          <w:ilvl w:val="0"/>
          <w:numId w:val="0"/>
        </w:numPr>
        <w:adjustRightInd w:val="0"/>
        <w:snapToGrid w:val="0"/>
        <w:spacing w:line="560" w:lineRule="exact"/>
        <w:ind w:firstLine="600"/>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2.</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项目未投产或投产</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未满5年的，</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无偿收回建设用地，地上建（构）筑物及其附属设施按照建造成本折旧后对乙方进行补偿。</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lang w:eastAsia="zh-CN"/>
          <w14:textFill>
            <w14:solidFill>
              <w14:schemeClr w14:val="tx1"/>
            </w14:solidFill>
          </w14:textFill>
        </w:rPr>
        <w:t>七</w:t>
      </w: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、争议解决方式</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因本协议所产生纠纷的，双方首先应友好协商解决。凡因本协议引起的或与本协议有关的任何争议，经友好协商无法达成一致的，双方同意向坪山区商事调解院申请调解。调解不成的，</w:t>
      </w:r>
      <w:r>
        <w:rPr>
          <w:rFonts w:hint="eastAsia" w:ascii="CESI仿宋-GB2312" w:hAnsi="CESI仿宋-GB2312" w:eastAsia="CESI仿宋-GB2312" w:cs="CESI仿宋-GB2312"/>
          <w:color w:val="000000" w:themeColor="text1"/>
          <w:sz w:val="30"/>
          <w:szCs w:val="30"/>
          <w14:textFill>
            <w14:solidFill>
              <w14:schemeClr w14:val="tx1"/>
            </w14:solidFill>
          </w14:textFill>
        </w:rPr>
        <w:t>任何一方</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有权向甲方所在地人民法院提起诉讼</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lang w:eastAsia="zh-CN"/>
          <w14:textFill>
            <w14:solidFill>
              <w14:schemeClr w14:val="tx1"/>
            </w14:solidFill>
          </w14:textFill>
        </w:rPr>
        <w:t>八</w:t>
      </w: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、其他</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14:textFill>
            <w14:solidFill>
              <w14:schemeClr w14:val="tx1"/>
            </w14:solidFill>
          </w14:textFill>
        </w:rPr>
      </w:pPr>
      <w:r>
        <w:rPr>
          <w:rFonts w:hint="eastAsia" w:ascii="CESI仿宋-GB2312" w:hAnsi="CESI仿宋-GB2312" w:eastAsia="CESI仿宋-GB2312" w:cs="CESI仿宋-GB2312"/>
          <w:color w:val="000000" w:themeColor="text1"/>
          <w:sz w:val="30"/>
          <w:szCs w:val="30"/>
          <w14:textFill>
            <w14:solidFill>
              <w14:schemeClr w14:val="tx1"/>
            </w14:solidFill>
          </w14:textFill>
        </w:rPr>
        <w:t>（</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一</w:t>
      </w:r>
      <w:r>
        <w:rPr>
          <w:rFonts w:hint="eastAsia" w:ascii="CESI仿宋-GB2312" w:hAnsi="CESI仿宋-GB2312" w:eastAsia="CESI仿宋-GB2312" w:cs="CESI仿宋-GB2312"/>
          <w:color w:val="000000" w:themeColor="text1"/>
          <w:sz w:val="30"/>
          <w:szCs w:val="30"/>
          <w14:textFill>
            <w14:solidFill>
              <w14:schemeClr w14:val="tx1"/>
            </w14:solidFill>
          </w14:textFill>
        </w:rPr>
        <w:t>）非特别注明的情况下，本协议条款货币种类均为人民币。</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lang w:eastAsia="zh-CN"/>
          <w14:textFill>
            <w14:solidFill>
              <w14:schemeClr w14:val="tx1"/>
            </w14:solidFill>
          </w14:textFill>
        </w:rPr>
      </w:pPr>
      <w:r>
        <w:rPr>
          <w:rFonts w:hint="eastAsia" w:ascii="CESI仿宋-GB2312" w:hAnsi="CESI仿宋-GB2312" w:eastAsia="CESI仿宋-GB2312" w:cs="CESI仿宋-GB2312"/>
          <w:color w:val="000000" w:themeColor="text1"/>
          <w:sz w:val="30"/>
          <w:szCs w:val="30"/>
          <w14:textFill>
            <w14:solidFill>
              <w14:schemeClr w14:val="tx1"/>
            </w14:solidFill>
          </w14:textFill>
        </w:rPr>
        <w:t>（</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二</w:t>
      </w:r>
      <w:r>
        <w:rPr>
          <w:rFonts w:hint="eastAsia" w:ascii="CESI仿宋-GB2312" w:hAnsi="CESI仿宋-GB2312" w:eastAsia="CESI仿宋-GB2312" w:cs="CESI仿宋-GB2312"/>
          <w:color w:val="000000" w:themeColor="text1"/>
          <w:sz w:val="30"/>
          <w:szCs w:val="30"/>
          <w14:textFill>
            <w14:solidFill>
              <w14:schemeClr w14:val="tx1"/>
            </w14:solidFill>
          </w14:textFill>
        </w:rPr>
        <w:t>）本协议中乙方应达到的固定资产投资额、</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土地产出效率</w:t>
      </w:r>
      <w:r>
        <w:rPr>
          <w:rFonts w:hint="eastAsia" w:ascii="CESI仿宋-GB2312" w:hAnsi="CESI仿宋-GB2312" w:eastAsia="CESI仿宋-GB2312" w:cs="CESI仿宋-GB2312"/>
          <w:color w:val="000000" w:themeColor="text1"/>
          <w:sz w:val="30"/>
          <w:szCs w:val="30"/>
          <w14:textFill>
            <w14:solidFill>
              <w14:schemeClr w14:val="tx1"/>
            </w14:solidFill>
          </w14:textFill>
        </w:rPr>
        <w:t>、税收贡献</w:t>
      </w:r>
      <w:r>
        <w:rPr>
          <w:rFonts w:hint="eastAsia" w:ascii="CESI仿宋-GB2312" w:hAnsi="CESI仿宋-GB2312" w:eastAsia="CESI仿宋-GB2312" w:cs="CESI仿宋-GB2312"/>
          <w:color w:val="000000" w:themeColor="text1"/>
          <w:sz w:val="30"/>
          <w:szCs w:val="30"/>
          <w:lang w:val="en-US" w:eastAsia="zh-CN"/>
          <w14:textFill>
            <w14:solidFill>
              <w14:schemeClr w14:val="tx1"/>
            </w14:solidFill>
          </w14:textFill>
        </w:rPr>
        <w:t>率</w:t>
      </w:r>
      <w:r>
        <w:rPr>
          <w:rFonts w:hint="eastAsia" w:ascii="CESI仿宋-GB2312" w:hAnsi="CESI仿宋-GB2312" w:eastAsia="CESI仿宋-GB2312" w:cs="CESI仿宋-GB2312"/>
          <w:color w:val="000000" w:themeColor="text1"/>
          <w:sz w:val="30"/>
          <w:szCs w:val="30"/>
          <w14:textFill>
            <w14:solidFill>
              <w14:schemeClr w14:val="tx1"/>
            </w14:solidFill>
          </w14:textFill>
        </w:rPr>
        <w:t>，履约核查时以乙方、乙方</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或</w:t>
      </w:r>
      <w:r>
        <w:rPr>
          <w:rFonts w:hint="eastAsia" w:ascii="CESI仿宋-GB2312" w:hAnsi="CESI仿宋-GB2312" w:eastAsia="CESI仿宋-GB2312" w:cs="CESI仿宋-GB2312"/>
          <w:color w:val="000000" w:themeColor="text1"/>
          <w:sz w:val="30"/>
          <w:szCs w:val="30"/>
          <w14:textFill>
            <w14:solidFill>
              <w14:schemeClr w14:val="tx1"/>
            </w14:solidFill>
          </w14:textFill>
        </w:rPr>
        <w:t>乙方的实际控制人在坪山区注册的一级、二级子公司（如乙方及乙方的实际控制人直接或间接持股低于50%的，乙方</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或</w:t>
      </w:r>
      <w:r>
        <w:rPr>
          <w:rFonts w:hint="eastAsia" w:ascii="CESI仿宋-GB2312" w:hAnsi="CESI仿宋-GB2312" w:eastAsia="CESI仿宋-GB2312" w:cs="CESI仿宋-GB2312"/>
          <w:color w:val="000000" w:themeColor="text1"/>
          <w:sz w:val="30"/>
          <w:szCs w:val="30"/>
          <w14:textFill>
            <w14:solidFill>
              <w14:schemeClr w14:val="tx1"/>
            </w14:solidFill>
          </w14:textFill>
        </w:rPr>
        <w:t>乙方的实际控制人应为该一级、二级子公司直接或间接最大股东），作为统计核算口径。</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14:textFill>
            <w14:solidFill>
              <w14:schemeClr w14:val="tx1"/>
            </w14:solidFill>
          </w14:textFill>
        </w:rPr>
      </w:pPr>
      <w:r>
        <w:rPr>
          <w:rFonts w:hint="eastAsia" w:ascii="CESI仿宋-GB2312" w:hAnsi="CESI仿宋-GB2312" w:eastAsia="CESI仿宋-GB2312" w:cs="CESI仿宋-GB2312"/>
          <w:color w:val="000000" w:themeColor="text1"/>
          <w:sz w:val="30"/>
          <w:szCs w:val="30"/>
          <w14:textFill>
            <w14:solidFill>
              <w14:schemeClr w14:val="tx1"/>
            </w14:solidFill>
          </w14:textFill>
        </w:rPr>
        <w:t>股权关系以核查年度上年12月31日的股权登记状况为准。</w:t>
      </w:r>
    </w:p>
    <w:p>
      <w:pPr>
        <w:adjustRightInd w:val="0"/>
        <w:snapToGrid w:val="0"/>
        <w:spacing w:line="560" w:lineRule="exact"/>
        <w:ind w:firstLine="600" w:firstLineChars="200"/>
        <w:rPr>
          <w:rFonts w:hint="default" w:ascii="Times New Roman" w:hAnsi="Times New Roman" w:eastAsia="宋体" w:cs="Times New Roman"/>
          <w:color w:val="000000" w:themeColor="text1"/>
          <w:sz w:val="21"/>
          <w:szCs w:val="24"/>
          <w14:textFill>
            <w14:solidFill>
              <w14:schemeClr w14:val="tx1"/>
            </w14:solidFill>
          </w14:textFill>
        </w:rPr>
      </w:pPr>
      <w:r>
        <w:rPr>
          <w:rFonts w:hint="eastAsia" w:ascii="CESI仿宋-GB2312" w:hAnsi="CESI仿宋-GB2312" w:eastAsia="CESI仿宋-GB2312" w:cs="CESI仿宋-GB2312"/>
          <w:color w:val="000000" w:themeColor="text1"/>
          <w:sz w:val="30"/>
          <w:szCs w:val="30"/>
          <w:lang w:val="en-US" w:eastAsia="zh-CN"/>
          <w14:textFill>
            <w14:solidFill>
              <w14:schemeClr w14:val="tx1"/>
            </w14:solidFill>
          </w14:textFill>
        </w:rPr>
        <w:t>对已纳入其他产业发展监管协议考核范围的</w:t>
      </w:r>
      <w:r>
        <w:rPr>
          <w:rFonts w:hint="eastAsia" w:ascii="CESI仿宋-GB2312" w:hAnsi="CESI仿宋-GB2312" w:eastAsia="CESI仿宋-GB2312" w:cs="CESI仿宋-GB2312"/>
          <w:color w:val="000000" w:themeColor="text1"/>
          <w:sz w:val="30"/>
          <w:szCs w:val="30"/>
          <w14:textFill>
            <w14:solidFill>
              <w14:schemeClr w14:val="tx1"/>
            </w14:solidFill>
          </w14:textFill>
        </w:rPr>
        <w:t>乙方</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或</w:t>
      </w:r>
      <w:r>
        <w:rPr>
          <w:rFonts w:hint="eastAsia" w:ascii="CESI仿宋-GB2312" w:hAnsi="CESI仿宋-GB2312" w:eastAsia="CESI仿宋-GB2312" w:cs="CESI仿宋-GB2312"/>
          <w:color w:val="000000" w:themeColor="text1"/>
          <w:sz w:val="30"/>
          <w:szCs w:val="30"/>
          <w14:textFill>
            <w14:solidFill>
              <w14:schemeClr w14:val="tx1"/>
            </w14:solidFill>
          </w14:textFill>
        </w:rPr>
        <w:t>乙方的实际控制人在坪山区注册的一级、二级子公</w:t>
      </w:r>
      <w:r>
        <w:rPr>
          <w:rFonts w:hint="eastAsia" w:ascii="CESI仿宋-GB2312" w:hAnsi="CESI仿宋-GB2312" w:eastAsia="CESI仿宋-GB2312" w:cs="CESI仿宋-GB2312"/>
          <w:color w:val="auto"/>
          <w:sz w:val="30"/>
          <w:szCs w:val="30"/>
        </w:rPr>
        <w:t>司</w:t>
      </w:r>
      <w:r>
        <w:rPr>
          <w:rFonts w:hint="eastAsia" w:ascii="CESI仿宋-GB2312" w:hAnsi="CESI仿宋-GB2312" w:eastAsia="CESI仿宋-GB2312" w:cs="CESI仿宋-GB2312"/>
          <w:color w:val="auto"/>
          <w:sz w:val="30"/>
          <w:szCs w:val="30"/>
          <w:lang w:eastAsia="zh-CN"/>
        </w:rPr>
        <w:t>，其已纳入</w:t>
      </w:r>
      <w:r>
        <w:rPr>
          <w:rFonts w:hint="eastAsia" w:ascii="CESI仿宋-GB2312" w:hAnsi="CESI仿宋-GB2312" w:eastAsia="CESI仿宋-GB2312" w:cs="CESI仿宋-GB2312"/>
          <w:color w:val="auto"/>
          <w:sz w:val="30"/>
          <w:szCs w:val="30"/>
        </w:rPr>
        <w:t>其他产业发展监管协议</w:t>
      </w:r>
      <w:r>
        <w:rPr>
          <w:rFonts w:hint="eastAsia" w:ascii="CESI仿宋-GB2312" w:hAnsi="CESI仿宋-GB2312" w:eastAsia="CESI仿宋-GB2312" w:cs="CESI仿宋-GB2312"/>
          <w:color w:val="auto"/>
          <w:sz w:val="30"/>
          <w:szCs w:val="30"/>
          <w:lang w:eastAsia="zh-CN"/>
        </w:rPr>
        <w:t>考核范围的</w:t>
      </w:r>
      <w:r>
        <w:rPr>
          <w:rFonts w:hint="eastAsia" w:ascii="CESI仿宋-GB2312" w:hAnsi="CESI仿宋-GB2312" w:eastAsia="CESI仿宋-GB2312" w:cs="CESI仿宋-GB2312"/>
          <w:color w:val="auto"/>
          <w:sz w:val="30"/>
          <w:szCs w:val="30"/>
        </w:rPr>
        <w:t>固定资产投资额</w:t>
      </w:r>
      <w:r>
        <w:rPr>
          <w:rFonts w:hint="eastAsia" w:ascii="CESI仿宋-GB2312" w:hAnsi="CESI仿宋-GB2312" w:eastAsia="CESI仿宋-GB2312" w:cs="CESI仿宋-GB2312"/>
          <w:color w:val="auto"/>
          <w:sz w:val="30"/>
          <w:szCs w:val="30"/>
          <w:lang w:eastAsia="zh-CN"/>
        </w:rPr>
        <w:t>、</w:t>
      </w:r>
      <w:r>
        <w:rPr>
          <w:rFonts w:hint="eastAsia" w:ascii="CESI仿宋-GB2312" w:hAnsi="CESI仿宋-GB2312" w:eastAsia="CESI仿宋-GB2312" w:cs="CESI仿宋-GB2312"/>
          <w:color w:val="auto"/>
          <w:sz w:val="30"/>
          <w:szCs w:val="30"/>
        </w:rPr>
        <w:t>产值（营业收入）和税收</w:t>
      </w:r>
      <w:r>
        <w:rPr>
          <w:rFonts w:hint="eastAsia" w:ascii="CESI仿宋-GB2312" w:hAnsi="CESI仿宋-GB2312" w:eastAsia="CESI仿宋-GB2312" w:cs="CESI仿宋-GB2312"/>
          <w:color w:val="auto"/>
          <w:sz w:val="30"/>
          <w:szCs w:val="30"/>
          <w:lang w:eastAsia="zh-CN"/>
        </w:rPr>
        <w:t>贡献，</w:t>
      </w:r>
      <w:r>
        <w:rPr>
          <w:rFonts w:hint="eastAsia" w:ascii="CESI仿宋-GB2312" w:hAnsi="CESI仿宋-GB2312" w:eastAsia="CESI仿宋-GB2312" w:cs="CESI仿宋-GB2312"/>
          <w:color w:val="auto"/>
          <w:sz w:val="30"/>
          <w:szCs w:val="30"/>
        </w:rPr>
        <w:t>不得</w:t>
      </w:r>
      <w:r>
        <w:rPr>
          <w:rFonts w:hint="eastAsia" w:ascii="CESI仿宋-GB2312" w:hAnsi="CESI仿宋-GB2312" w:eastAsia="CESI仿宋-GB2312" w:cs="CESI仿宋-GB2312"/>
          <w:color w:val="auto"/>
          <w:sz w:val="30"/>
          <w:szCs w:val="30"/>
          <w:lang w:eastAsia="zh-CN"/>
        </w:rPr>
        <w:t>重复</w:t>
      </w:r>
      <w:r>
        <w:rPr>
          <w:rFonts w:hint="eastAsia" w:ascii="CESI仿宋-GB2312" w:hAnsi="CESI仿宋-GB2312" w:eastAsia="CESI仿宋-GB2312" w:cs="CESI仿宋-GB2312"/>
          <w:color w:val="auto"/>
          <w:sz w:val="30"/>
          <w:szCs w:val="30"/>
        </w:rPr>
        <w:t>计入乙方的统计范围</w:t>
      </w:r>
      <w:r>
        <w:rPr>
          <w:rFonts w:hint="eastAsia" w:ascii="CESI仿宋-GB2312" w:hAnsi="CESI仿宋-GB2312" w:eastAsia="CESI仿宋-GB2312" w:cs="CESI仿宋-GB2312"/>
          <w:color w:val="auto"/>
          <w:sz w:val="30"/>
          <w:szCs w:val="30"/>
          <w:lang w:eastAsia="zh-CN"/>
        </w:rPr>
        <w:t>。</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14:textFill>
            <w14:solidFill>
              <w14:schemeClr w14:val="tx1"/>
            </w14:solidFill>
          </w14:textFill>
        </w:rPr>
      </w:pPr>
      <w:r>
        <w:rPr>
          <w:rFonts w:hint="eastAsia" w:ascii="CESI仿宋-GB2312" w:hAnsi="CESI仿宋-GB2312" w:eastAsia="CESI仿宋-GB2312" w:cs="CESI仿宋-GB2312"/>
          <w:color w:val="000000" w:themeColor="text1"/>
          <w:sz w:val="30"/>
          <w:szCs w:val="30"/>
          <w14:textFill>
            <w14:solidFill>
              <w14:schemeClr w14:val="tx1"/>
            </w14:solidFill>
          </w14:textFill>
        </w:rPr>
        <w:t>项目固定资产投资</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额</w:t>
      </w:r>
      <w:r>
        <w:rPr>
          <w:rFonts w:hint="eastAsia" w:ascii="CESI仿宋-GB2312" w:hAnsi="CESI仿宋-GB2312" w:eastAsia="CESI仿宋-GB2312" w:cs="CESI仿宋-GB2312"/>
          <w:color w:val="000000" w:themeColor="text1"/>
          <w:sz w:val="30"/>
          <w:szCs w:val="30"/>
          <w14:textFill>
            <w14:solidFill>
              <w14:schemeClr w14:val="tx1"/>
            </w14:solidFill>
          </w14:textFill>
        </w:rPr>
        <w:t>以经第三方审计的数据为准。</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14:textFill>
            <w14:solidFill>
              <w14:schemeClr w14:val="tx1"/>
            </w14:solidFill>
          </w14:textFill>
        </w:rPr>
      </w:pPr>
      <w:r>
        <w:rPr>
          <w:rFonts w:hint="eastAsia" w:ascii="CESI仿宋-GB2312" w:hAnsi="CESI仿宋-GB2312" w:eastAsia="CESI仿宋-GB2312" w:cs="CESI仿宋-GB2312"/>
          <w:strike w:val="0"/>
          <w:color w:val="000000" w:themeColor="text1"/>
          <w:sz w:val="30"/>
          <w:szCs w:val="30"/>
          <w:lang w:eastAsia="zh-CN"/>
          <w14:textFill>
            <w14:solidFill>
              <w14:schemeClr w14:val="tx1"/>
            </w14:solidFill>
          </w14:textFill>
        </w:rPr>
        <w:t>项目产值（营业收入）以深圳市统计部门数据为准；</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项目纳税额</w:t>
      </w:r>
      <w:r>
        <w:rPr>
          <w:rFonts w:hint="eastAsia" w:ascii="CESI仿宋-GB2312" w:hAnsi="CESI仿宋-GB2312" w:eastAsia="CESI仿宋-GB2312" w:cs="CESI仿宋-GB2312"/>
          <w:color w:val="000000" w:themeColor="text1"/>
          <w:sz w:val="30"/>
          <w:szCs w:val="30"/>
          <w14:textFill>
            <w14:solidFill>
              <w14:schemeClr w14:val="tx1"/>
            </w14:solidFill>
          </w14:textFill>
        </w:rPr>
        <w:t>以税务机关出具的“纳税证明”和“完税证明”为准</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14:textFill>
            <w14:solidFill>
              <w14:schemeClr w14:val="tx1"/>
            </w14:solidFill>
          </w14:textFill>
        </w:rPr>
        <w:t>依税款缴纳时间计算</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14:textFill>
            <w14:solidFill>
              <w14:schemeClr w14:val="tx1"/>
            </w14:solidFill>
          </w14:textFill>
        </w:rPr>
        <w:t>，包括企业所得税、增值税、城市维护建设税、印花税、地方教育附加、教育费附加、房产税、城镇土地使用税、文化事业建设费、个人所得税等自缴税费和代扣（收）代缴税费</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w:t>
      </w:r>
      <w:r>
        <w:rPr>
          <w:rFonts w:hint="eastAsia" w:ascii="CESI仿宋-GB2312" w:hAnsi="CESI仿宋-GB2312" w:eastAsia="CESI仿宋-GB2312" w:cs="CESI仿宋-GB2312"/>
          <w:color w:val="000000" w:themeColor="text1"/>
          <w:sz w:val="30"/>
          <w:szCs w:val="30"/>
          <w14:textFill>
            <w14:solidFill>
              <w14:schemeClr w14:val="tx1"/>
            </w14:solidFill>
          </w14:textFill>
        </w:rPr>
        <w:t>不含关税及向海关缴纳的增值税。</w:t>
      </w:r>
      <w:r>
        <w:rPr>
          <w:rFonts w:hint="eastAsia" w:ascii="CESI仿宋-GB2312" w:hAnsi="CESI仿宋-GB2312" w:eastAsia="CESI仿宋-GB2312" w:cs="CESI仿宋-GB2312"/>
          <w:color w:val="000000" w:themeColor="text1"/>
          <w:sz w:val="30"/>
          <w:szCs w:val="30"/>
          <w14:textFill>
            <w14:solidFill>
              <w14:schemeClr w14:val="tx1"/>
            </w14:solidFill>
          </w14:textFill>
        </w:rPr>
        <w:br w:type="textWrapping"/>
      </w:r>
      <w:r>
        <w:rPr>
          <w:rFonts w:hint="eastAsia" w:ascii="CESI仿宋-GB2312" w:hAnsi="CESI仿宋-GB2312" w:eastAsia="CESI仿宋-GB2312" w:cs="CESI仿宋-GB2312"/>
          <w:color w:val="000000" w:themeColor="text1"/>
          <w:sz w:val="30"/>
          <w:szCs w:val="30"/>
          <w:lang w:val="en-US" w:eastAsia="zh-CN"/>
          <w14:textFill>
            <w14:solidFill>
              <w14:schemeClr w14:val="tx1"/>
            </w14:solidFill>
          </w14:textFill>
        </w:rPr>
        <w:t xml:space="preserve">    </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若存在本协议第四条第（二）款第3项第（1）</w:t>
      </w:r>
      <w:r>
        <w:rPr>
          <w:rFonts w:hint="eastAsia" w:ascii="CESI仿宋-GB2312" w:hAnsi="CESI仿宋-GB2312" w:eastAsia="CESI仿宋-GB2312" w:cs="CESI仿宋-GB2312"/>
          <w:color w:val="auto"/>
          <w:sz w:val="30"/>
          <w:szCs w:val="30"/>
          <w:highlight w:val="none"/>
          <w:lang w:val="en-US" w:eastAsia="zh-CN"/>
        </w:rPr>
        <w:t>点项目建设用地为坪山辖区产业用地合并</w:t>
      </w:r>
      <w:r>
        <w:rPr>
          <w:rFonts w:hint="eastAsia" w:ascii="CESI仿宋-GB2312" w:hAnsi="CESI仿宋-GB2312" w:eastAsia="CESI仿宋-GB2312" w:cs="CESI仿宋-GB2312"/>
          <w:color w:val="auto"/>
          <w:sz w:val="30"/>
          <w:szCs w:val="30"/>
          <w:lang w:val="en-US" w:eastAsia="zh-CN"/>
        </w:rPr>
        <w:t>计算</w:t>
      </w:r>
      <w:r>
        <w:rPr>
          <w:rFonts w:hint="eastAsia" w:ascii="CESI仿宋-GB2312" w:hAnsi="CESI仿宋-GB2312" w:eastAsia="CESI仿宋-GB2312" w:cs="CESI仿宋-GB2312"/>
          <w:color w:val="auto"/>
          <w:sz w:val="30"/>
          <w:szCs w:val="30"/>
          <w:highlight w:val="none"/>
          <w:lang w:val="en-US" w:eastAsia="zh-CN"/>
        </w:rPr>
        <w:t>情形的，</w:t>
      </w:r>
      <w:r>
        <w:rPr>
          <w:rFonts w:hint="eastAsia" w:ascii="CESI仿宋-GB2312" w:hAnsi="CESI仿宋-GB2312" w:eastAsia="CESI仿宋-GB2312" w:cs="CESI仿宋-GB2312"/>
          <w:color w:val="auto"/>
          <w:sz w:val="30"/>
          <w:szCs w:val="30"/>
          <w:lang w:val="en-US" w:eastAsia="zh-CN"/>
        </w:rPr>
        <w:t>乙方在坪山辖区内纳入其他产业发展监管协议考核范围的的宗地，自本协议签订之日起，相关宗地未核查的土地产出效率及税收贡献率（或相关指标）的监管（包括履约核查时间和核查标准）按照本协议执行</w:t>
      </w:r>
      <w:r>
        <w:rPr>
          <w:rFonts w:hint="eastAsia" w:ascii="CESI仿宋-GB2312" w:hAnsi="CESI仿宋-GB2312" w:eastAsia="CESI仿宋-GB2312" w:cs="CESI仿宋-GB2312"/>
          <w:color w:val="auto"/>
          <w:sz w:val="30"/>
          <w:szCs w:val="30"/>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14:textFill>
            <w14:solidFill>
              <w14:schemeClr w14:val="tx1"/>
            </w14:solidFill>
          </w14:textFill>
        </w:rPr>
      </w:pPr>
      <w:r>
        <w:rPr>
          <w:rFonts w:hint="eastAsia" w:ascii="CESI仿宋-GB2312" w:hAnsi="CESI仿宋-GB2312" w:eastAsia="CESI仿宋-GB2312" w:cs="CESI仿宋-GB2312"/>
          <w:color w:val="000000" w:themeColor="text1"/>
          <w:sz w:val="30"/>
          <w:szCs w:val="30"/>
          <w14:textFill>
            <w14:solidFill>
              <w14:schemeClr w14:val="tx1"/>
            </w14:solidFill>
          </w14:textFill>
        </w:rPr>
        <w:t>（</w:t>
      </w:r>
      <w:r>
        <w:rPr>
          <w:rFonts w:hint="eastAsia" w:ascii="CESI仿宋-GB2312" w:hAnsi="CESI仿宋-GB2312" w:eastAsia="CESI仿宋-GB2312" w:cs="CESI仿宋-GB2312"/>
          <w:color w:val="000000" w:themeColor="text1"/>
          <w:sz w:val="30"/>
          <w:szCs w:val="30"/>
          <w:lang w:eastAsia="zh-CN"/>
          <w14:textFill>
            <w14:solidFill>
              <w14:schemeClr w14:val="tx1"/>
            </w14:solidFill>
          </w14:textFill>
        </w:rPr>
        <w:t>五</w:t>
      </w:r>
      <w:r>
        <w:rPr>
          <w:rFonts w:hint="eastAsia" w:ascii="CESI仿宋-GB2312" w:hAnsi="CESI仿宋-GB2312" w:eastAsia="CESI仿宋-GB2312" w:cs="CESI仿宋-GB2312"/>
          <w:color w:val="000000" w:themeColor="text1"/>
          <w:sz w:val="30"/>
          <w:szCs w:val="30"/>
          <w14:textFill>
            <w14:solidFill>
              <w14:schemeClr w14:val="tx1"/>
            </w14:solidFill>
          </w14:textFill>
        </w:rPr>
        <w:t>）本协议履行过程中，对协议中部分名词含义的理解存在不同意见的，以甲方的解释为准。</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14:textFill>
            <w14:solidFill>
              <w14:schemeClr w14:val="tx1"/>
            </w14:solidFill>
          </w14:textFill>
        </w:rPr>
        <w:t>（</w:t>
      </w:r>
      <w:r>
        <w:rPr>
          <w:rFonts w:hint="eastAsia" w:ascii="CESI仿宋-GB2312" w:hAnsi="CESI仿宋-GB2312" w:eastAsia="CESI仿宋-GB2312" w:cs="CESI仿宋-GB2312"/>
          <w:color w:val="000000" w:themeColor="text1"/>
          <w:sz w:val="30"/>
          <w:szCs w:val="30"/>
          <w:lang w:val="en-US" w:eastAsia="zh-CN"/>
          <w14:textFill>
            <w14:solidFill>
              <w14:schemeClr w14:val="tx1"/>
            </w14:solidFill>
          </w14:textFill>
        </w:rPr>
        <w:t>六</w:t>
      </w:r>
      <w:r>
        <w:rPr>
          <w:rFonts w:hint="eastAsia" w:ascii="CESI仿宋-GB2312" w:hAnsi="CESI仿宋-GB2312" w:eastAsia="CESI仿宋-GB2312" w:cs="CESI仿宋-GB2312"/>
          <w:color w:val="000000" w:themeColor="text1"/>
          <w:sz w:val="30"/>
          <w:szCs w:val="30"/>
          <w14:textFill>
            <w14:solidFill>
              <w14:schemeClr w14:val="tx1"/>
            </w14:solidFill>
          </w14:textFill>
        </w:rPr>
        <w:t>）乙方同意，本协议约定内容涉及其他政府行政部门的，该政府行政部门有权直接依据本协议向乙方主张或行使职权。</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pPr>
      <w:r>
        <w:rPr>
          <w:rFonts w:hint="eastAsia" w:ascii="CESI黑体-GB2312" w:hAnsi="CESI黑体-GB2312" w:eastAsia="CESI黑体-GB2312" w:cs="CESI黑体-GB2312"/>
          <w:b w:val="0"/>
          <w:bCs/>
          <w:color w:val="000000" w:themeColor="text1"/>
          <w:sz w:val="30"/>
          <w:szCs w:val="30"/>
          <w:highlight w:val="none"/>
          <w:lang w:eastAsia="zh-CN"/>
          <w14:textFill>
            <w14:solidFill>
              <w14:schemeClr w14:val="tx1"/>
            </w14:solidFill>
          </w14:textFill>
        </w:rPr>
        <w:t>九</w:t>
      </w:r>
      <w:r>
        <w:rPr>
          <w:rFonts w:hint="eastAsia" w:ascii="CESI黑体-GB2312" w:hAnsi="CESI黑体-GB2312" w:eastAsia="CESI黑体-GB2312" w:cs="CESI黑体-GB2312"/>
          <w:b w:val="0"/>
          <w:bCs/>
          <w:color w:val="000000" w:themeColor="text1"/>
          <w:sz w:val="30"/>
          <w:szCs w:val="30"/>
          <w:highlight w:val="none"/>
          <w14:textFill>
            <w14:solidFill>
              <w14:schemeClr w14:val="tx1"/>
            </w14:solidFill>
          </w14:textFill>
        </w:rPr>
        <w:t>、合同效力</w:t>
      </w:r>
    </w:p>
    <w:p>
      <w:pPr>
        <w:pStyle w:val="4"/>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（一）</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本协议书一式</w:t>
      </w:r>
      <w:r>
        <w:rPr>
          <w:rFonts w:hint="eastAsia" w:ascii="CESI仿宋-GB2312" w:hAnsi="CESI仿宋-GB2312" w:eastAsia="CESI仿宋-GB2312" w:cs="CESI仿宋-GB2312"/>
          <w:color w:val="000000" w:themeColor="text1"/>
          <w:sz w:val="30"/>
          <w:szCs w:val="30"/>
          <w:highlight w:val="none"/>
          <w:lang w:val="en-US" w:eastAsia="zh-CN"/>
          <w14:textFill>
            <w14:solidFill>
              <w14:schemeClr w14:val="tx1"/>
            </w14:solidFill>
          </w14:textFill>
        </w:rPr>
        <w:t>捌</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份，具有同等法律效力，甲</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方</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执</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贰</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份</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，乙方执叁份，</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深圳市规划和自然资源局坪山管理局</w:t>
      </w: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执叁份，</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作为该宗建设用地土地使用权出让合同的附件。</w:t>
      </w:r>
    </w:p>
    <w:p>
      <w:pPr>
        <w:pStyle w:val="4"/>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（二）</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本协议书自甲乙双方签字盖章之日起生效。</w:t>
      </w:r>
    </w:p>
    <w:p>
      <w:pPr>
        <w:pStyle w:val="4"/>
        <w:ind w:right="-34" w:rightChars="-16"/>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color w:val="000000" w:themeColor="text1"/>
          <w:sz w:val="30"/>
          <w:szCs w:val="30"/>
          <w:highlight w:val="none"/>
          <w:lang w:eastAsia="zh-CN"/>
          <w14:textFill>
            <w14:solidFill>
              <w14:schemeClr w14:val="tx1"/>
            </w14:solidFill>
          </w14:textFill>
        </w:rPr>
        <w:t>（三）</w:t>
      </w:r>
      <w:r>
        <w:rPr>
          <w:rFonts w:hint="eastAsia" w:ascii="CESI仿宋-GB2312" w:hAnsi="CESI仿宋-GB2312" w:eastAsia="CESI仿宋-GB2312" w:cs="CESI仿宋-GB2312"/>
          <w:color w:val="000000" w:themeColor="text1"/>
          <w:sz w:val="30"/>
          <w:szCs w:val="30"/>
          <w:highlight w:val="none"/>
          <w14:textFill>
            <w14:solidFill>
              <w14:schemeClr w14:val="tx1"/>
            </w14:solidFill>
          </w14:textFill>
        </w:rPr>
        <w:t>本协议书未尽事宜，经甲乙双方协商一致，可另行签订补充协议，补充协议与本协议书具有同等法律效力。</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（以下无正文）</w:t>
      </w:r>
    </w:p>
    <w:p>
      <w:pPr>
        <w:adjustRightInd/>
        <w:snapToGrid/>
        <w:spacing w:line="560" w:lineRule="exact"/>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br w:type="page"/>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Cs/>
          <w:color w:val="000000" w:themeColor="text1"/>
          <w:sz w:val="30"/>
          <w:szCs w:val="30"/>
          <w:highlight w:val="none"/>
          <w14:textFill>
            <w14:solidFill>
              <w14:schemeClr w14:val="tx1"/>
            </w14:solidFill>
          </w14:textFill>
        </w:rPr>
        <w:t>（本页为签署页）</w:t>
      </w:r>
    </w:p>
    <w:p>
      <w:pPr>
        <w:keepNext w:val="0"/>
        <w:keepLines w:val="0"/>
        <w:pageBreakBefore w:val="0"/>
        <w:kinsoku/>
        <w:wordWrap/>
        <w:overflowPunct/>
        <w:topLinePunct w:val="0"/>
        <w:autoSpaceDE/>
        <w:autoSpaceDN/>
        <w:bidi w:val="0"/>
        <w:adjustRightInd w:val="0"/>
        <w:snapToGrid w:val="0"/>
        <w:spacing w:line="560" w:lineRule="exact"/>
        <w:ind w:left="904" w:hanging="904" w:hangingChars="300"/>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904" w:hanging="904" w:hangingChars="300"/>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904" w:hanging="904" w:hangingChars="300"/>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904" w:hanging="904" w:hangingChars="300"/>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 xml:space="preserve">甲方（盖章）：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法定代表人：</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委托代理人：</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ind w:left="602" w:hanging="602" w:hangingChars="200"/>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乙方（盖章）：</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法定代表人：</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委托代理人：</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签订日期：</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年</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月</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日</w:t>
      </w: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4668" w:firstLineChars="1550"/>
        <w:textAlignment w:val="auto"/>
        <w:outlineLvl w:val="9"/>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pPr>
      <w:r>
        <w:rPr>
          <w:rFonts w:hint="eastAsia" w:ascii="CESI仿宋-GB2312" w:hAnsi="CESI仿宋-GB2312" w:eastAsia="CESI仿宋-GB2312" w:cs="CESI仿宋-GB2312"/>
          <w:b/>
          <w:color w:val="000000" w:themeColor="text1"/>
          <w:sz w:val="30"/>
          <w:szCs w:val="30"/>
          <w:highlight w:val="none"/>
          <w14:textFill>
            <w14:solidFill>
              <w14:schemeClr w14:val="tx1"/>
            </w14:solidFill>
          </w14:textFill>
        </w:rPr>
        <w:t>签订地点：</w:t>
      </w:r>
      <w:r>
        <w:rPr>
          <w:rFonts w:hint="eastAsia" w:ascii="CESI仿宋-GB2312" w:hAnsi="CESI仿宋-GB2312" w:eastAsia="CESI仿宋-GB2312" w:cs="CESI仿宋-GB2312"/>
          <w:b/>
          <w:color w:val="000000" w:themeColor="text1"/>
          <w:sz w:val="30"/>
          <w:szCs w:val="30"/>
          <w:highlight w:val="none"/>
          <w:u w:val="singl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p>
    <w:p>
      <w:pPr>
        <w:pStyle w:val="2"/>
        <w:rPr>
          <w:rFonts w:hint="eastAsia" w:ascii="CESI仿宋-GB2312" w:hAnsi="CESI仿宋-GB2312" w:eastAsia="CESI仿宋-GB2312" w:cs="CESI仿宋-GB2312"/>
          <w:color w:val="000000" w:themeColor="text1"/>
          <w:sz w:val="30"/>
          <w:szCs w:val="30"/>
          <w:highlight w:val="none"/>
          <w14:textFill>
            <w14:solidFill>
              <w14:schemeClr w14:val="tx1"/>
            </w14:solidFill>
          </w14:textFill>
        </w:rPr>
      </w:pPr>
    </w:p>
    <w:p>
      <w:pPr>
        <w:pStyle w:val="2"/>
        <w:ind w:firstLine="0" w:firstLineChars="0"/>
        <w:rPr>
          <w:rFonts w:hint="eastAsia" w:ascii="CESI仿宋-GB2312" w:hAnsi="CESI仿宋-GB2312" w:eastAsia="CESI仿宋-GB2312" w:cs="CESI仿宋-GB2312"/>
          <w:color w:val="auto"/>
          <w:sz w:val="30"/>
          <w:szCs w:val="30"/>
          <w:highlight w:val="none"/>
          <w:lang w:val="en-US" w:eastAsia="zh-CN"/>
        </w:rPr>
      </w:pPr>
      <w:r>
        <w:rPr>
          <w:rFonts w:hint="eastAsia" w:ascii="CESI仿宋-GB2312" w:hAnsi="CESI仿宋-GB2312" w:eastAsia="CESI仿宋-GB2312" w:cs="CESI仿宋-GB2312"/>
          <w:color w:val="auto"/>
          <w:sz w:val="30"/>
          <w:szCs w:val="30"/>
          <w:highlight w:val="none"/>
          <w:lang w:val="en-US" w:eastAsia="zh-CN"/>
        </w:rPr>
        <w:t>附件：</w:t>
      </w:r>
    </w:p>
    <w:p>
      <w:pPr>
        <w:jc w:val="center"/>
        <w:rPr>
          <w:rFonts w:hint="eastAsia"/>
          <w:b/>
          <w:color w:val="auto"/>
          <w:sz w:val="36"/>
          <w:szCs w:val="36"/>
          <w:lang w:val="en-US" w:eastAsia="zh-CN"/>
        </w:rPr>
      </w:pPr>
      <w:r>
        <w:rPr>
          <w:rFonts w:hint="eastAsia"/>
          <w:b/>
          <w:color w:val="auto"/>
          <w:sz w:val="36"/>
          <w:szCs w:val="36"/>
          <w:lang w:val="en-US" w:eastAsia="zh-CN"/>
        </w:rPr>
        <w:t>承诺函</w:t>
      </w:r>
    </w:p>
    <w:p>
      <w:pPr>
        <w:jc w:val="center"/>
        <w:rPr>
          <w:rFonts w:hint="eastAsia"/>
          <w:b/>
          <w:color w:val="auto"/>
          <w:sz w:val="36"/>
          <w:szCs w:val="36"/>
          <w:lang w:val="en-US" w:eastAsia="zh-CN"/>
        </w:rPr>
      </w:pP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致：深圳市坪山区投资推广服务署</w:t>
      </w:r>
    </w:p>
    <w:p>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系</w:t>
      </w:r>
      <w:r>
        <w:rPr>
          <w:rFonts w:hint="eastAsia" w:ascii="仿宋" w:hAnsi="仿宋" w:eastAsia="仿宋" w:cs="仿宋"/>
          <w:color w:val="auto"/>
          <w:sz w:val="28"/>
          <w:szCs w:val="28"/>
          <w:lang w:val="en-US" w:eastAsia="zh-CN"/>
        </w:rPr>
        <w:t>【（本协议乙方）】</w:t>
      </w:r>
      <w:r>
        <w:rPr>
          <w:rFonts w:hint="default" w:ascii="仿宋" w:hAnsi="仿宋" w:eastAsia="仿宋" w:cs="仿宋"/>
          <w:color w:val="auto"/>
          <w:sz w:val="28"/>
          <w:szCs w:val="28"/>
          <w:lang w:val="en-US" w:eastAsia="zh-CN"/>
        </w:rPr>
        <w:t>的控股股东</w:t>
      </w:r>
      <w:r>
        <w:rPr>
          <w:rFonts w:hint="eastAsia" w:ascii="仿宋" w:hAnsi="仿宋" w:eastAsia="仿宋" w:cs="仿宋"/>
          <w:color w:val="auto"/>
          <w:sz w:val="28"/>
          <w:szCs w:val="28"/>
          <w:lang w:val="en-US" w:eastAsia="zh-CN"/>
        </w:rPr>
        <w:t>/实际控制人</w:t>
      </w:r>
      <w:r>
        <w:rPr>
          <w:rFonts w:hint="default" w:ascii="仿宋" w:hAnsi="仿宋" w:eastAsia="仿宋" w:cs="仿宋"/>
          <w:color w:val="auto"/>
          <w:sz w:val="28"/>
          <w:szCs w:val="28"/>
          <w:lang w:val="en-US" w:eastAsia="zh-CN"/>
        </w:rPr>
        <w:t>，就</w:t>
      </w:r>
      <w:r>
        <w:rPr>
          <w:rFonts w:hint="eastAsia" w:ascii="仿宋" w:hAnsi="仿宋" w:eastAsia="仿宋" w:cs="仿宋"/>
          <w:color w:val="auto"/>
          <w:sz w:val="28"/>
          <w:szCs w:val="28"/>
          <w:lang w:val="en-US" w:eastAsia="zh-CN"/>
        </w:rPr>
        <w:t>【（本协议乙方）】</w:t>
      </w:r>
      <w:r>
        <w:rPr>
          <w:rFonts w:hint="default" w:ascii="仿宋" w:hAnsi="仿宋" w:eastAsia="仿宋" w:cs="仿宋"/>
          <w:color w:val="auto"/>
          <w:sz w:val="28"/>
          <w:szCs w:val="28"/>
          <w:lang w:val="en-US" w:eastAsia="zh-CN"/>
        </w:rPr>
        <w:t>股权变更、以及与贵署签订的《深圳市坪山区产业用地建设和使用监管协议书》（编号为：深坪产监协〔202</w:t>
      </w:r>
      <w:r>
        <w:rPr>
          <w:rFonts w:hint="eastAsia" w:ascii="仿宋" w:hAnsi="仿宋" w:eastAsia="仿宋" w:cs="仿宋"/>
          <w:color w:val="auto"/>
          <w:sz w:val="28"/>
          <w:szCs w:val="28"/>
          <w:lang w:val="en-US" w:eastAsia="zh-CN"/>
        </w:rPr>
        <w:t xml:space="preserve">  </w:t>
      </w:r>
      <w:r>
        <w:rPr>
          <w:rFonts w:hint="default" w:ascii="仿宋" w:hAnsi="仿宋" w:eastAsia="仿宋" w:cs="仿宋"/>
          <w:color w:val="auto"/>
          <w:sz w:val="28"/>
          <w:szCs w:val="28"/>
          <w:lang w:val="en-US" w:eastAsia="zh-CN"/>
        </w:rPr>
        <w:t>〕第    号）（以下简称“《产业监管协议》”）相关事宜，向贵署承诺如下：</w:t>
      </w:r>
    </w:p>
    <w:p>
      <w:pPr>
        <w:ind w:firstLine="560" w:firstLineChars="200"/>
        <w:rPr>
          <w:rFonts w:hint="eastAsia" w:ascii="仿宋" w:hAnsi="仿宋" w:eastAsia="仿宋" w:cs="仿宋"/>
          <w:color w:val="auto"/>
          <w:sz w:val="30"/>
          <w:szCs w:val="30"/>
          <w:lang w:val="en-US" w:eastAsia="zh-CN"/>
        </w:rPr>
      </w:pPr>
      <w:r>
        <w:rPr>
          <w:rFonts w:hint="eastAsia" w:ascii="CESI仿宋-GB2312" w:hAnsi="CESI仿宋-GB2312" w:eastAsia="CESI仿宋-GB2312" w:cs="CESI仿宋-GB2312"/>
          <w:color w:val="auto"/>
          <w:sz w:val="28"/>
          <w:szCs w:val="28"/>
          <w:highlight w:val="none"/>
          <w:lang w:val="en-US" w:eastAsia="zh-CN"/>
        </w:rPr>
        <w:t>未经区政府同意，</w:t>
      </w:r>
      <w:r>
        <w:rPr>
          <w:rFonts w:hint="eastAsia" w:ascii="仿宋" w:hAnsi="仿宋" w:eastAsia="仿宋" w:cs="仿宋"/>
          <w:color w:val="auto"/>
          <w:sz w:val="28"/>
          <w:szCs w:val="28"/>
          <w:u w:val="single"/>
          <w:lang w:val="en-US" w:eastAsia="zh-CN"/>
        </w:rPr>
        <w:t xml:space="preserve">             </w:t>
      </w:r>
      <w:r>
        <w:rPr>
          <w:rFonts w:hint="eastAsia" w:ascii="CESI仿宋-GB2312" w:hAnsi="CESI仿宋-GB2312" w:eastAsia="CESI仿宋-GB2312" w:cs="CESI仿宋-GB2312"/>
          <w:color w:val="auto"/>
          <w:sz w:val="28"/>
          <w:szCs w:val="28"/>
          <w:highlight w:val="none"/>
          <w:lang w:eastAsia="zh-CN"/>
        </w:rPr>
        <w:t>不</w:t>
      </w:r>
      <w:r>
        <w:rPr>
          <w:rFonts w:hint="eastAsia" w:ascii="CESI仿宋-GB2312" w:hAnsi="CESI仿宋-GB2312" w:eastAsia="CESI仿宋-GB2312" w:cs="CESI仿宋-GB2312"/>
          <w:color w:val="auto"/>
          <w:sz w:val="28"/>
          <w:szCs w:val="28"/>
          <w:highlight w:val="none"/>
          <w:lang w:val="en-US" w:eastAsia="zh-CN"/>
        </w:rPr>
        <w:t>会</w:t>
      </w:r>
      <w:r>
        <w:rPr>
          <w:rFonts w:hint="eastAsia" w:ascii="CESI仿宋-GB2312" w:hAnsi="CESI仿宋-GB2312" w:eastAsia="CESI仿宋-GB2312" w:cs="CESI仿宋-GB2312"/>
          <w:b w:val="0"/>
          <w:i w:val="0"/>
          <w:caps w:val="0"/>
          <w:color w:val="auto"/>
          <w:spacing w:val="0"/>
          <w:sz w:val="28"/>
          <w:szCs w:val="28"/>
          <w:highlight w:val="none"/>
          <w:shd w:val="clear" w:fill="auto"/>
        </w:rPr>
        <w:t>以股权转让或变更的方式变相转让</w:t>
      </w:r>
      <w:r>
        <w:rPr>
          <w:rFonts w:hint="eastAsia" w:ascii="CESI仿宋-GB2312" w:hAnsi="CESI仿宋-GB2312" w:eastAsia="CESI仿宋-GB2312" w:cs="CESI仿宋-GB2312"/>
          <w:b w:val="0"/>
          <w:i w:val="0"/>
          <w:caps w:val="0"/>
          <w:color w:val="auto"/>
          <w:spacing w:val="0"/>
          <w:sz w:val="28"/>
          <w:szCs w:val="28"/>
          <w:highlight w:val="none"/>
          <w:shd w:val="clear" w:fill="auto"/>
          <w:lang w:eastAsia="zh-CN"/>
        </w:rPr>
        <w:t>【】</w:t>
      </w:r>
      <w:r>
        <w:rPr>
          <w:rFonts w:hint="eastAsia" w:ascii="CESI仿宋-GB2312" w:hAnsi="CESI仿宋-GB2312" w:eastAsia="CESI仿宋-GB2312" w:cs="CESI仿宋-GB2312"/>
          <w:b w:val="0"/>
          <w:i w:val="0"/>
          <w:caps w:val="0"/>
          <w:color w:val="auto"/>
          <w:spacing w:val="0"/>
          <w:sz w:val="28"/>
          <w:szCs w:val="28"/>
          <w:highlight w:val="none"/>
          <w:shd w:val="clear" w:fill="auto"/>
          <w:lang w:val="en-US" w:eastAsia="zh-CN"/>
        </w:rPr>
        <w:t>号宗地的</w:t>
      </w:r>
      <w:r>
        <w:rPr>
          <w:rFonts w:hint="eastAsia" w:ascii="CESI仿宋-GB2312" w:hAnsi="CESI仿宋-GB2312" w:eastAsia="CESI仿宋-GB2312" w:cs="CESI仿宋-GB2312"/>
          <w:color w:val="auto"/>
          <w:sz w:val="28"/>
          <w:szCs w:val="28"/>
          <w:highlight w:val="none"/>
        </w:rPr>
        <w:t>建设用地使用权、地上建（构）筑物</w:t>
      </w:r>
      <w:r>
        <w:rPr>
          <w:rFonts w:hint="eastAsia" w:ascii="CESI仿宋-GB2312" w:hAnsi="CESI仿宋-GB2312" w:eastAsia="CESI仿宋-GB2312" w:cs="CESI仿宋-GB2312"/>
          <w:color w:val="auto"/>
          <w:sz w:val="28"/>
          <w:szCs w:val="28"/>
          <w:highlight w:val="none"/>
          <w:lang w:eastAsia="zh-CN"/>
        </w:rPr>
        <w:t>及</w:t>
      </w:r>
      <w:r>
        <w:rPr>
          <w:rFonts w:hint="eastAsia" w:ascii="CESI仿宋-GB2312" w:hAnsi="CESI仿宋-GB2312" w:eastAsia="CESI仿宋-GB2312" w:cs="CESI仿宋-GB2312"/>
          <w:color w:val="auto"/>
          <w:sz w:val="28"/>
          <w:szCs w:val="28"/>
          <w:highlight w:val="none"/>
        </w:rPr>
        <w:t>其附属设施</w:t>
      </w:r>
      <w:r>
        <w:rPr>
          <w:rFonts w:hint="eastAsia" w:ascii="CESI仿宋-GB2312" w:hAnsi="CESI仿宋-GB2312" w:eastAsia="CESI仿宋-GB2312" w:cs="CESI仿宋-GB2312"/>
          <w:color w:val="auto"/>
          <w:sz w:val="28"/>
          <w:szCs w:val="28"/>
          <w:highlight w:val="none"/>
          <w:lang w:eastAsia="zh-CN"/>
        </w:rPr>
        <w:t>（</w:t>
      </w:r>
      <w:r>
        <w:rPr>
          <w:rFonts w:hint="eastAsia" w:ascii="CESI仿宋-GB2312" w:hAnsi="CESI仿宋-GB2312" w:eastAsia="CESI仿宋-GB2312" w:cs="CESI仿宋-GB2312"/>
          <w:b w:val="0"/>
          <w:i w:val="0"/>
          <w:caps w:val="0"/>
          <w:color w:val="auto"/>
          <w:spacing w:val="0"/>
          <w:sz w:val="28"/>
          <w:szCs w:val="28"/>
          <w:highlight w:val="none"/>
          <w:shd w:val="clear"/>
          <w:lang w:val="en-US" w:eastAsia="zh-CN"/>
        </w:rPr>
        <w:t>本承诺函</w:t>
      </w:r>
      <w:r>
        <w:rPr>
          <w:rFonts w:hint="eastAsia" w:ascii="CESI仿宋-GB2312" w:hAnsi="CESI仿宋-GB2312" w:eastAsia="CESI仿宋-GB2312" w:cs="CESI仿宋-GB2312"/>
          <w:b w:val="0"/>
          <w:i w:val="0"/>
          <w:caps w:val="0"/>
          <w:color w:val="auto"/>
          <w:spacing w:val="0"/>
          <w:sz w:val="28"/>
          <w:szCs w:val="28"/>
          <w:highlight w:val="none"/>
          <w:shd w:val="clear" w:fill="auto"/>
        </w:rPr>
        <w:t>所称股权转让是指导致企业控股权或实际控制权发生变更的转让</w:t>
      </w:r>
      <w:r>
        <w:rPr>
          <w:rFonts w:hint="eastAsia" w:ascii="CESI仿宋-GB2312" w:hAnsi="CESI仿宋-GB2312" w:eastAsia="CESI仿宋-GB2312" w:cs="CESI仿宋-GB2312"/>
          <w:b w:val="0"/>
          <w:i w:val="0"/>
          <w:caps w:val="0"/>
          <w:color w:val="auto"/>
          <w:spacing w:val="0"/>
          <w:sz w:val="28"/>
          <w:szCs w:val="28"/>
          <w:highlight w:val="none"/>
          <w:shd w:val="clear" w:fill="auto"/>
          <w:lang w:eastAsia="zh-CN"/>
        </w:rPr>
        <w:t>）</w:t>
      </w:r>
      <w:r>
        <w:rPr>
          <w:rFonts w:hint="eastAsia" w:ascii="仿宋" w:hAnsi="仿宋" w:eastAsia="仿宋" w:cs="仿宋"/>
          <w:color w:val="auto"/>
          <w:sz w:val="28"/>
          <w:szCs w:val="28"/>
          <w:lang w:val="en-US" w:eastAsia="zh-CN"/>
        </w:rPr>
        <w:t>。否则，贵署有权按照《产业监管协议》的约定追究【（本协议乙方）】公司的违约责任。</w:t>
      </w:r>
    </w:p>
    <w:p>
      <w:pPr>
        <w:ind w:firstLine="600" w:firstLineChars="200"/>
        <w:rPr>
          <w:rFonts w:hint="eastAsia" w:ascii="仿宋" w:hAnsi="仿宋" w:eastAsia="仿宋" w:cs="仿宋"/>
          <w:color w:val="auto"/>
          <w:sz w:val="30"/>
          <w:szCs w:val="30"/>
          <w:lang w:val="en-US" w:eastAsia="zh-CN"/>
        </w:rPr>
      </w:pPr>
    </w:p>
    <w:p>
      <w:pPr>
        <w:ind w:firstLine="600" w:firstLineChars="200"/>
        <w:rPr>
          <w:rFonts w:hint="eastAsia" w:ascii="仿宋" w:hAnsi="仿宋" w:eastAsia="仿宋" w:cs="仿宋"/>
          <w:sz w:val="30"/>
          <w:szCs w:val="30"/>
          <w:lang w:val="en-US" w:eastAsia="zh-CN"/>
        </w:rPr>
      </w:pPr>
    </w:p>
    <w:p>
      <w:pPr>
        <w:wordWrap w:val="0"/>
        <w:ind w:firstLine="560" w:firstLineChars="200"/>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承诺人：                      </w:t>
      </w:r>
    </w:p>
    <w:p>
      <w:pPr>
        <w:ind w:firstLine="560" w:firstLineChars="200"/>
        <w:jc w:val="right"/>
        <w:rPr>
          <w:rFonts w:hint="eastAsia"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 xml:space="preserve">        年    月    日</w:t>
      </w:r>
    </w:p>
    <w:p>
      <w:pPr>
        <w:keepNext w:val="0"/>
        <w:keepLines w:val="0"/>
        <w:pageBreakBefore w:val="0"/>
        <w:kinsoku/>
        <w:wordWrap/>
        <w:overflowPunct/>
        <w:topLinePunct w:val="0"/>
        <w:autoSpaceDE/>
        <w:autoSpaceDN/>
        <w:bidi w:val="0"/>
        <w:spacing w:line="560" w:lineRule="exact"/>
        <w:textAlignment w:val="auto"/>
        <w:rPr>
          <w:color w:val="000000" w:themeColor="text1"/>
          <w14:textFill>
            <w14:solidFill>
              <w14:schemeClr w14:val="tx1"/>
            </w14:solidFill>
          </w14:textFill>
        </w:rPr>
      </w:pPr>
    </w:p>
    <w:sectPr>
      <w:headerReference r:id="rId4" w:type="first"/>
      <w:headerReference r:id="rId3" w:type="default"/>
      <w:footerReference r:id="rId5" w:type="default"/>
      <w:footerReference r:id="rId6" w:type="even"/>
      <w:pgSz w:w="11906" w:h="16838"/>
      <w:pgMar w:top="2098" w:right="1474" w:bottom="1984" w:left="158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楷体_GB2312"/>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p>
  <w:p>
    <w:pPr>
      <w:pStyle w:val="5"/>
      <w:framePr w:wrap="around" w:vAnchor="text" w:hAnchor="margin" w:xAlign="outside" w:y="1"/>
      <w:ind w:firstLine="280" w:firstLineChars="100"/>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A5E90"/>
    <w:multiLevelType w:val="singleLevel"/>
    <w:tmpl w:val="FFFA5E90"/>
    <w:lvl w:ilvl="0" w:tentative="0">
      <w:start w:val="4"/>
      <w:numFmt w:val="chineseCounting"/>
      <w:suff w:val="nothing"/>
      <w:lvlText w:val="（%1）"/>
      <w:lvlJc w:val="left"/>
      <w:rPr>
        <w:rFonts w:hint="eastAsia"/>
      </w:rPr>
    </w:lvl>
  </w:abstractNum>
  <w:abstractNum w:abstractNumId="1">
    <w:nsid w:val="3BB99F58"/>
    <w:multiLevelType w:val="singleLevel"/>
    <w:tmpl w:val="3BB99F5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MGIzYmQzZGNjYmI2MGJhZDZjMjA0ODE5MzA3ZDMifQ=="/>
  </w:docVars>
  <w:rsids>
    <w:rsidRoot w:val="00000000"/>
    <w:rsid w:val="01FF621E"/>
    <w:rsid w:val="030D4EBA"/>
    <w:rsid w:val="045209E4"/>
    <w:rsid w:val="04FD3B02"/>
    <w:rsid w:val="06BDD52D"/>
    <w:rsid w:val="075F30E8"/>
    <w:rsid w:val="08D34718"/>
    <w:rsid w:val="0C281FE4"/>
    <w:rsid w:val="0D7646B3"/>
    <w:rsid w:val="0DFA664A"/>
    <w:rsid w:val="0FBF545B"/>
    <w:rsid w:val="0FBFC60B"/>
    <w:rsid w:val="112E7287"/>
    <w:rsid w:val="11A836BF"/>
    <w:rsid w:val="13798C3B"/>
    <w:rsid w:val="13EF4510"/>
    <w:rsid w:val="13F073AE"/>
    <w:rsid w:val="145015A0"/>
    <w:rsid w:val="14653FFD"/>
    <w:rsid w:val="14DE7975"/>
    <w:rsid w:val="151B56FF"/>
    <w:rsid w:val="17DE2FB7"/>
    <w:rsid w:val="18BA9FCF"/>
    <w:rsid w:val="190C21B2"/>
    <w:rsid w:val="1A0B1B9B"/>
    <w:rsid w:val="1AEFFF4D"/>
    <w:rsid w:val="1AFFDA08"/>
    <w:rsid w:val="1B0A238F"/>
    <w:rsid w:val="1B377FEC"/>
    <w:rsid w:val="1B9725B1"/>
    <w:rsid w:val="1BDE3365"/>
    <w:rsid w:val="1BFDA316"/>
    <w:rsid w:val="1CEB6E06"/>
    <w:rsid w:val="1D08638A"/>
    <w:rsid w:val="1D163CD4"/>
    <w:rsid w:val="1DB717F6"/>
    <w:rsid w:val="1DB7A61D"/>
    <w:rsid w:val="1F926133"/>
    <w:rsid w:val="1FF7084F"/>
    <w:rsid w:val="1FFB6018"/>
    <w:rsid w:val="1FFFA367"/>
    <w:rsid w:val="1FFFE5A1"/>
    <w:rsid w:val="20E7A2C5"/>
    <w:rsid w:val="240F17C4"/>
    <w:rsid w:val="24E5D5BE"/>
    <w:rsid w:val="255076C2"/>
    <w:rsid w:val="260364D4"/>
    <w:rsid w:val="27779D67"/>
    <w:rsid w:val="277C36AE"/>
    <w:rsid w:val="2A6C1170"/>
    <w:rsid w:val="2AA917DF"/>
    <w:rsid w:val="2B8339D1"/>
    <w:rsid w:val="2BF73FE3"/>
    <w:rsid w:val="2DF5D1B3"/>
    <w:rsid w:val="2EB60A4F"/>
    <w:rsid w:val="2F17227B"/>
    <w:rsid w:val="2F744449"/>
    <w:rsid w:val="2F8F7016"/>
    <w:rsid w:val="2F9D1316"/>
    <w:rsid w:val="2FE43FBE"/>
    <w:rsid w:val="2FFC74DE"/>
    <w:rsid w:val="33F0DA09"/>
    <w:rsid w:val="34793B7A"/>
    <w:rsid w:val="34A33566"/>
    <w:rsid w:val="34A46435"/>
    <w:rsid w:val="34EE6ED2"/>
    <w:rsid w:val="35CB00AA"/>
    <w:rsid w:val="35EB0211"/>
    <w:rsid w:val="36621F5E"/>
    <w:rsid w:val="36AE7E47"/>
    <w:rsid w:val="372A2A0B"/>
    <w:rsid w:val="37974B02"/>
    <w:rsid w:val="37DF9B80"/>
    <w:rsid w:val="37FEBA9B"/>
    <w:rsid w:val="38B74680"/>
    <w:rsid w:val="39B7E411"/>
    <w:rsid w:val="3A5B4E64"/>
    <w:rsid w:val="3ABD583D"/>
    <w:rsid w:val="3ABFD485"/>
    <w:rsid w:val="3B170289"/>
    <w:rsid w:val="3B32D95C"/>
    <w:rsid w:val="3BBF426C"/>
    <w:rsid w:val="3C287563"/>
    <w:rsid w:val="3D15282A"/>
    <w:rsid w:val="3DC70533"/>
    <w:rsid w:val="3E7FA013"/>
    <w:rsid w:val="3E975D7F"/>
    <w:rsid w:val="3EEE58CB"/>
    <w:rsid w:val="3EFC6E5A"/>
    <w:rsid w:val="3EFCB216"/>
    <w:rsid w:val="3F27F5DB"/>
    <w:rsid w:val="3F2B07C2"/>
    <w:rsid w:val="3F4D9EEE"/>
    <w:rsid w:val="3F77B977"/>
    <w:rsid w:val="3F7DEF05"/>
    <w:rsid w:val="3F7FBD5D"/>
    <w:rsid w:val="3F9D8C4B"/>
    <w:rsid w:val="3FAB42B1"/>
    <w:rsid w:val="3FABB0A5"/>
    <w:rsid w:val="3FB90B0B"/>
    <w:rsid w:val="3FCEA857"/>
    <w:rsid w:val="3FE96CBF"/>
    <w:rsid w:val="3FEF8BAA"/>
    <w:rsid w:val="3FFF0AC4"/>
    <w:rsid w:val="3FFFC0FC"/>
    <w:rsid w:val="402F091C"/>
    <w:rsid w:val="41215C63"/>
    <w:rsid w:val="412E2888"/>
    <w:rsid w:val="41A75014"/>
    <w:rsid w:val="42AB4717"/>
    <w:rsid w:val="44346DE2"/>
    <w:rsid w:val="4472470D"/>
    <w:rsid w:val="44CF7689"/>
    <w:rsid w:val="44D8663C"/>
    <w:rsid w:val="4537569D"/>
    <w:rsid w:val="467F0F5E"/>
    <w:rsid w:val="46D544C0"/>
    <w:rsid w:val="4BF50A8D"/>
    <w:rsid w:val="4BFC0A7A"/>
    <w:rsid w:val="4DDEDDBC"/>
    <w:rsid w:val="4FB5F613"/>
    <w:rsid w:val="4FED9D89"/>
    <w:rsid w:val="4FF5B396"/>
    <w:rsid w:val="4FFF64E9"/>
    <w:rsid w:val="50BF8959"/>
    <w:rsid w:val="51B43959"/>
    <w:rsid w:val="51FCDDBC"/>
    <w:rsid w:val="52737DC8"/>
    <w:rsid w:val="535CF74D"/>
    <w:rsid w:val="53FB9CF8"/>
    <w:rsid w:val="55152C2C"/>
    <w:rsid w:val="55FD421D"/>
    <w:rsid w:val="568C61EF"/>
    <w:rsid w:val="579B33D8"/>
    <w:rsid w:val="57BF811F"/>
    <w:rsid w:val="57F77419"/>
    <w:rsid w:val="57FF975D"/>
    <w:rsid w:val="58EF4FB1"/>
    <w:rsid w:val="58FCB7F4"/>
    <w:rsid w:val="593B7274"/>
    <w:rsid w:val="5B73BED1"/>
    <w:rsid w:val="5BE73146"/>
    <w:rsid w:val="5BF52520"/>
    <w:rsid w:val="5BF75702"/>
    <w:rsid w:val="5D7DD508"/>
    <w:rsid w:val="5D916354"/>
    <w:rsid w:val="5DC7BF55"/>
    <w:rsid w:val="5E2B60E9"/>
    <w:rsid w:val="5E7332C4"/>
    <w:rsid w:val="5ECBC753"/>
    <w:rsid w:val="5EDA6126"/>
    <w:rsid w:val="5EFBE117"/>
    <w:rsid w:val="5EFEF18E"/>
    <w:rsid w:val="5F4C7C08"/>
    <w:rsid w:val="5F4D96AF"/>
    <w:rsid w:val="5F5E9FC9"/>
    <w:rsid w:val="5F62564B"/>
    <w:rsid w:val="5F6B9609"/>
    <w:rsid w:val="5F7C8185"/>
    <w:rsid w:val="5FBEED13"/>
    <w:rsid w:val="5FBF25F2"/>
    <w:rsid w:val="5FD71024"/>
    <w:rsid w:val="5FF8C68D"/>
    <w:rsid w:val="5FFD8184"/>
    <w:rsid w:val="5FFFB509"/>
    <w:rsid w:val="5FFFEBFE"/>
    <w:rsid w:val="6120605F"/>
    <w:rsid w:val="63635B3E"/>
    <w:rsid w:val="636F2ADF"/>
    <w:rsid w:val="63DD7118"/>
    <w:rsid w:val="65180E4F"/>
    <w:rsid w:val="658C42F3"/>
    <w:rsid w:val="65FF0510"/>
    <w:rsid w:val="6638F3F5"/>
    <w:rsid w:val="672D5FB4"/>
    <w:rsid w:val="67ED4942"/>
    <w:rsid w:val="69EC1A28"/>
    <w:rsid w:val="6ADEF965"/>
    <w:rsid w:val="6B51665B"/>
    <w:rsid w:val="6B814E20"/>
    <w:rsid w:val="6BBD0892"/>
    <w:rsid w:val="6BD59054"/>
    <w:rsid w:val="6CAD3942"/>
    <w:rsid w:val="6D3BB695"/>
    <w:rsid w:val="6DBF3F0B"/>
    <w:rsid w:val="6DCD06FB"/>
    <w:rsid w:val="6E5FDCAF"/>
    <w:rsid w:val="6EBDE892"/>
    <w:rsid w:val="6EFF6E17"/>
    <w:rsid w:val="6F25163E"/>
    <w:rsid w:val="6FBF93D3"/>
    <w:rsid w:val="6FCC9284"/>
    <w:rsid w:val="6FDA2D29"/>
    <w:rsid w:val="6FDE34B9"/>
    <w:rsid w:val="6FDE4C3B"/>
    <w:rsid w:val="6FDF2AC1"/>
    <w:rsid w:val="6FE92E68"/>
    <w:rsid w:val="6FFA2ADA"/>
    <w:rsid w:val="6FFC0C79"/>
    <w:rsid w:val="6FFE9006"/>
    <w:rsid w:val="6FFEA0AE"/>
    <w:rsid w:val="70CA109C"/>
    <w:rsid w:val="72384E22"/>
    <w:rsid w:val="729D379E"/>
    <w:rsid w:val="729F9786"/>
    <w:rsid w:val="72FEDE5E"/>
    <w:rsid w:val="72FFAC37"/>
    <w:rsid w:val="737922B0"/>
    <w:rsid w:val="737F5779"/>
    <w:rsid w:val="73E60C7C"/>
    <w:rsid w:val="73FAFEAD"/>
    <w:rsid w:val="73FEE1EB"/>
    <w:rsid w:val="73FF0F6D"/>
    <w:rsid w:val="74120FE7"/>
    <w:rsid w:val="745FE5D3"/>
    <w:rsid w:val="74DA9A57"/>
    <w:rsid w:val="7534619E"/>
    <w:rsid w:val="756E23CB"/>
    <w:rsid w:val="7577FE10"/>
    <w:rsid w:val="75D82EB8"/>
    <w:rsid w:val="76797101"/>
    <w:rsid w:val="769F4852"/>
    <w:rsid w:val="76E9054C"/>
    <w:rsid w:val="76FFF965"/>
    <w:rsid w:val="7745C5C0"/>
    <w:rsid w:val="775DA05C"/>
    <w:rsid w:val="7790EA3E"/>
    <w:rsid w:val="77AE75E1"/>
    <w:rsid w:val="77B3821B"/>
    <w:rsid w:val="77BF9B34"/>
    <w:rsid w:val="77D6DFE6"/>
    <w:rsid w:val="77D79C82"/>
    <w:rsid w:val="77E77485"/>
    <w:rsid w:val="77EDE17C"/>
    <w:rsid w:val="77EEA033"/>
    <w:rsid w:val="77FDD148"/>
    <w:rsid w:val="77FF247D"/>
    <w:rsid w:val="77FF81D8"/>
    <w:rsid w:val="785A1014"/>
    <w:rsid w:val="78F2C434"/>
    <w:rsid w:val="79DA5A2A"/>
    <w:rsid w:val="7ADF46CF"/>
    <w:rsid w:val="7AFAC94B"/>
    <w:rsid w:val="7B4E4338"/>
    <w:rsid w:val="7B737882"/>
    <w:rsid w:val="7B770F42"/>
    <w:rsid w:val="7BBD1054"/>
    <w:rsid w:val="7BBF09EC"/>
    <w:rsid w:val="7BE86D5F"/>
    <w:rsid w:val="7BFC6960"/>
    <w:rsid w:val="7CEE1551"/>
    <w:rsid w:val="7CFD69B6"/>
    <w:rsid w:val="7CFF6B1D"/>
    <w:rsid w:val="7D36DF67"/>
    <w:rsid w:val="7D3E1FA3"/>
    <w:rsid w:val="7D67E3EB"/>
    <w:rsid w:val="7D6D2410"/>
    <w:rsid w:val="7D7F77DF"/>
    <w:rsid w:val="7DEDD6CF"/>
    <w:rsid w:val="7DF40011"/>
    <w:rsid w:val="7DFFAFCA"/>
    <w:rsid w:val="7E043BAD"/>
    <w:rsid w:val="7E6700E6"/>
    <w:rsid w:val="7E7CAC54"/>
    <w:rsid w:val="7E7F0502"/>
    <w:rsid w:val="7E986598"/>
    <w:rsid w:val="7EA7B54F"/>
    <w:rsid w:val="7EBEEDCF"/>
    <w:rsid w:val="7EBF308A"/>
    <w:rsid w:val="7EBF959A"/>
    <w:rsid w:val="7EEB6E1E"/>
    <w:rsid w:val="7EEFBA62"/>
    <w:rsid w:val="7EEFFB84"/>
    <w:rsid w:val="7EF7ECF1"/>
    <w:rsid w:val="7F1DCDB1"/>
    <w:rsid w:val="7F1E461B"/>
    <w:rsid w:val="7F64AEC7"/>
    <w:rsid w:val="7F7BCCCC"/>
    <w:rsid w:val="7F7F62F9"/>
    <w:rsid w:val="7F7F6D69"/>
    <w:rsid w:val="7F7FBF3D"/>
    <w:rsid w:val="7F97A892"/>
    <w:rsid w:val="7FA4619F"/>
    <w:rsid w:val="7FAFEC22"/>
    <w:rsid w:val="7FBC32D1"/>
    <w:rsid w:val="7FCBE279"/>
    <w:rsid w:val="7FD4CE87"/>
    <w:rsid w:val="7FDB6B9C"/>
    <w:rsid w:val="7FDF87BA"/>
    <w:rsid w:val="7FDFFEDB"/>
    <w:rsid w:val="7FE3C473"/>
    <w:rsid w:val="7FEF82FE"/>
    <w:rsid w:val="7FF410E5"/>
    <w:rsid w:val="7FF41458"/>
    <w:rsid w:val="7FF533DF"/>
    <w:rsid w:val="7FF8EDBE"/>
    <w:rsid w:val="7FF9FD56"/>
    <w:rsid w:val="7FFBA6C2"/>
    <w:rsid w:val="7FFCC356"/>
    <w:rsid w:val="7FFD72AF"/>
    <w:rsid w:val="7FFE054D"/>
    <w:rsid w:val="7FFF139B"/>
    <w:rsid w:val="7FFF238D"/>
    <w:rsid w:val="7FFF557A"/>
    <w:rsid w:val="7FFF641F"/>
    <w:rsid w:val="7FFFBE38"/>
    <w:rsid w:val="7FFFE2C2"/>
    <w:rsid w:val="85EF8C8A"/>
    <w:rsid w:val="8EDEC747"/>
    <w:rsid w:val="8F3BD5C9"/>
    <w:rsid w:val="912F3A33"/>
    <w:rsid w:val="94FF26DC"/>
    <w:rsid w:val="96EFFAF7"/>
    <w:rsid w:val="98EB7BF9"/>
    <w:rsid w:val="9B3F7126"/>
    <w:rsid w:val="9B9F067A"/>
    <w:rsid w:val="9C4C018E"/>
    <w:rsid w:val="9DF3A56A"/>
    <w:rsid w:val="9F4FD833"/>
    <w:rsid w:val="9F9F989C"/>
    <w:rsid w:val="A4EF8BFB"/>
    <w:rsid w:val="A7786576"/>
    <w:rsid w:val="A7D716B9"/>
    <w:rsid w:val="A7DFD413"/>
    <w:rsid w:val="A7E7BADB"/>
    <w:rsid w:val="AB8F2DD8"/>
    <w:rsid w:val="ABBD3F99"/>
    <w:rsid w:val="ABFB35DE"/>
    <w:rsid w:val="AC5DC092"/>
    <w:rsid w:val="AD9B5FAB"/>
    <w:rsid w:val="ADBBD2D0"/>
    <w:rsid w:val="AFBEC1B4"/>
    <w:rsid w:val="AFBFDA7C"/>
    <w:rsid w:val="AFEE9C50"/>
    <w:rsid w:val="AFFB9F9E"/>
    <w:rsid w:val="B3B7794E"/>
    <w:rsid w:val="B3F6C185"/>
    <w:rsid w:val="B4DB3598"/>
    <w:rsid w:val="B5BAB388"/>
    <w:rsid w:val="B7AF0A9E"/>
    <w:rsid w:val="B7DFA2CF"/>
    <w:rsid w:val="B7FB0E6D"/>
    <w:rsid w:val="B81CFFB5"/>
    <w:rsid w:val="B87FB6DD"/>
    <w:rsid w:val="B9CF7E95"/>
    <w:rsid w:val="BAA70AD0"/>
    <w:rsid w:val="BAFB41BB"/>
    <w:rsid w:val="BAFF3CDF"/>
    <w:rsid w:val="BBD9D737"/>
    <w:rsid w:val="BCDFCBA8"/>
    <w:rsid w:val="BCFAC9CF"/>
    <w:rsid w:val="BD7F2771"/>
    <w:rsid w:val="BD9F38FD"/>
    <w:rsid w:val="BDAF00BF"/>
    <w:rsid w:val="BDEB20F5"/>
    <w:rsid w:val="BE0FF2EA"/>
    <w:rsid w:val="BEB7926F"/>
    <w:rsid w:val="BEBFCCFC"/>
    <w:rsid w:val="BECFB351"/>
    <w:rsid w:val="BEFFD00B"/>
    <w:rsid w:val="BF231936"/>
    <w:rsid w:val="BF5B6AFB"/>
    <w:rsid w:val="BF5EFDBC"/>
    <w:rsid w:val="BF6F2CE4"/>
    <w:rsid w:val="BF751E6C"/>
    <w:rsid w:val="BF8EF9A6"/>
    <w:rsid w:val="BFCE26FE"/>
    <w:rsid w:val="BFDF4A1D"/>
    <w:rsid w:val="BFE4B8ED"/>
    <w:rsid w:val="BFE7698B"/>
    <w:rsid w:val="BFEE150D"/>
    <w:rsid w:val="BFF6F717"/>
    <w:rsid w:val="BFFEE9CC"/>
    <w:rsid w:val="BFFF97B8"/>
    <w:rsid w:val="C0EF8493"/>
    <w:rsid w:val="C69DAB77"/>
    <w:rsid w:val="CAEB9905"/>
    <w:rsid w:val="CAFE4455"/>
    <w:rsid w:val="CBA7A9B7"/>
    <w:rsid w:val="CBFD7701"/>
    <w:rsid w:val="CD3B24D8"/>
    <w:rsid w:val="CDAF9925"/>
    <w:rsid w:val="CF5B91C5"/>
    <w:rsid w:val="CF7B259B"/>
    <w:rsid w:val="CFDF08FE"/>
    <w:rsid w:val="D1FF4214"/>
    <w:rsid w:val="D3E96849"/>
    <w:rsid w:val="D3F27AA6"/>
    <w:rsid w:val="D3F9F009"/>
    <w:rsid w:val="D45AE163"/>
    <w:rsid w:val="D67E8E81"/>
    <w:rsid w:val="D69BF1BD"/>
    <w:rsid w:val="D76ED730"/>
    <w:rsid w:val="D77CA453"/>
    <w:rsid w:val="D77F310A"/>
    <w:rsid w:val="D7BEB52B"/>
    <w:rsid w:val="D7F72FFD"/>
    <w:rsid w:val="D7FF10CE"/>
    <w:rsid w:val="D9765CF0"/>
    <w:rsid w:val="D9F60F50"/>
    <w:rsid w:val="D9FE4468"/>
    <w:rsid w:val="DBDF82B3"/>
    <w:rsid w:val="DBFC0C99"/>
    <w:rsid w:val="DBFEE4A4"/>
    <w:rsid w:val="DCBF9507"/>
    <w:rsid w:val="DCE627DA"/>
    <w:rsid w:val="DD7B32F0"/>
    <w:rsid w:val="DD84DAA8"/>
    <w:rsid w:val="DDDF415B"/>
    <w:rsid w:val="DDFFFBAF"/>
    <w:rsid w:val="DE4589B3"/>
    <w:rsid w:val="DE75CB35"/>
    <w:rsid w:val="DEB7FA50"/>
    <w:rsid w:val="DEDF0BCF"/>
    <w:rsid w:val="DEEBCF19"/>
    <w:rsid w:val="DF2F50C1"/>
    <w:rsid w:val="DF3564F9"/>
    <w:rsid w:val="DF3B9576"/>
    <w:rsid w:val="DF4FCBF1"/>
    <w:rsid w:val="DF5C88E9"/>
    <w:rsid w:val="DF5F8344"/>
    <w:rsid w:val="DF6639D5"/>
    <w:rsid w:val="DFBF37A3"/>
    <w:rsid w:val="DFEC3D71"/>
    <w:rsid w:val="DFF708C3"/>
    <w:rsid w:val="DFF997EA"/>
    <w:rsid w:val="E22F5975"/>
    <w:rsid w:val="E6B14BE0"/>
    <w:rsid w:val="E6BC01EC"/>
    <w:rsid w:val="E7547EAB"/>
    <w:rsid w:val="E79F2E2C"/>
    <w:rsid w:val="E7DD79C2"/>
    <w:rsid w:val="E7F76754"/>
    <w:rsid w:val="E7FD098F"/>
    <w:rsid w:val="E7FE0E73"/>
    <w:rsid w:val="E8DB53E9"/>
    <w:rsid w:val="E97F4AF7"/>
    <w:rsid w:val="EADD2F78"/>
    <w:rsid w:val="EBE7C973"/>
    <w:rsid w:val="EC37ACC6"/>
    <w:rsid w:val="ECDBB759"/>
    <w:rsid w:val="ECE2A23A"/>
    <w:rsid w:val="ECFBA7C3"/>
    <w:rsid w:val="EDFE9E3A"/>
    <w:rsid w:val="EE7355DB"/>
    <w:rsid w:val="EED3E13D"/>
    <w:rsid w:val="EEF33E97"/>
    <w:rsid w:val="EEF7FE47"/>
    <w:rsid w:val="EF7F7675"/>
    <w:rsid w:val="EF7FCD09"/>
    <w:rsid w:val="EF857295"/>
    <w:rsid w:val="EFBF1987"/>
    <w:rsid w:val="EFBFACF1"/>
    <w:rsid w:val="EFBFD49E"/>
    <w:rsid w:val="EFCB86CF"/>
    <w:rsid w:val="EFF77807"/>
    <w:rsid w:val="EFF9B75A"/>
    <w:rsid w:val="EFFB4A64"/>
    <w:rsid w:val="EFFCBDAD"/>
    <w:rsid w:val="EFFEAF12"/>
    <w:rsid w:val="EFFF4C91"/>
    <w:rsid w:val="F049FB15"/>
    <w:rsid w:val="F1FB59DC"/>
    <w:rsid w:val="F2FBD64F"/>
    <w:rsid w:val="F2FF69CD"/>
    <w:rsid w:val="F37F1E0E"/>
    <w:rsid w:val="F39A6750"/>
    <w:rsid w:val="F3BB50BF"/>
    <w:rsid w:val="F3F99D20"/>
    <w:rsid w:val="F3FF4951"/>
    <w:rsid w:val="F3FF8DDC"/>
    <w:rsid w:val="F54D2940"/>
    <w:rsid w:val="F57F50C5"/>
    <w:rsid w:val="F5DD1447"/>
    <w:rsid w:val="F5F1C9D1"/>
    <w:rsid w:val="F5FD2953"/>
    <w:rsid w:val="F5FD4239"/>
    <w:rsid w:val="F5FD9779"/>
    <w:rsid w:val="F64F2FC7"/>
    <w:rsid w:val="F6AC0C53"/>
    <w:rsid w:val="F6CFF041"/>
    <w:rsid w:val="F6EEA0D2"/>
    <w:rsid w:val="F6F70ADA"/>
    <w:rsid w:val="F755E184"/>
    <w:rsid w:val="F77F7FC6"/>
    <w:rsid w:val="F7E7A02D"/>
    <w:rsid w:val="F7EB3628"/>
    <w:rsid w:val="F7EEFCBA"/>
    <w:rsid w:val="F7FC4CC7"/>
    <w:rsid w:val="F7FD2B91"/>
    <w:rsid w:val="F8DDE516"/>
    <w:rsid w:val="F9CFECAD"/>
    <w:rsid w:val="F9D7CEB2"/>
    <w:rsid w:val="F9F72545"/>
    <w:rsid w:val="FA7FDAE8"/>
    <w:rsid w:val="FAE5F4B6"/>
    <w:rsid w:val="FB3F34DF"/>
    <w:rsid w:val="FB6FBB28"/>
    <w:rsid w:val="FB755EF5"/>
    <w:rsid w:val="FB7756C6"/>
    <w:rsid w:val="FB7F23F2"/>
    <w:rsid w:val="FBA7B016"/>
    <w:rsid w:val="FBBFA4EE"/>
    <w:rsid w:val="FBCCDD81"/>
    <w:rsid w:val="FBED509E"/>
    <w:rsid w:val="FBF5AFB8"/>
    <w:rsid w:val="FBF9848A"/>
    <w:rsid w:val="FBF9908C"/>
    <w:rsid w:val="FBFB1ECD"/>
    <w:rsid w:val="FBFDC72E"/>
    <w:rsid w:val="FBFE2390"/>
    <w:rsid w:val="FCDBD819"/>
    <w:rsid w:val="FD7C99F3"/>
    <w:rsid w:val="FDB7E496"/>
    <w:rsid w:val="FDBBDBBE"/>
    <w:rsid w:val="FDCDB5C2"/>
    <w:rsid w:val="FDDE35B6"/>
    <w:rsid w:val="FDE708B1"/>
    <w:rsid w:val="FDF5CB2A"/>
    <w:rsid w:val="FDF6CDF6"/>
    <w:rsid w:val="FE2FC43E"/>
    <w:rsid w:val="FE6E78AE"/>
    <w:rsid w:val="FEAA108F"/>
    <w:rsid w:val="FEBDC9E0"/>
    <w:rsid w:val="FEBEC7A3"/>
    <w:rsid w:val="FED20859"/>
    <w:rsid w:val="FED744EA"/>
    <w:rsid w:val="FEF20C55"/>
    <w:rsid w:val="FEF35870"/>
    <w:rsid w:val="FEF51732"/>
    <w:rsid w:val="FEF7A33C"/>
    <w:rsid w:val="FEFD7DA3"/>
    <w:rsid w:val="FEFD8199"/>
    <w:rsid w:val="FEFE431A"/>
    <w:rsid w:val="FEFF3882"/>
    <w:rsid w:val="FF3D7DBD"/>
    <w:rsid w:val="FF3DA9C3"/>
    <w:rsid w:val="FF5F982C"/>
    <w:rsid w:val="FF7B0E23"/>
    <w:rsid w:val="FF7EE4F8"/>
    <w:rsid w:val="FF7F4990"/>
    <w:rsid w:val="FF976331"/>
    <w:rsid w:val="FFB7C5AA"/>
    <w:rsid w:val="FFBEC138"/>
    <w:rsid w:val="FFBFA02A"/>
    <w:rsid w:val="FFCD54D2"/>
    <w:rsid w:val="FFCEBD70"/>
    <w:rsid w:val="FFCF54E4"/>
    <w:rsid w:val="FFD68A31"/>
    <w:rsid w:val="FFD702B9"/>
    <w:rsid w:val="FFDF7796"/>
    <w:rsid w:val="FFDFF963"/>
    <w:rsid w:val="FFE5B167"/>
    <w:rsid w:val="FFEB1A70"/>
    <w:rsid w:val="FFEBB2C5"/>
    <w:rsid w:val="FFEDEAA1"/>
    <w:rsid w:val="FFF70854"/>
    <w:rsid w:val="FFF7695F"/>
    <w:rsid w:val="FFF7EA4B"/>
    <w:rsid w:val="FFFB5262"/>
    <w:rsid w:val="FFFBC518"/>
    <w:rsid w:val="FFFC1796"/>
    <w:rsid w:val="FFFD7180"/>
    <w:rsid w:val="FFFDC385"/>
    <w:rsid w:val="FFFDF3FA"/>
    <w:rsid w:val="FFFF6A7A"/>
    <w:rsid w:val="FFFFB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annotation text"/>
    <w:basedOn w:val="1"/>
    <w:qFormat/>
    <w:uiPriority w:val="0"/>
    <w:pPr>
      <w:jc w:val="left"/>
    </w:pPr>
  </w:style>
  <w:style w:type="paragraph" w:styleId="4">
    <w:name w:val="Body Text Indent"/>
    <w:basedOn w:val="1"/>
    <w:qFormat/>
    <w:uiPriority w:val="0"/>
    <w:pPr>
      <w:ind w:firstLine="570"/>
    </w:pPr>
    <w:rPr>
      <w:rFonts w:ascii="宋体" w:hAnsi="宋体"/>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basedOn w:val="9"/>
    <w:qFormat/>
    <w:uiPriority w:val="0"/>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5276</Words>
  <Characters>5327</Characters>
  <Lines>0</Lines>
  <Paragraphs>0</Paragraphs>
  <TotalTime>4</TotalTime>
  <ScaleCrop>false</ScaleCrop>
  <LinksUpToDate>false</LinksUpToDate>
  <CharactersWithSpaces>6331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2014-12-02T20:08:00Z</dcterms:created>
  <dc:creator>user</dc:creator>
  <cp:lastModifiedBy>黄文琛</cp:lastModifiedBy>
  <cp:lastPrinted>2023-02-22T08:04:00Z</cp:lastPrinted>
  <dcterms:modified xsi:type="dcterms:W3CDTF">2023-03-03T04:21:08Z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C6238A18E82A42A09C295A68C2A0CE0F</vt:lpwstr>
  </property>
</Properties>
</file>