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00"/>
        <w:ind w:firstLine="0" w:firstLineChars="0"/>
        <w:jc w:val="center"/>
        <w:rPr>
          <w:rFonts w:ascii="仿宋_GB2312" w:eastAsia="仿宋_GB2312"/>
          <w:b/>
          <w:bCs/>
          <w:color w:val="auto"/>
          <w:spacing w:val="0"/>
          <w:w w:val="100"/>
          <w:sz w:val="40"/>
          <w:highlight w:val="none"/>
        </w:rPr>
      </w:pPr>
      <w:r>
        <w:rPr>
          <w:rFonts w:hint="eastAsia" w:ascii="仿宋_GB2312" w:eastAsia="仿宋_GB2312"/>
          <w:b/>
          <w:bCs/>
          <w:color w:val="auto"/>
          <w:spacing w:val="0"/>
          <w:w w:val="100"/>
          <w:sz w:val="40"/>
          <w:highlight w:val="none"/>
        </w:rPr>
        <w:t>深圳市土地使用权挂牌出让竞买须知</w:t>
      </w:r>
    </w:p>
    <w:p>
      <w:pPr>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一、制定依据及适用范围</w:t>
      </w:r>
    </w:p>
    <w:p>
      <w:pPr>
        <w:widowControl/>
        <w:ind w:firstLine="560"/>
        <w:jc w:val="left"/>
        <w:rPr>
          <w:rFonts w:ascii="仿宋" w:hAnsi="仿宋" w:eastAsia="仿宋" w:cs="仿宋"/>
          <w:color w:val="auto"/>
          <w:spacing w:val="0"/>
          <w:w w:val="100"/>
          <w:kern w:val="0"/>
          <w:sz w:val="28"/>
          <w:szCs w:val="28"/>
          <w:highlight w:val="none"/>
        </w:rPr>
      </w:pPr>
      <w:r>
        <w:rPr>
          <w:rFonts w:hint="eastAsia" w:ascii="仿宋_GB2312" w:eastAsia="仿宋_GB2312"/>
          <w:color w:val="auto"/>
          <w:spacing w:val="0"/>
          <w:w w:val="100"/>
          <w:sz w:val="28"/>
          <w:szCs w:val="28"/>
          <w:highlight w:val="none"/>
        </w:rPr>
        <w:t>按照有关法律、法规和规章的规定</w:t>
      </w:r>
      <w:r>
        <w:rPr>
          <w:rFonts w:hint="eastAsia" w:ascii="仿宋_GB2312" w:hAnsi="宋体" w:eastAsia="仿宋_GB2312"/>
          <w:color w:val="auto"/>
          <w:spacing w:val="0"/>
          <w:w w:val="100"/>
          <w:sz w:val="28"/>
          <w:szCs w:val="28"/>
          <w:highlight w:val="none"/>
        </w:rPr>
        <w:t>，深圳交易集团有限公司授权</w:t>
      </w:r>
      <w:r>
        <w:rPr>
          <w:rFonts w:hint="eastAsia" w:ascii="仿宋" w:hAnsi="仿宋" w:eastAsia="仿宋" w:cs="仿宋"/>
          <w:color w:val="auto"/>
          <w:spacing w:val="0"/>
          <w:w w:val="100"/>
          <w:kern w:val="0"/>
          <w:sz w:val="28"/>
          <w:szCs w:val="28"/>
          <w:highlight w:val="none"/>
        </w:rPr>
        <w:t>深圳交易集团有限公司土地矿业权业务分公司（以下简称“土地分公司”）制定本须知。</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本须知适用于土地分公司组织国有土地使用权挂牌出让和竞买人参与竞买的行为。</w:t>
      </w:r>
    </w:p>
    <w:p>
      <w:pPr>
        <w:ind w:firstLine="642"/>
        <w:rPr>
          <w:rFonts w:ascii="仿宋_GB2312" w:eastAsia="仿宋_GB2312"/>
          <w:b/>
          <w:color w:val="auto"/>
          <w:w w:val="100"/>
          <w:sz w:val="28"/>
          <w:szCs w:val="28"/>
          <w:highlight w:val="none"/>
        </w:rPr>
      </w:pPr>
      <w:r>
        <w:rPr>
          <w:rFonts w:hint="eastAsia" w:ascii="仿宋_GB2312" w:eastAsia="仿宋_GB2312"/>
          <w:b/>
          <w:color w:val="auto"/>
          <w:w w:val="100"/>
          <w:sz w:val="28"/>
          <w:szCs w:val="28"/>
          <w:highlight w:val="none"/>
        </w:rPr>
        <w:t>二、出让文件</w:t>
      </w:r>
    </w:p>
    <w:p>
      <w:pPr>
        <w:widowControl/>
        <w:ind w:firstLine="560" w:firstLineChars="0"/>
        <w:jc w:val="left"/>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出让文件在深圳公共资源交易公共服务平台网站发布。有意者，可登录</w:t>
      </w:r>
      <w:r>
        <w:rPr>
          <w:rFonts w:hint="eastAsia" w:ascii="仿宋" w:hAnsi="仿宋" w:eastAsia="仿宋" w:cs="仿宋"/>
          <w:color w:val="auto"/>
          <w:spacing w:val="0"/>
          <w:w w:val="100"/>
          <w:kern w:val="0"/>
          <w:sz w:val="28"/>
          <w:szCs w:val="28"/>
          <w:highlight w:val="none"/>
          <w:lang w:val="en-US" w:eastAsia="zh-CN"/>
        </w:rPr>
        <w:fldChar w:fldCharType="begin"/>
      </w:r>
      <w:r>
        <w:rPr>
          <w:rFonts w:hint="eastAsia" w:ascii="仿宋" w:hAnsi="仿宋" w:eastAsia="仿宋" w:cs="仿宋"/>
          <w:color w:val="auto"/>
          <w:spacing w:val="0"/>
          <w:w w:val="100"/>
          <w:kern w:val="0"/>
          <w:sz w:val="28"/>
          <w:szCs w:val="28"/>
          <w:highlight w:val="none"/>
          <w:lang w:val="en-US" w:eastAsia="zh-CN"/>
        </w:rPr>
        <w:instrText xml:space="preserve"> HYPERLINK "https://new.szggzy.com/jygg/list.html?id=tdky" \t "https://td.szggzy.com/_blank" </w:instrText>
      </w:r>
      <w:r>
        <w:rPr>
          <w:rFonts w:hint="eastAsia" w:ascii="仿宋" w:hAnsi="仿宋" w:eastAsia="仿宋" w:cs="仿宋"/>
          <w:color w:val="auto"/>
          <w:spacing w:val="0"/>
          <w:w w:val="100"/>
          <w:kern w:val="0"/>
          <w:sz w:val="28"/>
          <w:szCs w:val="28"/>
          <w:highlight w:val="none"/>
          <w:lang w:val="en-US" w:eastAsia="zh-CN"/>
        </w:rPr>
        <w:fldChar w:fldCharType="separate"/>
      </w:r>
      <w:r>
        <w:rPr>
          <w:rFonts w:hint="eastAsia" w:ascii="仿宋" w:hAnsi="仿宋" w:eastAsia="仿宋" w:cs="仿宋"/>
          <w:color w:val="auto"/>
          <w:spacing w:val="0"/>
          <w:w w:val="100"/>
          <w:kern w:val="0"/>
          <w:sz w:val="28"/>
          <w:szCs w:val="28"/>
          <w:highlight w:val="none"/>
          <w:lang w:val="en-US" w:eastAsia="zh-CN"/>
        </w:rPr>
        <w:t>https://new.szggzy.com/jygg/list.html?id=tdky</w:t>
      </w:r>
      <w:r>
        <w:rPr>
          <w:rFonts w:hint="eastAsia" w:ascii="仿宋" w:hAnsi="仿宋" w:eastAsia="仿宋" w:cs="仿宋"/>
          <w:color w:val="auto"/>
          <w:spacing w:val="0"/>
          <w:w w:val="100"/>
          <w:kern w:val="0"/>
          <w:sz w:val="28"/>
          <w:szCs w:val="28"/>
          <w:highlight w:val="none"/>
          <w:lang w:val="en-US" w:eastAsia="zh-CN"/>
        </w:rPr>
        <w:fldChar w:fldCharType="end"/>
      </w:r>
      <w:r>
        <w:rPr>
          <w:rFonts w:hint="eastAsia" w:ascii="仿宋" w:hAnsi="仿宋" w:eastAsia="仿宋" w:cs="仿宋"/>
          <w:color w:val="auto"/>
          <w:spacing w:val="0"/>
          <w:w w:val="100"/>
          <w:kern w:val="0"/>
          <w:sz w:val="28"/>
          <w:szCs w:val="28"/>
          <w:highlight w:val="none"/>
        </w:rPr>
        <w:t>查阅或下载。出让文件包括：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（一）公开发布的有关土地使用权出让公告（以下简称公告）；</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（二）《深圳土地使用权挂牌出让竞买须知》</w:t>
      </w:r>
      <w:r>
        <w:rPr>
          <w:rFonts w:hint="eastAsia" w:ascii="仿宋" w:hAnsi="仿宋" w:eastAsia="仿宋" w:cs="仿宋"/>
          <w:color w:val="auto"/>
          <w:spacing w:val="0"/>
          <w:w w:val="100"/>
          <w:kern w:val="0"/>
          <w:sz w:val="28"/>
          <w:szCs w:val="28"/>
          <w:highlight w:val="none"/>
          <w:lang w:eastAsia="zh-CN"/>
        </w:rPr>
        <w:t>（</w:t>
      </w:r>
      <w:r>
        <w:rPr>
          <w:rFonts w:hint="eastAsia" w:ascii="仿宋" w:hAnsi="仿宋" w:eastAsia="仿宋" w:cs="仿宋"/>
          <w:color w:val="auto"/>
          <w:spacing w:val="0"/>
          <w:w w:val="100"/>
          <w:kern w:val="0"/>
          <w:sz w:val="28"/>
          <w:szCs w:val="28"/>
          <w:highlight w:val="none"/>
          <w:lang w:val="en-US" w:eastAsia="zh-CN"/>
        </w:rPr>
        <w:t>以下简称《竞买须知》</w:t>
      </w:r>
      <w:r>
        <w:rPr>
          <w:rFonts w:hint="eastAsia" w:ascii="仿宋" w:hAnsi="仿宋" w:eastAsia="仿宋" w:cs="仿宋"/>
          <w:color w:val="auto"/>
          <w:spacing w:val="0"/>
          <w:w w:val="100"/>
          <w:kern w:val="0"/>
          <w:sz w:val="28"/>
          <w:szCs w:val="28"/>
          <w:highlight w:val="none"/>
          <w:lang w:eastAsia="zh-CN"/>
        </w:rPr>
        <w:t>）</w:t>
      </w:r>
      <w:r>
        <w:rPr>
          <w:rFonts w:hint="eastAsia" w:ascii="仿宋" w:hAnsi="仿宋" w:eastAsia="仿宋" w:cs="仿宋"/>
          <w:color w:val="auto"/>
          <w:spacing w:val="0"/>
          <w:w w:val="100"/>
          <w:kern w:val="0"/>
          <w:sz w:val="28"/>
          <w:szCs w:val="28"/>
          <w:highlight w:val="none"/>
        </w:rPr>
        <w:t>；</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（三）《竞买申请书》（样本）；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（四）《成交确认书》（样本）；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（五）《深圳市国有建设用地使用权出让合同》（样本，以下简称《出让合同》）；</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（六）《关于竞买人关联性的承诺函》（样本）；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（七）《关于土地购置资金来源的承诺函》（样本）；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（八）《商品住房用地购置资金来源情况申报表》（样本）；</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（九）《深圳市国有建设用地使用权出让现场摇号操作指引》；</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（十</w:t>
      </w:r>
      <w:r>
        <w:rPr>
          <w:rFonts w:hint="eastAsia" w:ascii="仿宋" w:hAnsi="仿宋" w:eastAsia="仿宋" w:cs="仿宋"/>
          <w:color w:val="auto"/>
          <w:spacing w:val="0"/>
          <w:w w:val="100"/>
          <w:kern w:val="0"/>
          <w:sz w:val="28"/>
          <w:szCs w:val="28"/>
          <w:highlight w:val="none"/>
          <w:lang w:eastAsia="zh-CN"/>
        </w:rPr>
        <w:t>）</w:t>
      </w:r>
      <w:r>
        <w:rPr>
          <w:rFonts w:hint="eastAsia" w:ascii="仿宋" w:hAnsi="仿宋" w:eastAsia="仿宋" w:cs="仿宋"/>
          <w:color w:val="auto"/>
          <w:spacing w:val="0"/>
          <w:w w:val="100"/>
          <w:kern w:val="0"/>
          <w:sz w:val="28"/>
          <w:szCs w:val="28"/>
          <w:highlight w:val="none"/>
          <w:lang w:val="en-US" w:eastAsia="zh-CN"/>
        </w:rPr>
        <w:t xml:space="preserve"> </w:t>
      </w:r>
      <w:r>
        <w:rPr>
          <w:rFonts w:hint="eastAsia" w:ascii="仿宋" w:hAnsi="仿宋" w:eastAsia="仿宋" w:cs="仿宋"/>
          <w:color w:val="auto"/>
          <w:spacing w:val="0"/>
          <w:w w:val="100"/>
          <w:kern w:val="0"/>
          <w:sz w:val="28"/>
          <w:szCs w:val="28"/>
          <w:highlight w:val="none"/>
        </w:rPr>
        <w:t>《深圳市国有建设用地使用权出让竞买人关联性审查操作指引》；</w:t>
      </w:r>
    </w:p>
    <w:p>
      <w:pPr>
        <w:widowControl/>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（十一）公告规定的其他文件。</w:t>
      </w:r>
    </w:p>
    <w:p>
      <w:pPr>
        <w:pStyle w:val="7"/>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三、竞买约定</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提交竞买申请前，竞买申请人应对出让宗地进行实地踏勘，全面了解出让文件和宗地现状；对出让文件和宗地现状有疑问的，应在竞买申请前向土地分公司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pStyle w:val="7"/>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四、出让文件的修改</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需要更改出让文件内容的，将在深圳公共资源交易公共服务平台网站上刊登补充公告，不作另行通知。补充公告与当次其他出让文件具有同等效力，如后者与前者不一致时，以后者为准。</w:t>
      </w:r>
    </w:p>
    <w:p>
      <w:pPr>
        <w:ind w:firstLine="562"/>
        <w:rPr>
          <w:rFonts w:ascii="仿宋_GB2312" w:hAnsi="宋体"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五、</w:t>
      </w:r>
      <w:r>
        <w:rPr>
          <w:rFonts w:hint="eastAsia" w:ascii="仿宋_GB2312" w:hAnsi="宋体" w:eastAsia="仿宋_GB2312"/>
          <w:b/>
          <w:bCs/>
          <w:color w:val="auto"/>
          <w:spacing w:val="0"/>
          <w:w w:val="100"/>
          <w:sz w:val="28"/>
          <w:szCs w:val="28"/>
          <w:highlight w:val="none"/>
        </w:rPr>
        <w:t>申请程序与规则</w:t>
      </w:r>
    </w:p>
    <w:p>
      <w:pPr>
        <w:pStyle w:val="3"/>
        <w:ind w:firstLine="562"/>
        <w:rPr>
          <w:rFonts w:ascii="仿宋_GB2312" w:eastAsia="仿宋_GB2312"/>
          <w:b/>
          <w:bCs/>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（一）</w:t>
      </w:r>
      <w:r>
        <w:rPr>
          <w:rFonts w:hint="eastAsia" w:ascii="仿宋_GB2312" w:eastAsia="仿宋_GB2312"/>
          <w:b/>
          <w:bCs/>
          <w:color w:val="auto"/>
          <w:spacing w:val="0"/>
          <w:w w:val="100"/>
          <w:sz w:val="28"/>
          <w:szCs w:val="28"/>
          <w:highlight w:val="none"/>
        </w:rPr>
        <w:t>竞买资格条件核实</w:t>
      </w:r>
    </w:p>
    <w:p>
      <w:pPr>
        <w:widowControl/>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公告规定由有关主管部门进行竞买资格条件核实的，竞买申请人应当按公告规定，向有关主管部门提出竞买资格条件核实申请。</w:t>
      </w:r>
    </w:p>
    <w:p>
      <w:pPr>
        <w:pStyle w:val="7"/>
        <w:ind w:firstLine="562"/>
        <w:rPr>
          <w:rFonts w:ascii="仿宋_GB2312"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（二）</w:t>
      </w:r>
      <w:r>
        <w:rPr>
          <w:rFonts w:hint="eastAsia" w:ascii="仿宋_GB2312" w:eastAsia="仿宋_GB2312"/>
          <w:b/>
          <w:bCs/>
          <w:color w:val="auto"/>
          <w:spacing w:val="0"/>
          <w:w w:val="100"/>
          <w:sz w:val="28"/>
          <w:szCs w:val="28"/>
          <w:highlight w:val="none"/>
        </w:rPr>
        <w:t>网上注册</w:t>
      </w:r>
    </w:p>
    <w:p>
      <w:pPr>
        <w:pStyle w:val="3"/>
        <w:ind w:firstLine="562"/>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竞买申请人应登录深圳公共资源交易公共服务平台，进入统一用户中心，按照《土地矿业权交易平台竞买人操作指引》（以下简称《操作</w:t>
      </w:r>
      <w:r>
        <w:rPr>
          <w:rFonts w:hint="eastAsia" w:ascii="仿宋" w:hAnsi="仿宋" w:eastAsia="仿宋" w:cs="仿宋"/>
          <w:color w:val="auto"/>
          <w:spacing w:val="0"/>
          <w:w w:val="100"/>
          <w:kern w:val="0"/>
          <w:sz w:val="28"/>
          <w:szCs w:val="28"/>
          <w:highlight w:val="none"/>
          <w:lang w:eastAsia="zh-CN"/>
        </w:rPr>
        <w:t>指引</w:t>
      </w:r>
      <w:r>
        <w:rPr>
          <w:rFonts w:hint="eastAsia" w:ascii="仿宋" w:hAnsi="仿宋" w:eastAsia="仿宋" w:cs="仿宋"/>
          <w:color w:val="auto"/>
          <w:spacing w:val="0"/>
          <w:w w:val="100"/>
          <w:kern w:val="0"/>
          <w:sz w:val="28"/>
          <w:szCs w:val="28"/>
          <w:highlight w:val="none"/>
        </w:rPr>
        <w:t>》）有关要求，进行网上注册。竞买申请人可按规定多次申请参与竞买不同宗地。 </w:t>
      </w:r>
      <w:r>
        <w:rPr>
          <w:rFonts w:hint="eastAsia" w:ascii="仿宋" w:hAnsi="仿宋" w:eastAsia="仿宋" w:cs="仿宋"/>
          <w:color w:val="auto"/>
          <w:spacing w:val="0"/>
          <w:w w:val="100"/>
          <w:kern w:val="0"/>
          <w:sz w:val="28"/>
          <w:szCs w:val="28"/>
          <w:highlight w:val="none"/>
        </w:rPr>
        <w:br w:type="textWrapping"/>
      </w:r>
      <w:r>
        <w:rPr>
          <w:rFonts w:hint="eastAsia" w:ascii="仿宋" w:hAnsi="仿宋" w:eastAsia="仿宋" w:cs="仿宋"/>
          <w:color w:val="auto"/>
          <w:spacing w:val="0"/>
          <w:w w:val="100"/>
          <w:kern w:val="0"/>
          <w:sz w:val="28"/>
          <w:szCs w:val="28"/>
          <w:highlight w:val="none"/>
        </w:rPr>
        <w:t xml:space="preserve">  </w:t>
      </w:r>
      <w:r>
        <w:rPr>
          <w:rFonts w:hint="eastAsia" w:ascii="仿宋" w:hAnsi="仿宋" w:eastAsia="仿宋" w:cs="仿宋"/>
          <w:color w:val="auto"/>
          <w:spacing w:val="0"/>
          <w:w w:val="100"/>
          <w:kern w:val="0"/>
          <w:sz w:val="28"/>
          <w:szCs w:val="28"/>
          <w:highlight w:val="none"/>
          <w:lang w:val="en-US" w:eastAsia="zh-CN"/>
        </w:rPr>
        <w:t xml:space="preserve"> </w:t>
      </w:r>
      <w:r>
        <w:rPr>
          <w:rFonts w:hint="eastAsia" w:ascii="仿宋" w:hAnsi="仿宋" w:eastAsia="仿宋" w:cs="仿宋"/>
          <w:color w:val="auto"/>
          <w:spacing w:val="0"/>
          <w:w w:val="100"/>
          <w:kern w:val="0"/>
          <w:sz w:val="28"/>
          <w:szCs w:val="28"/>
          <w:highlight w:val="none"/>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pStyle w:val="3"/>
        <w:ind w:firstLine="562"/>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竞买申请人应当妥善保管帐号和密码，如有遗失的，其后果由竞买申请人自行负责；如因泄露密码，造成他人进入</w:t>
      </w:r>
      <w:r>
        <w:rPr>
          <w:rFonts w:hint="eastAsia" w:ascii="仿宋" w:hAnsi="仿宋" w:eastAsia="仿宋" w:cs="仿宋"/>
          <w:color w:val="auto"/>
          <w:spacing w:val="0"/>
          <w:w w:val="100"/>
          <w:kern w:val="0"/>
          <w:sz w:val="28"/>
          <w:szCs w:val="28"/>
          <w:highlight w:val="none"/>
          <w:lang w:eastAsia="zh-CN"/>
        </w:rPr>
        <w:t>深圳土地矿业权交易平台</w:t>
      </w:r>
      <w:r>
        <w:rPr>
          <w:rFonts w:hint="eastAsia" w:ascii="仿宋" w:hAnsi="仿宋" w:eastAsia="仿宋" w:cs="仿宋"/>
          <w:color w:val="auto"/>
          <w:spacing w:val="0"/>
          <w:w w:val="100"/>
          <w:kern w:val="0"/>
          <w:sz w:val="28"/>
          <w:szCs w:val="28"/>
          <w:highlight w:val="none"/>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pStyle w:val="3"/>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（三）申请竞买</w:t>
      </w:r>
    </w:p>
    <w:p>
      <w:pPr>
        <w:pStyle w:val="7"/>
        <w:ind w:firstLine="562"/>
        <w:rPr>
          <w:rFonts w:hint="eastAsia" w:ascii="仿宋" w:hAnsi="仿宋" w:eastAsia="仿宋" w:cs="仿宋"/>
          <w:color w:val="auto"/>
          <w:spacing w:val="0"/>
          <w:w w:val="100"/>
          <w:kern w:val="0"/>
          <w:sz w:val="28"/>
          <w:szCs w:val="28"/>
          <w:highlight w:val="none"/>
          <w:lang w:val="en-IE" w:eastAsia="zh-CN" w:bidi="ar-SA"/>
        </w:rPr>
      </w:pPr>
      <w:r>
        <w:rPr>
          <w:rFonts w:hint="eastAsia" w:ascii="仿宋" w:hAnsi="仿宋" w:eastAsia="仿宋" w:cs="仿宋"/>
          <w:color w:val="auto"/>
          <w:spacing w:val="0"/>
          <w:w w:val="100"/>
          <w:kern w:val="0"/>
          <w:sz w:val="28"/>
          <w:szCs w:val="28"/>
          <w:highlight w:val="none"/>
          <w:lang w:val="en-IE" w:eastAsia="zh-CN" w:bidi="ar-SA"/>
        </w:rPr>
        <w:t>竞买申请人网上注册后，</w:t>
      </w:r>
      <w:r>
        <w:rPr>
          <w:rFonts w:hint="eastAsia" w:ascii="仿宋" w:hAnsi="仿宋" w:eastAsia="仿宋" w:cs="仿宋"/>
          <w:color w:val="333333"/>
          <w:spacing w:val="0"/>
          <w:w w:val="100"/>
          <w:kern w:val="0"/>
          <w:sz w:val="28"/>
          <w:szCs w:val="28"/>
        </w:rPr>
        <w:t>应按照《操作指引》有关要求，</w:t>
      </w:r>
      <w:r>
        <w:rPr>
          <w:rFonts w:hint="eastAsia" w:ascii="仿宋" w:hAnsi="仿宋" w:eastAsia="仿宋" w:cs="仿宋"/>
          <w:color w:val="auto"/>
          <w:spacing w:val="0"/>
          <w:w w:val="100"/>
          <w:kern w:val="0"/>
          <w:sz w:val="28"/>
          <w:szCs w:val="28"/>
          <w:highlight w:val="none"/>
          <w:lang w:val="en-IE" w:eastAsia="zh-CN" w:bidi="ar-SA"/>
        </w:rPr>
        <w:t>登录统一用户中心，在深圳土地矿业权交易平台选择意向竞买的宗地，提出竞买申请。</w:t>
      </w:r>
    </w:p>
    <w:p>
      <w:pPr>
        <w:pStyle w:val="7"/>
        <w:ind w:firstLine="562"/>
        <w:rPr>
          <w:rFonts w:ascii="仿宋_GB2312" w:eastAsia="仿宋_GB2312"/>
          <w:b/>
          <w:bCs/>
          <w:color w:val="auto"/>
          <w:spacing w:val="0"/>
          <w:w w:val="100"/>
          <w:sz w:val="28"/>
          <w:szCs w:val="28"/>
          <w:highlight w:val="none"/>
        </w:rPr>
      </w:pPr>
      <w:r>
        <w:rPr>
          <w:rFonts w:hint="eastAsia" w:ascii="仿宋_GB2312" w:eastAsia="仿宋_GB2312"/>
          <w:b/>
          <w:color w:val="auto"/>
          <w:spacing w:val="0"/>
          <w:w w:val="100"/>
          <w:sz w:val="28"/>
          <w:szCs w:val="28"/>
          <w:highlight w:val="none"/>
        </w:rPr>
        <w:t>（四）</w:t>
      </w:r>
      <w:r>
        <w:rPr>
          <w:rFonts w:hint="eastAsia" w:ascii="仿宋_GB2312" w:eastAsia="仿宋_GB2312"/>
          <w:b/>
          <w:bCs/>
          <w:color w:val="auto"/>
          <w:spacing w:val="0"/>
          <w:w w:val="100"/>
          <w:sz w:val="28"/>
          <w:szCs w:val="28"/>
          <w:highlight w:val="none"/>
        </w:rPr>
        <w:t>交纳竞买保证金</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按公告规定按时足额交纳竞买保证金，并可通过深圳土地矿业权交易平台查询到账情况。深圳土地矿业权交易平台不接受代交竞买保证金的行为。竞买保证金的交纳、退还、错转款处理等具体程序详见《操作指引》。</w:t>
      </w:r>
    </w:p>
    <w:p>
      <w:pPr>
        <w:spacing w:line="520" w:lineRule="exact"/>
        <w:ind w:firstLine="562"/>
        <w:rPr>
          <w:rFonts w:ascii="仿宋_GB2312" w:hAnsi="宋体" w:eastAsia="仿宋_GB2312"/>
          <w:b/>
          <w:bCs/>
          <w:color w:val="auto"/>
          <w:spacing w:val="0"/>
          <w:w w:val="100"/>
          <w:sz w:val="28"/>
          <w:szCs w:val="28"/>
          <w:highlight w:val="none"/>
        </w:rPr>
      </w:pPr>
      <w:r>
        <w:rPr>
          <w:rFonts w:hint="eastAsia" w:ascii="仿宋_GB2312" w:eastAsia="仿宋_GB2312"/>
          <w:b/>
          <w:bCs/>
          <w:color w:val="auto"/>
          <w:spacing w:val="0"/>
          <w:w w:val="100"/>
          <w:sz w:val="28"/>
          <w:szCs w:val="28"/>
          <w:highlight w:val="none"/>
        </w:rPr>
        <w:t>（五</w:t>
      </w:r>
      <w:r>
        <w:rPr>
          <w:rFonts w:hint="eastAsia" w:ascii="仿宋_GB2312" w:hAnsi="宋体" w:eastAsia="仿宋_GB2312"/>
          <w:b/>
          <w:bCs/>
          <w:color w:val="auto"/>
          <w:spacing w:val="0"/>
          <w:w w:val="100"/>
          <w:sz w:val="28"/>
          <w:szCs w:val="28"/>
          <w:highlight w:val="none"/>
        </w:rPr>
        <w:t>）申请确认竞买资格</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竞买申请人按时足额交纳竞买保证金后，深圳土地矿业权交易平台将自动生成《竞买申请受理回执》。竞买申请人应通过深圳土地矿业权交易平台打印该回执。</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竞买申请人应按公告规定的时间和地点，向土地分公司申请确认竞买资格。在申请确认竞买资格时，竞买申请人须提供如下申请材料：</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1.《竞买申请书》（通过网上交易系统打印，并由竞买申请人签章）；</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2.《竞买申请受理回执》；</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竞买资格条件核实文件（公告明确要求由有关部门进行竞买资格条件核实的，竞买申请人应当提供相关部门出具的竞买资格条件核实文件；公告未要求的可不提供）；</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4.《关于土地购置资金来源的承诺函》（具体要求详见《深圳市国有建设用地使用权出让竞买人关联性审查操作</w:t>
      </w:r>
      <w:r>
        <w:rPr>
          <w:rFonts w:hint="eastAsia" w:ascii="仿宋" w:hAnsi="仿宋" w:eastAsia="仿宋" w:cs="仿宋"/>
          <w:color w:val="auto"/>
          <w:spacing w:val="0"/>
          <w:w w:val="100"/>
          <w:kern w:val="0"/>
          <w:sz w:val="28"/>
          <w:szCs w:val="28"/>
          <w:highlight w:val="none"/>
          <w:lang w:val="en-US" w:eastAsia="zh-CN"/>
        </w:rPr>
        <w:t>指引</w:t>
      </w:r>
      <w:r>
        <w:rPr>
          <w:rFonts w:hint="eastAsia" w:ascii="仿宋" w:hAnsi="仿宋" w:eastAsia="仿宋" w:cs="仿宋"/>
          <w:color w:val="auto"/>
          <w:spacing w:val="0"/>
          <w:w w:val="100"/>
          <w:kern w:val="0"/>
          <w:sz w:val="28"/>
          <w:szCs w:val="28"/>
          <w:highlight w:val="none"/>
        </w:rPr>
        <w:t>（试行）》）；</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5.竞买人所有涉及直接控股、间接控股的股东结构关系的树形图；</w:t>
      </w:r>
    </w:p>
    <w:p>
      <w:pPr>
        <w:widowControl/>
        <w:tabs>
          <w:tab w:val="clear" w:pos="4820"/>
          <w:tab w:val="clear" w:pos="5103"/>
          <w:tab w:val="clear" w:pos="8505"/>
        </w:tabs>
        <w:spacing w:line="240" w:lineRule="auto"/>
        <w:ind w:firstLine="560"/>
        <w:jc w:val="left"/>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6.《关于土地购置资金来源的承诺函》；</w:t>
      </w:r>
    </w:p>
    <w:p>
      <w:pPr>
        <w:widowControl/>
        <w:tabs>
          <w:tab w:val="clear" w:pos="4820"/>
          <w:tab w:val="clear" w:pos="5103"/>
          <w:tab w:val="clear" w:pos="8505"/>
        </w:tabs>
        <w:spacing w:line="240" w:lineRule="auto"/>
        <w:ind w:firstLine="560"/>
        <w:jc w:val="left"/>
        <w:rPr>
          <w:rFonts w:hint="eastAsia" w:ascii="仿宋" w:hAnsi="仿宋" w:eastAsia="仿宋" w:cs="仿宋"/>
          <w:color w:val="auto"/>
          <w:spacing w:val="0"/>
          <w:w w:val="100"/>
          <w:kern w:val="0"/>
          <w:sz w:val="28"/>
          <w:szCs w:val="28"/>
          <w:highlight w:val="none"/>
          <w:lang w:val="en-US" w:eastAsia="zh-CN"/>
        </w:rPr>
      </w:pPr>
      <w:r>
        <w:rPr>
          <w:rFonts w:hint="eastAsia" w:ascii="仿宋" w:hAnsi="仿宋" w:eastAsia="仿宋" w:cs="仿宋"/>
          <w:color w:val="auto"/>
          <w:spacing w:val="0"/>
          <w:w w:val="100"/>
          <w:kern w:val="0"/>
          <w:sz w:val="28"/>
          <w:szCs w:val="28"/>
          <w:highlight w:val="none"/>
          <w:lang w:val="en-US" w:eastAsia="zh-CN"/>
        </w:rPr>
        <w:t>7.竞得人拟成立全资子公司或项目公司进行开发建设的，应在竞买申请时提供有关材料明确全资子公司或项目公司的出资构成、成立时间等内容；</w:t>
      </w:r>
    </w:p>
    <w:p>
      <w:pPr>
        <w:widowControl/>
        <w:tabs>
          <w:tab w:val="clear" w:pos="4820"/>
          <w:tab w:val="clear" w:pos="5103"/>
          <w:tab w:val="clear" w:pos="8505"/>
        </w:tabs>
        <w:spacing w:line="240" w:lineRule="auto"/>
        <w:ind w:firstLine="560"/>
        <w:jc w:val="left"/>
        <w:rPr>
          <w:rFonts w:hint="default" w:ascii="仿宋" w:hAnsi="仿宋" w:eastAsia="仿宋" w:cs="仿宋"/>
          <w:color w:val="auto"/>
          <w:spacing w:val="0"/>
          <w:w w:val="100"/>
          <w:kern w:val="0"/>
          <w:sz w:val="28"/>
          <w:szCs w:val="28"/>
          <w:highlight w:val="none"/>
          <w:lang w:val="en-US" w:eastAsia="zh-CN"/>
        </w:rPr>
      </w:pPr>
      <w:r>
        <w:rPr>
          <w:rFonts w:hint="eastAsia" w:ascii="仿宋" w:hAnsi="仿宋" w:eastAsia="仿宋" w:cs="仿宋"/>
          <w:color w:val="auto"/>
          <w:spacing w:val="0"/>
          <w:w w:val="100"/>
          <w:kern w:val="0"/>
          <w:sz w:val="28"/>
          <w:szCs w:val="28"/>
          <w:highlight w:val="none"/>
          <w:lang w:val="en-US" w:eastAsia="zh-CN"/>
        </w:rPr>
        <w:t>8.《竞买须知》（加盖公章及骑缝章）；</w:t>
      </w:r>
    </w:p>
    <w:p>
      <w:pPr>
        <w:widowControl/>
        <w:tabs>
          <w:tab w:val="clear" w:pos="4820"/>
          <w:tab w:val="clear" w:pos="5103"/>
          <w:tab w:val="clear" w:pos="8505"/>
        </w:tabs>
        <w:spacing w:line="240" w:lineRule="auto"/>
        <w:ind w:firstLine="560"/>
        <w:jc w:val="left"/>
        <w:rPr>
          <w:rFonts w:ascii="仿宋_GB2312" w:eastAsia="仿宋_GB2312"/>
          <w:b/>
          <w:bCs/>
          <w:color w:val="auto"/>
          <w:spacing w:val="0"/>
          <w:w w:val="100"/>
          <w:sz w:val="28"/>
          <w:szCs w:val="28"/>
          <w:highlight w:val="none"/>
        </w:rPr>
      </w:pPr>
      <w:r>
        <w:rPr>
          <w:rFonts w:hint="eastAsia" w:ascii="仿宋" w:hAnsi="仿宋" w:eastAsia="仿宋" w:cs="仿宋"/>
          <w:color w:val="auto"/>
          <w:spacing w:val="0"/>
          <w:w w:val="100"/>
          <w:kern w:val="0"/>
          <w:sz w:val="28"/>
          <w:szCs w:val="28"/>
          <w:highlight w:val="none"/>
          <w:lang w:val="en-US" w:eastAsia="zh-CN"/>
        </w:rPr>
        <w:t>9</w:t>
      </w:r>
      <w:r>
        <w:rPr>
          <w:rFonts w:hint="eastAsia" w:ascii="仿宋" w:hAnsi="仿宋" w:eastAsia="仿宋" w:cs="仿宋"/>
          <w:color w:val="auto"/>
          <w:spacing w:val="0"/>
          <w:w w:val="100"/>
          <w:kern w:val="0"/>
          <w:sz w:val="28"/>
          <w:szCs w:val="28"/>
          <w:highlight w:val="none"/>
        </w:rPr>
        <w:t xml:space="preserve">.按下表分不同类型提交相关身份证明材料： </w:t>
      </w:r>
    </w:p>
    <w:tbl>
      <w:tblPr>
        <w:tblStyle w:val="8"/>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4954"/>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85"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申请人类型</w:t>
            </w:r>
          </w:p>
        </w:tc>
        <w:tc>
          <w:tcPr>
            <w:tcW w:w="4954"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须提交的相关身份证明材料</w:t>
            </w:r>
          </w:p>
        </w:tc>
        <w:tc>
          <w:tcPr>
            <w:tcW w:w="2981" w:type="dxa"/>
            <w:vAlign w:val="center"/>
          </w:tcPr>
          <w:p>
            <w:pPr>
              <w:spacing w:line="500" w:lineRule="exact"/>
              <w:ind w:firstLine="0" w:firstLineChars="0"/>
              <w:jc w:val="center"/>
              <w:rPr>
                <w:rFonts w:ascii="黑体" w:hAnsi="宋体" w:eastAsia="黑体"/>
                <w:color w:val="auto"/>
                <w:spacing w:val="0"/>
                <w:w w:val="100"/>
                <w:sz w:val="28"/>
                <w:szCs w:val="28"/>
                <w:highlight w:val="none"/>
              </w:rPr>
            </w:pPr>
            <w:r>
              <w:rPr>
                <w:rFonts w:hint="eastAsia" w:ascii="黑体" w:hAnsi="宋体" w:eastAsia="黑体"/>
                <w:color w:val="auto"/>
                <w:spacing w:val="0"/>
                <w:w w:val="1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境内法人企业</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1.营业执照副本复印件；</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2.法定代表人证明书；</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3.法定代表人身份证复印件；</w:t>
            </w:r>
          </w:p>
          <w:p>
            <w:pPr>
              <w:spacing w:line="380" w:lineRule="exact"/>
              <w:ind w:left="360" w:hanging="360" w:hangingChars="15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4.公告要求的其他文件。</w:t>
            </w:r>
          </w:p>
        </w:tc>
        <w:tc>
          <w:tcPr>
            <w:tcW w:w="2981" w:type="dxa"/>
            <w:vMerge w:val="restart"/>
            <w:vAlign w:val="center"/>
          </w:tcPr>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1.前述材料，凡未注明原件或复印件的，一律提交原件；凡注明提交复印件的，一律要求核原件。</w:t>
            </w:r>
          </w:p>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w:t>
            </w:r>
            <w:r>
              <w:rPr>
                <w:rFonts w:ascii="宋体" w:hAnsi="宋体" w:eastAsia="宋体"/>
                <w:color w:val="auto"/>
                <w:spacing w:val="0"/>
                <w:w w:val="100"/>
                <w:sz w:val="24"/>
                <w:highlight w:val="none"/>
              </w:rPr>
              <w:fldChar w:fldCharType="begin"/>
            </w:r>
            <w:r>
              <w:rPr>
                <w:rFonts w:ascii="宋体" w:hAnsi="宋体" w:eastAsia="宋体"/>
                <w:color w:val="auto"/>
                <w:spacing w:val="0"/>
                <w:w w:val="100"/>
                <w:sz w:val="24"/>
                <w:highlight w:val="none"/>
              </w:rPr>
              <w:instrText xml:space="preserve"> </w:instrText>
            </w:r>
            <w:r>
              <w:rPr>
                <w:rFonts w:hint="eastAsia" w:ascii="宋体" w:hAnsi="宋体" w:eastAsia="宋体"/>
                <w:color w:val="auto"/>
                <w:spacing w:val="0"/>
                <w:w w:val="100"/>
                <w:sz w:val="24"/>
                <w:highlight w:val="none"/>
              </w:rPr>
              <w:instrText xml:space="preserve">= 5 \* GB3</w:instrText>
            </w:r>
            <w:r>
              <w:rPr>
                <w:rFonts w:ascii="宋体" w:hAnsi="宋体" w:eastAsia="宋体"/>
                <w:color w:val="auto"/>
                <w:spacing w:val="0"/>
                <w:w w:val="100"/>
                <w:sz w:val="24"/>
                <w:highlight w:val="none"/>
              </w:rPr>
              <w:instrText xml:space="preserve"> </w:instrText>
            </w:r>
            <w:r>
              <w:rPr>
                <w:rFonts w:ascii="宋体" w:hAnsi="宋体" w:eastAsia="宋体"/>
                <w:color w:val="auto"/>
                <w:spacing w:val="0"/>
                <w:w w:val="100"/>
                <w:sz w:val="24"/>
                <w:highlight w:val="none"/>
              </w:rPr>
              <w:fldChar w:fldCharType="separate"/>
            </w:r>
            <w:r>
              <w:rPr>
                <w:rFonts w:hint="eastAsia" w:ascii="宋体" w:hAnsi="宋体" w:eastAsia="宋体"/>
                <w:color w:val="auto"/>
                <w:spacing w:val="0"/>
                <w:w w:val="100"/>
                <w:sz w:val="24"/>
                <w:highlight w:val="none"/>
              </w:rPr>
              <w:t>⑤</w:t>
            </w:r>
            <w:r>
              <w:rPr>
                <w:rFonts w:ascii="宋体" w:hAnsi="宋体" w:eastAsia="宋体"/>
                <w:color w:val="auto"/>
                <w:spacing w:val="0"/>
                <w:w w:val="100"/>
                <w:sz w:val="24"/>
                <w:highlight w:val="none"/>
              </w:rPr>
              <w:fldChar w:fldCharType="end"/>
            </w:r>
            <w:r>
              <w:rPr>
                <w:rFonts w:ascii="宋体" w:hAnsi="宋体" w:eastAsia="宋体"/>
                <w:color w:val="auto"/>
                <w:spacing w:val="0"/>
                <w:w w:val="100"/>
                <w:sz w:val="24"/>
                <w:highlight w:val="none"/>
              </w:rPr>
              <w:t>参与现场摇号</w:t>
            </w:r>
            <w:r>
              <w:rPr>
                <w:rFonts w:hint="eastAsia" w:ascii="宋体" w:hAnsi="宋体" w:eastAsia="宋体"/>
                <w:color w:val="auto"/>
                <w:spacing w:val="0"/>
                <w:w w:val="100"/>
                <w:sz w:val="24"/>
                <w:highlight w:val="none"/>
              </w:rPr>
              <w:t>，</w:t>
            </w:r>
            <w:r>
              <w:rPr>
                <w:rFonts w:ascii="宋体" w:hAnsi="宋体" w:eastAsia="宋体"/>
                <w:color w:val="auto"/>
                <w:spacing w:val="0"/>
                <w:w w:val="100"/>
                <w:sz w:val="24"/>
                <w:highlight w:val="none"/>
              </w:rPr>
              <w:t>领取身份号牌</w:t>
            </w:r>
            <w:r>
              <w:rPr>
                <w:rFonts w:hint="eastAsia" w:ascii="宋体" w:hAnsi="宋体" w:eastAsia="宋体"/>
                <w:color w:val="auto"/>
                <w:spacing w:val="0"/>
                <w:w w:val="100"/>
                <w:sz w:val="24"/>
                <w:highlight w:val="none"/>
              </w:rPr>
              <w:t>。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spacing w:line="380" w:lineRule="exact"/>
              <w:ind w:left="240" w:hanging="240" w:hangingChars="100"/>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境内其他组织（含非法人企业）</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1.组织成立的证明文件复印件；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2.负责人身份证明书；</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3.负责人身份证复印件；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4.公告要求的其他文件。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境内个人</w:t>
            </w:r>
          </w:p>
        </w:tc>
        <w:tc>
          <w:tcPr>
            <w:tcW w:w="4954" w:type="dxa"/>
            <w:vAlign w:val="center"/>
          </w:tcPr>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1.身份证复印件；</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境外机构或</w:t>
            </w:r>
          </w:p>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个人</w:t>
            </w:r>
          </w:p>
        </w:tc>
        <w:tc>
          <w:tcPr>
            <w:tcW w:w="4954" w:type="dxa"/>
            <w:vAlign w:val="center"/>
          </w:tcPr>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1.按规定经公证或认证过的境外机构（或个人）主体证明文件；</w:t>
            </w:r>
          </w:p>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2.公告要求的其他文件。</w:t>
            </w:r>
          </w:p>
          <w:p>
            <w:pPr>
              <w:spacing w:line="380" w:lineRule="exact"/>
              <w:ind w:left="630" w:hanging="630" w:hangingChars="300"/>
              <w:jc w:val="left"/>
              <w:rPr>
                <w:rFonts w:ascii="宋体" w:hAnsi="宋体" w:eastAsia="宋体"/>
                <w:color w:val="auto"/>
                <w:spacing w:val="0"/>
                <w:w w:val="100"/>
                <w:sz w:val="21"/>
                <w:szCs w:val="21"/>
                <w:highlight w:val="none"/>
              </w:rPr>
            </w:pPr>
            <w:r>
              <w:rPr>
                <w:rFonts w:hint="eastAsia" w:ascii="宋体" w:hAnsi="宋体" w:eastAsia="宋体"/>
                <w:color w:val="auto"/>
                <w:spacing w:val="0"/>
                <w:w w:val="100"/>
                <w:sz w:val="21"/>
                <w:szCs w:val="21"/>
                <w:highlight w:val="none"/>
              </w:rPr>
              <w:t>（注：境外机构或个人竞买土地须遵守中华人民共和国房地产有关法律法规、政策规定，以及外商投资房地产的相关规定）</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1785" w:type="dxa"/>
            <w:vAlign w:val="center"/>
          </w:tcPr>
          <w:p>
            <w:pPr>
              <w:spacing w:line="320" w:lineRule="exact"/>
              <w:ind w:firstLine="0" w:firstLineChars="0"/>
              <w:jc w:val="center"/>
              <w:rPr>
                <w:rFonts w:ascii="宋体" w:hAnsi="宋体" w:eastAsia="宋体"/>
                <w:b/>
                <w:color w:val="auto"/>
                <w:spacing w:val="0"/>
                <w:w w:val="100"/>
                <w:sz w:val="24"/>
                <w:highlight w:val="none"/>
              </w:rPr>
            </w:pPr>
            <w:r>
              <w:rPr>
                <w:rFonts w:hint="eastAsia" w:ascii="宋体" w:hAnsi="宋体" w:eastAsia="宋体"/>
                <w:b/>
                <w:color w:val="auto"/>
                <w:spacing w:val="0"/>
                <w:w w:val="100"/>
                <w:sz w:val="24"/>
                <w:highlight w:val="none"/>
              </w:rPr>
              <w:t>联合竞买</w:t>
            </w:r>
          </w:p>
        </w:tc>
        <w:tc>
          <w:tcPr>
            <w:tcW w:w="4954" w:type="dxa"/>
            <w:vAlign w:val="center"/>
          </w:tcPr>
          <w:p>
            <w:pPr>
              <w:spacing w:line="380" w:lineRule="exact"/>
              <w:ind w:left="240" w:hanging="240" w:hangingChars="10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1.联合竞买各方应根据前述对应的“申请人类型”和“须提交的相关身份证明材料”，分别提交各项身份证明材料；</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2.联合竞买协议书；</w:t>
            </w:r>
          </w:p>
          <w:p>
            <w:pPr>
              <w:spacing w:line="380" w:lineRule="exact"/>
              <w:ind w:firstLine="0" w:firstLineChars="0"/>
              <w:jc w:val="left"/>
              <w:rPr>
                <w:rFonts w:ascii="宋体" w:hAnsi="宋体" w:eastAsia="宋体"/>
                <w:color w:val="auto"/>
                <w:spacing w:val="0"/>
                <w:w w:val="100"/>
                <w:sz w:val="24"/>
                <w:highlight w:val="none"/>
              </w:rPr>
            </w:pPr>
            <w:r>
              <w:rPr>
                <w:rFonts w:hint="eastAsia" w:ascii="宋体" w:hAnsi="宋体" w:eastAsia="宋体"/>
                <w:color w:val="auto"/>
                <w:spacing w:val="0"/>
                <w:w w:val="100"/>
                <w:sz w:val="24"/>
                <w:highlight w:val="none"/>
              </w:rPr>
              <w:t>3.公告要求的其他文件。</w:t>
            </w:r>
          </w:p>
        </w:tc>
        <w:tc>
          <w:tcPr>
            <w:tcW w:w="2981" w:type="dxa"/>
            <w:vMerge w:val="continue"/>
          </w:tcPr>
          <w:p>
            <w:pPr>
              <w:spacing w:line="380" w:lineRule="exact"/>
              <w:ind w:firstLine="480"/>
              <w:rPr>
                <w:rFonts w:ascii="宋体" w:hAnsi="宋体" w:eastAsia="宋体"/>
                <w:color w:val="auto"/>
                <w:spacing w:val="0"/>
                <w:w w:val="100"/>
                <w:sz w:val="24"/>
                <w:highlight w:val="none"/>
              </w:rPr>
            </w:pPr>
          </w:p>
        </w:tc>
      </w:tr>
    </w:tbl>
    <w:p>
      <w:pPr>
        <w:spacing w:line="520" w:lineRule="exact"/>
        <w:ind w:firstLine="560"/>
        <w:rPr>
          <w:rFonts w:ascii="仿宋_GB2312" w:eastAsia="仿宋_GB2312"/>
          <w:color w:val="auto"/>
          <w:spacing w:val="0"/>
          <w:w w:val="100"/>
          <w:sz w:val="28"/>
          <w:szCs w:val="28"/>
          <w:highlight w:val="none"/>
        </w:rPr>
      </w:pP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经审核，竞买申请人按时足额交纳竞买保证金，且提供的相关申请材料符合公告和本须知要求的，</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lang w:val="en-US" w:eastAsia="zh-CN"/>
        </w:rPr>
        <w:t>应当</w:t>
      </w:r>
      <w:r>
        <w:rPr>
          <w:rFonts w:hint="eastAsia" w:ascii="仿宋" w:hAnsi="仿宋" w:eastAsia="仿宋" w:cs="仿宋"/>
          <w:color w:val="auto"/>
          <w:spacing w:val="0"/>
          <w:w w:val="100"/>
          <w:kern w:val="0"/>
          <w:sz w:val="28"/>
          <w:szCs w:val="28"/>
          <w:highlight w:val="none"/>
        </w:rPr>
        <w:t>确认竞买申请人的竞买资格，竞买申请人可按规定参与电脑报价或现场竞价。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有下列情形之一的，竞买资格不予确认：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未按公告规定按时足额交纳竞买保证金的；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2. 竞买申请人不符合公告规定竞买资格条件要求的； </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竞买申请人网上注册信息与提供的相关申请材料不一致的；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 提供的相关申请材料不齐全，或者不符合公告或本须知要求的；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 申请程序有不符合法律、法规、公告或本须知规定的其他情形的。</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对未确认竞买资格的，已交纳的竞买保证金由深圳交易集团有限公司原路无息退还。</w:t>
      </w:r>
    </w:p>
    <w:p>
      <w:pPr>
        <w:pStyle w:val="7"/>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六、竞价程序与规则</w:t>
      </w:r>
    </w:p>
    <w:p>
      <w:pPr>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（一）电脑报价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在公告规定的电脑报价期内，已确认竞买资格的竞买人如需进行电脑报价的，按下列规则进行：</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竞买人在电脑报价期间，只能到公告规定的地点，使用土地分公司的专用电脑报价终端，凭注册帐号、密码登录网上交易系统进行报价。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同一竞买人允许多次报价，但深圳土地矿业权交易平台不接受下列报价：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（1）低于挂牌起始价的报价；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（2）电脑报价时间截止后的报价；</w:t>
      </w:r>
    </w:p>
    <w:p>
      <w:pPr>
        <w:widowControl/>
        <w:tabs>
          <w:tab w:val="clear" w:pos="4820"/>
          <w:tab w:val="clear" w:pos="5103"/>
          <w:tab w:val="clear" w:pos="8505"/>
        </w:tabs>
        <w:spacing w:line="240" w:lineRule="auto"/>
        <w:ind w:firstLine="560"/>
        <w:jc w:val="left"/>
        <w:rPr>
          <w:rFonts w:hint="eastAsia"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（3）不符合竞价阶梯（指相邻两次报价间的最小递增幅度）要求的报价。</w:t>
      </w:r>
    </w:p>
    <w:p>
      <w:pPr>
        <w:widowControl/>
        <w:tabs>
          <w:tab w:val="clear" w:pos="4820"/>
          <w:tab w:val="clear" w:pos="5103"/>
          <w:tab w:val="clear" w:pos="8505"/>
        </w:tabs>
        <w:spacing w:line="240" w:lineRule="auto"/>
        <w:ind w:firstLine="560"/>
        <w:jc w:val="left"/>
        <w:rPr>
          <w:rFonts w:ascii="仿宋_GB2312" w:eastAsia="仿宋_GB2312"/>
          <w:b/>
          <w:bCs/>
          <w:color w:val="auto"/>
          <w:spacing w:val="0"/>
          <w:w w:val="100"/>
          <w:sz w:val="28"/>
          <w:szCs w:val="28"/>
          <w:highlight w:val="none"/>
        </w:rPr>
      </w:pPr>
      <w:r>
        <w:rPr>
          <w:rFonts w:hint="eastAsia" w:ascii="仿宋" w:hAnsi="仿宋" w:eastAsia="仿宋" w:cs="仿宋"/>
          <w:color w:val="auto"/>
          <w:spacing w:val="0"/>
          <w:w w:val="100"/>
          <w:kern w:val="0"/>
          <w:sz w:val="28"/>
          <w:szCs w:val="28"/>
          <w:highlight w:val="none"/>
        </w:rPr>
        <w:t>3. 竞买人报价时应当仔细、慎重，报价一经网上交易系统确认后即具法律效力，不可撤回。</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rPr>
        <w:t>不接受竞买人的任何操作失误理由。</w:t>
      </w:r>
      <w:r>
        <w:rPr>
          <w:rFonts w:hint="eastAsia" w:ascii="仿宋" w:hAnsi="仿宋" w:eastAsia="仿宋" w:cs="仿宋"/>
          <w:color w:val="auto"/>
          <w:spacing w:val="0"/>
          <w:w w:val="100"/>
          <w:kern w:val="0"/>
          <w:sz w:val="28"/>
          <w:szCs w:val="28"/>
          <w:highlight w:val="none"/>
        </w:rPr>
        <w:br w:type="textWrapping"/>
      </w:r>
      <w:r>
        <w:rPr>
          <w:rFonts w:hint="eastAsia" w:ascii="仿宋_GB2312" w:eastAsia="仿宋_GB2312"/>
          <w:b/>
          <w:color w:val="auto"/>
          <w:spacing w:val="0"/>
          <w:w w:val="100"/>
          <w:sz w:val="28"/>
          <w:szCs w:val="28"/>
          <w:highlight w:val="none"/>
        </w:rPr>
        <w:t>（二）公布竞买情况</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在电脑报价时间截止前20分钟，</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rPr>
        <w:t>将通过深圳土地矿业权交易平台以“无人竞买”、“1人竞买”和“多人（指2人或2人以上，下同）竞买”方式通报宗地已确认竞买资格的竞买人的有效竞买情况，届时竞买人应当自行通过网上交易系统查询。</w:t>
      </w:r>
    </w:p>
    <w:p>
      <w:pPr>
        <w:spacing w:line="520" w:lineRule="exact"/>
        <w:ind w:firstLine="562"/>
        <w:rPr>
          <w:rFonts w:ascii="仿宋_GB2312" w:eastAsia="仿宋_GB2312"/>
          <w:b/>
          <w:bCs/>
          <w:color w:val="auto"/>
          <w:spacing w:val="0"/>
          <w:w w:val="100"/>
          <w:sz w:val="28"/>
          <w:szCs w:val="28"/>
          <w:highlight w:val="none"/>
        </w:rPr>
      </w:pPr>
      <w:r>
        <w:rPr>
          <w:rFonts w:hint="eastAsia" w:ascii="仿宋_GB2312" w:hAnsi="Tahoma" w:eastAsia="仿宋_GB2312"/>
          <w:b/>
          <w:color w:val="auto"/>
          <w:spacing w:val="0"/>
          <w:w w:val="100"/>
          <w:sz w:val="28"/>
          <w:szCs w:val="28"/>
          <w:highlight w:val="none"/>
        </w:rPr>
        <w:t>（三）</w:t>
      </w:r>
      <w:r>
        <w:rPr>
          <w:rFonts w:hint="eastAsia" w:ascii="仿宋_GB2312" w:eastAsia="仿宋_GB2312"/>
          <w:b/>
          <w:bCs/>
          <w:color w:val="auto"/>
          <w:spacing w:val="0"/>
          <w:w w:val="100"/>
          <w:sz w:val="28"/>
          <w:szCs w:val="28"/>
          <w:highlight w:val="none"/>
        </w:rPr>
        <w:t>电脑报价确定成交和转入现场竞价的原则</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在电脑报价时间截止后，按照下列原则确认是否直接成交或转入现场竞价程序：</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“无人竞买”或虽为“1人竞买”但竞买人放弃电脑报价的，挂牌不成交；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“1人竞买”且竞买人的报价不低于底价，并符合其他交易条件的，该竞买人即为竞得人，不再转入现场竞价程序；</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“多人竞买”的，将在电脑报价时间截止后即时转入现场竞价程序。</w:t>
      </w:r>
    </w:p>
    <w:p>
      <w:pPr>
        <w:spacing w:line="520" w:lineRule="exact"/>
        <w:ind w:firstLine="562"/>
        <w:rPr>
          <w:rFonts w:ascii="仿宋_GB2312" w:hAnsi="Tahoma" w:eastAsia="仿宋_GB2312"/>
          <w:b/>
          <w:bCs/>
          <w:color w:val="auto"/>
          <w:spacing w:val="0"/>
          <w:w w:val="100"/>
          <w:sz w:val="28"/>
          <w:szCs w:val="28"/>
          <w:highlight w:val="none"/>
        </w:rPr>
      </w:pPr>
      <w:r>
        <w:rPr>
          <w:rFonts w:hint="eastAsia" w:ascii="仿宋_GB2312" w:hAnsi="Tahoma" w:eastAsia="仿宋_GB2312"/>
          <w:b/>
          <w:color w:val="auto"/>
          <w:spacing w:val="0"/>
          <w:w w:val="100"/>
          <w:sz w:val="28"/>
          <w:szCs w:val="28"/>
          <w:highlight w:val="none"/>
        </w:rPr>
        <w:t>（四）</w:t>
      </w:r>
      <w:r>
        <w:rPr>
          <w:rFonts w:hint="eastAsia" w:ascii="仿宋_GB2312" w:eastAsia="仿宋_GB2312"/>
          <w:b/>
          <w:color w:val="auto"/>
          <w:spacing w:val="0"/>
          <w:w w:val="100"/>
          <w:sz w:val="28"/>
          <w:szCs w:val="28"/>
          <w:highlight w:val="none"/>
        </w:rPr>
        <w:t>现场竞价</w:t>
      </w:r>
    </w:p>
    <w:p>
      <w:pPr>
        <w:widowControl/>
        <w:tabs>
          <w:tab w:val="clear" w:pos="4820"/>
          <w:tab w:val="clear" w:pos="5103"/>
          <w:tab w:val="clear" w:pos="8505"/>
        </w:tabs>
        <w:spacing w:line="240" w:lineRule="auto"/>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领取竞买号牌</w:t>
      </w:r>
    </w:p>
    <w:p>
      <w:pPr>
        <w:widowControl/>
        <w:tabs>
          <w:tab w:val="clear" w:pos="4820"/>
          <w:tab w:val="clear" w:pos="5103"/>
          <w:tab w:val="clear" w:pos="8505"/>
        </w:tabs>
        <w:spacing w:line="240" w:lineRule="auto"/>
        <w:ind w:firstLine="560"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宗地属“多人竞买”的，已确认竞买资格的竞买人无论其在电脑报价期间是否参与电脑报价，均有现场竞价的权利。</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买号牌代表竞买人现场竞价的资格。在电脑报价时间截止后，已确认竞买资格的竞买人，可凭《竞买申请受理回执》、身份证原件（非法定代表人或受托人本人的，应当另行提供法人授权委托书，委托书应当注明委托期限和授权事项；属于其他申请人类型的，参照上述要求办理，其中：竞买人为境内其他组织的，其授权委托书须加盖组织公章；竞买人为个人的，其授权委托书应当按规定经公证；授权行为发生在境外的，应当按规定进行公证或认证），领取竞买号牌参与现场竞价。电脑报价时间截止后15分钟，尚未按规定申请领取现场竞买号牌的，视为放弃现场竞价的权利。</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主持人宣布电脑报价情况和现场竞价规则，点算竞买人。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现场竞价开始，竞价规则如下：</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（1）竞买人必须服从主持人的裁判。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（2）竞买号牌代表竞买人的资格，因竞买人未尽到保管义务，致使他人使用该号牌应价的，视为竞买人报价，并由其承担相应的法律责任。</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（3）若在电脑报价期间无人报价的，现场竞价的起叫价为该宗地挂牌起始价；现场竞价过程中无人应价的，该宗地不成交。</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若在电脑报价期间已有竞买人报价的，现场竞价的</w:t>
      </w:r>
      <w:bookmarkStart w:id="0" w:name="_GoBack"/>
      <w:r>
        <w:rPr>
          <w:rFonts w:hint="eastAsia" w:ascii="仿宋" w:hAnsi="仿宋" w:eastAsia="仿宋" w:cs="仿宋"/>
          <w:color w:val="auto"/>
          <w:spacing w:val="0"/>
          <w:w w:val="100"/>
          <w:kern w:val="0"/>
          <w:sz w:val="28"/>
          <w:szCs w:val="28"/>
          <w:highlight w:val="none"/>
        </w:rPr>
        <w:t>起叫价</w:t>
      </w:r>
      <w:bookmarkEnd w:id="0"/>
      <w:r>
        <w:rPr>
          <w:rFonts w:hint="eastAsia" w:ascii="仿宋" w:hAnsi="仿宋" w:eastAsia="仿宋" w:cs="仿宋"/>
          <w:color w:val="auto"/>
          <w:spacing w:val="0"/>
          <w:w w:val="100"/>
          <w:kern w:val="0"/>
          <w:sz w:val="28"/>
          <w:szCs w:val="28"/>
          <w:highlight w:val="none"/>
        </w:rPr>
        <w:t>为有效最高电脑报价；应价没有高于起叫价的，有效最高电脑报价继续有效，符合成交条件的，该报价的竞买人即为竞得人。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（4）现场竞价采用向上竞成交地价和竞企业自持的保障性租赁住房建筑面积的办法，具体为：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地价报价未达到最高地价限价的情况时，报价最高者即为竞得人；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地价报价达最高地价限价时，有意继续竞买的竞买人由竞地价转为向上竞企业自持的保障性租赁住房建筑面积；已取得竞买号牌的竞买人，无论其在竞地价环节是否报价，一旦其在竞企业自持的保障性租赁住房建筑面积环节举牌竞买，即视为其认可地价报价环节中的最高地价限价；竞买人报出的保障性租赁住房建筑面积未超过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面积时，按报出的</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 xml:space="preserve">面积最多者得的原则确定竞得人。  </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（5）现场竞价中竞买人举牌向上竞成交地价或竞企业自持的保障性租赁住房建筑面积的行为，即视为应价（报价）行为。</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（6）竞买人以举牌方式应价，也可以口头方式报价。竞买人以口头方式报价的，口头报价须高出当前最高应价一个以上竞价阶梯，并得到主持人的确认，否则其报价不予接受。</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（7）竞价过程中，同一价格多人应价的，主持人以举牌时间先后确定先者为目前报价并予以接受。</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（8）主持人有权依照现场应价情况调整竞价阶梯。竞企业自持的保障性租赁住房建筑面积环节最小竞价阶梯为200平方米。</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（9）经主持人宣布应价“第一次”、“第二次”、“最后一次”而无人进一步应价时，该应价视为最后应价。最后应价不低于底价的，主持人以击槌方式确认成交。主持人一经落槌，将不再接受任何报价。</w:t>
      </w:r>
    </w:p>
    <w:p>
      <w:pPr>
        <w:widowControl/>
        <w:tabs>
          <w:tab w:val="clear" w:pos="4820"/>
          <w:tab w:val="clear" w:pos="5103"/>
          <w:tab w:val="clear" w:pos="8505"/>
        </w:tabs>
        <w:spacing w:line="240" w:lineRule="auto"/>
        <w:ind w:firstLine="56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最后应价包括地价报价中的最高地价限价和企业自持的保障性租赁住房建筑面积。 </w:t>
      </w:r>
    </w:p>
    <w:p>
      <w:pPr>
        <w:numPr>
          <w:ilvl w:val="0"/>
          <w:numId w:val="1"/>
        </w:numPr>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现场摇号</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当有竞买人报出企业自持的保障性租赁住房最高限制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面积，且有2个</w:t>
      </w:r>
      <w:r>
        <w:rPr>
          <w:rFonts w:hint="eastAsia" w:ascii="仿宋" w:hAnsi="仿宋" w:eastAsia="仿宋" w:cs="仿宋"/>
          <w:color w:val="auto"/>
          <w:spacing w:val="0"/>
          <w:w w:val="100"/>
          <w:kern w:val="0"/>
          <w:sz w:val="28"/>
          <w:szCs w:val="28"/>
          <w:highlight w:val="none"/>
          <w:lang w:val="en-US" w:eastAsia="zh-CN"/>
        </w:rPr>
        <w:t>或</w:t>
      </w:r>
      <w:r>
        <w:rPr>
          <w:rFonts w:hint="eastAsia" w:ascii="仿宋" w:hAnsi="仿宋" w:eastAsia="仿宋" w:cs="仿宋"/>
          <w:color w:val="auto"/>
          <w:spacing w:val="0"/>
          <w:w w:val="100"/>
          <w:kern w:val="0"/>
          <w:sz w:val="28"/>
          <w:szCs w:val="28"/>
          <w:highlight w:val="none"/>
        </w:rPr>
        <w:t>2个以上竞买人接受最高限制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面积时，由竞企业自持的保障性租赁住房建筑面积转为摇号确定竞得人，所有接受最高限制</w:t>
      </w:r>
      <w:r>
        <w:rPr>
          <w:rFonts w:hint="eastAsia" w:ascii="仿宋" w:hAnsi="仿宋" w:eastAsia="仿宋" w:cs="仿宋"/>
          <w:color w:val="auto"/>
          <w:spacing w:val="0"/>
          <w:w w:val="100"/>
          <w:kern w:val="0"/>
          <w:sz w:val="28"/>
          <w:szCs w:val="28"/>
          <w:highlight w:val="none"/>
          <w:lang w:val="en-US" w:eastAsia="zh-CN"/>
        </w:rPr>
        <w:t>建筑</w:t>
      </w:r>
      <w:r>
        <w:rPr>
          <w:rFonts w:hint="eastAsia" w:ascii="仿宋" w:hAnsi="仿宋" w:eastAsia="仿宋" w:cs="仿宋"/>
          <w:color w:val="auto"/>
          <w:spacing w:val="0"/>
          <w:w w:val="100"/>
          <w:kern w:val="0"/>
          <w:sz w:val="28"/>
          <w:szCs w:val="28"/>
          <w:highlight w:val="none"/>
        </w:rPr>
        <w:t>面积的竞买人可申请参加摇号。摇号具体细则详见《深圳市国有建设用地使用权出让现场摇号指引》。</w:t>
      </w:r>
    </w:p>
    <w:p>
      <w:pPr>
        <w:spacing w:line="520" w:lineRule="exact"/>
        <w:ind w:firstLine="562"/>
        <w:rPr>
          <w:rFonts w:ascii="仿宋_GB2312" w:eastAsia="仿宋_GB2312"/>
          <w:b/>
          <w:color w:val="auto"/>
          <w:spacing w:val="0"/>
          <w:w w:val="100"/>
          <w:sz w:val="28"/>
          <w:szCs w:val="28"/>
          <w:highlight w:val="none"/>
        </w:rPr>
      </w:pPr>
      <w:r>
        <w:rPr>
          <w:rFonts w:hint="eastAsia" w:ascii="仿宋_GB2312" w:eastAsia="仿宋_GB2312"/>
          <w:b/>
          <w:color w:val="auto"/>
          <w:spacing w:val="0"/>
          <w:w w:val="100"/>
          <w:sz w:val="28"/>
          <w:szCs w:val="28"/>
          <w:highlight w:val="none"/>
        </w:rPr>
        <w:t>（六）电脑报价期间技术故障及不可抗力应急处理</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如因电脑报价系统故障或不可抗力因素，造成竞买人不能正常电脑报价，当次挂牌出让将采取以下原则进行：</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若在挂牌出让期内出现电脑报价系统故障，但在电脑报价时间截止20分钟前排除的，挂牌出让程序照常进行；</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spacing w:line="520" w:lineRule="exact"/>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因不可抗力，致使挂牌截止日的挂牌出让工作无法进行的，挂牌截止时间在履行法定程序后顺延或提前终止。</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rPr>
        <w:t>将通过网站刊登补充公告等方式向竞买人告知相关事宜。</w:t>
      </w:r>
    </w:p>
    <w:p>
      <w:pPr>
        <w:spacing w:line="520" w:lineRule="exact"/>
        <w:ind w:firstLine="562"/>
        <w:rPr>
          <w:rFonts w:ascii="仿宋_GB2312" w:hAnsi="宋体" w:eastAsia="仿宋_GB2312"/>
          <w:b/>
          <w:bCs/>
          <w:color w:val="auto"/>
          <w:spacing w:val="0"/>
          <w:w w:val="100"/>
          <w:sz w:val="28"/>
          <w:szCs w:val="28"/>
          <w:highlight w:val="none"/>
        </w:rPr>
      </w:pPr>
      <w:r>
        <w:rPr>
          <w:rFonts w:hint="eastAsia" w:ascii="仿宋_GB2312" w:hAnsi="宋体" w:eastAsia="仿宋_GB2312"/>
          <w:b/>
          <w:bCs/>
          <w:color w:val="auto"/>
          <w:spacing w:val="0"/>
          <w:w w:val="100"/>
          <w:sz w:val="28"/>
          <w:szCs w:val="28"/>
          <w:highlight w:val="none"/>
        </w:rPr>
        <w:t>七、签约</w:t>
      </w:r>
    </w:p>
    <w:p>
      <w:pPr>
        <w:pStyle w:val="7"/>
        <w:spacing w:line="520" w:lineRule="exact"/>
        <w:ind w:firstLine="560"/>
        <w:rPr>
          <w:rFonts w:ascii="仿宋_GB2312" w:hAnsi="宋体" w:eastAsia="仿宋_GB2312"/>
          <w:color w:val="auto"/>
          <w:spacing w:val="0"/>
          <w:w w:val="100"/>
          <w:sz w:val="28"/>
          <w:szCs w:val="28"/>
          <w:highlight w:val="none"/>
        </w:rPr>
      </w:pPr>
      <w:r>
        <w:rPr>
          <w:rFonts w:hint="eastAsia" w:ascii="仿宋" w:hAnsi="仿宋" w:eastAsia="仿宋" w:cs="仿宋"/>
          <w:color w:val="auto"/>
          <w:spacing w:val="0"/>
          <w:w w:val="100"/>
          <w:kern w:val="0"/>
          <w:sz w:val="28"/>
          <w:szCs w:val="28"/>
          <w:highlight w:val="none"/>
        </w:rPr>
        <w:t>成交后，竞得人应当按公告规定签订《成交确认书》及其他协议。</w:t>
      </w:r>
      <w:r>
        <w:rPr>
          <w:rFonts w:hint="eastAsia" w:ascii="仿宋_GB2312" w:hAnsi="宋体" w:eastAsia="仿宋_GB2312"/>
          <w:color w:val="auto"/>
          <w:spacing w:val="0"/>
          <w:w w:val="100"/>
          <w:sz w:val="28"/>
          <w:szCs w:val="28"/>
          <w:highlight w:val="none"/>
        </w:rPr>
        <w:t xml:space="preserve"> </w:t>
      </w:r>
    </w:p>
    <w:p>
      <w:pPr>
        <w:pStyle w:val="7"/>
        <w:spacing w:line="520" w:lineRule="exact"/>
        <w:ind w:firstLine="642"/>
        <w:rPr>
          <w:rFonts w:ascii="仿宋_GB2312" w:eastAsia="仿宋_GB2312"/>
          <w:b/>
          <w:color w:val="auto"/>
          <w:w w:val="100"/>
          <w:sz w:val="28"/>
          <w:szCs w:val="28"/>
          <w:highlight w:val="none"/>
        </w:rPr>
      </w:pPr>
      <w:r>
        <w:rPr>
          <w:rFonts w:hint="eastAsia" w:ascii="仿宋_GB2312" w:eastAsia="仿宋_GB2312"/>
          <w:b/>
          <w:color w:val="auto"/>
          <w:w w:val="100"/>
          <w:sz w:val="28"/>
          <w:szCs w:val="28"/>
          <w:highlight w:val="none"/>
        </w:rPr>
        <w:t>八、款项支付</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除公告另有规定外，竞买保证金和成交价款应当以人民币支付。公告允许以外币支付竞买保证金或成交价款的，竞买申请人在支付前应当征得</w:t>
      </w:r>
      <w:r>
        <w:rPr>
          <w:rFonts w:hint="eastAsia" w:ascii="仿宋" w:hAnsi="仿宋" w:eastAsia="仿宋" w:cs="仿宋"/>
          <w:color w:val="auto"/>
          <w:spacing w:val="0"/>
          <w:w w:val="100"/>
          <w:kern w:val="0"/>
          <w:sz w:val="28"/>
          <w:szCs w:val="28"/>
          <w:highlight w:val="none"/>
          <w:lang w:eastAsia="zh-CN"/>
        </w:rPr>
        <w:t>出让人</w:t>
      </w:r>
      <w:r>
        <w:rPr>
          <w:rFonts w:hint="eastAsia" w:ascii="仿宋" w:hAnsi="仿宋" w:eastAsia="仿宋" w:cs="仿宋"/>
          <w:color w:val="auto"/>
          <w:spacing w:val="0"/>
          <w:w w:val="100"/>
          <w:kern w:val="0"/>
          <w:sz w:val="28"/>
          <w:szCs w:val="28"/>
          <w:highlight w:val="none"/>
        </w:rPr>
        <w:t>的同意，并依法办理相关外汇管理手续。竞买申请人须自行承担外币汇率波动损失。</w:t>
      </w:r>
    </w:p>
    <w:p>
      <w:pPr>
        <w:widowControl/>
        <w:spacing w:line="520" w:lineRule="exact"/>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未竞得的竞买人交纳的竞买保证金自挂牌结束后的下一工作日起3个工作日内按原路无息退还。</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得人应当按照《出让合同》及其他已签订的相关协议的规定支付成交价款。其中，竞得人可选择先支付除竞买保证金外的成交交款，再申请将已交纳的竞买保证金（不计利息）转为剩余成交价款；或选择全额支付成交价款后，再申请退还竞买保证金（不计利息）。竞得人以外币支付竞买保证金的，其地价款支付应当符合外汇管理的有关规定。</w:t>
      </w:r>
    </w:p>
    <w:p>
      <w:pPr>
        <w:pStyle w:val="7"/>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九、土地购置资金来源审查</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自缴清全部地价款之日起5个工作日内，竞得人须向市规划和自然资源局提交《商品住房用地购置资金来源情况申报表》</w:t>
      </w:r>
      <w:r>
        <w:rPr>
          <w:rFonts w:hint="eastAsia" w:ascii="仿宋" w:hAnsi="仿宋" w:eastAsia="仿宋" w:cs="仿宋"/>
          <w:color w:val="333333"/>
          <w:spacing w:val="0"/>
          <w:w w:val="100"/>
          <w:kern w:val="0"/>
          <w:sz w:val="28"/>
          <w:szCs w:val="28"/>
        </w:rPr>
        <w:t>及公告规定的其他资金审查文件</w:t>
      </w:r>
      <w:r>
        <w:rPr>
          <w:rFonts w:hint="eastAsia" w:ascii="仿宋" w:hAnsi="仿宋" w:eastAsia="仿宋" w:cs="仿宋"/>
          <w:color w:val="auto"/>
          <w:spacing w:val="0"/>
          <w:w w:val="100"/>
          <w:kern w:val="0"/>
          <w:sz w:val="28"/>
          <w:szCs w:val="28"/>
          <w:highlight w:val="none"/>
        </w:rPr>
        <w:t>，由深圳土地矿业权交易平台业务受理窗口代收后移交深圳市地方金融监督管理局（以下简称市地方金融监管局）进行资金来源审查。</w:t>
      </w:r>
    </w:p>
    <w:p>
      <w:pPr>
        <w:pStyle w:val="7"/>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十、签订出让合同</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竞得人自收到市地方金融监管局关于土地购置资金来源审查通过的批复文件后5个工作日内，须持批复文件、成交确认书等有关材料分别向市住房保障署申请签订《建设和管理任务书》、向市规划和自然资源局相关辖区管理局申请签订《出让合同》。</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pStyle w:val="7"/>
        <w:spacing w:line="520" w:lineRule="exact"/>
        <w:ind w:firstLine="562"/>
        <w:rPr>
          <w:rFonts w:ascii="仿宋_GB2312" w:hAnsi="宋体" w:eastAsia="仿宋_GB2312"/>
          <w:b/>
          <w:bCs/>
          <w:color w:val="auto"/>
          <w:spacing w:val="0"/>
          <w:w w:val="100"/>
          <w:sz w:val="28"/>
          <w:szCs w:val="28"/>
          <w:highlight w:val="none"/>
        </w:rPr>
      </w:pPr>
      <w:r>
        <w:rPr>
          <w:rFonts w:hint="eastAsia" w:ascii="仿宋_GB2312" w:hAnsi="宋体" w:eastAsia="仿宋_GB2312"/>
          <w:b/>
          <w:bCs/>
          <w:color w:val="auto"/>
          <w:spacing w:val="0"/>
          <w:w w:val="100"/>
          <w:sz w:val="28"/>
          <w:szCs w:val="28"/>
          <w:highlight w:val="none"/>
        </w:rPr>
        <w:t>十一、违约及违规责任</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（一）竞买人有下列行为之一的，可取消其竞买资格：</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采取欺骗、贿赂、恶意串通等非法手段取得竞买资格的；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应依法取消竞买资格的其他行为。</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（二）竞得人有下列行为之一的，视为违约，可取消其竞得资格，竞得人须按成交价款的20%向</w:t>
      </w:r>
      <w:r>
        <w:rPr>
          <w:rFonts w:hint="eastAsia" w:ascii="仿宋" w:hAnsi="仿宋" w:eastAsia="仿宋" w:cs="仿宋"/>
          <w:color w:val="auto"/>
          <w:spacing w:val="0"/>
          <w:w w:val="100"/>
          <w:kern w:val="0"/>
          <w:sz w:val="28"/>
          <w:szCs w:val="28"/>
          <w:highlight w:val="none"/>
          <w:lang w:eastAsia="zh-CN"/>
        </w:rPr>
        <w:t>出让人</w:t>
      </w:r>
      <w:r>
        <w:rPr>
          <w:rFonts w:hint="eastAsia" w:ascii="仿宋" w:hAnsi="仿宋" w:eastAsia="仿宋" w:cs="仿宋"/>
          <w:color w:val="auto"/>
          <w:spacing w:val="0"/>
          <w:w w:val="100"/>
          <w:kern w:val="0"/>
          <w:sz w:val="28"/>
          <w:szCs w:val="28"/>
          <w:highlight w:val="none"/>
        </w:rPr>
        <w:t>支付违约金，已交纳的保证金自动转为违约金的一部分不予退还；已签订《出让合同》的，</w:t>
      </w:r>
      <w:r>
        <w:rPr>
          <w:rFonts w:hint="eastAsia" w:ascii="仿宋" w:hAnsi="仿宋" w:eastAsia="仿宋" w:cs="仿宋"/>
          <w:color w:val="auto"/>
          <w:spacing w:val="0"/>
          <w:w w:val="100"/>
          <w:kern w:val="0"/>
          <w:sz w:val="28"/>
          <w:szCs w:val="28"/>
          <w:highlight w:val="none"/>
          <w:lang w:eastAsia="zh-CN"/>
        </w:rPr>
        <w:t>出让人</w:t>
      </w:r>
      <w:r>
        <w:rPr>
          <w:rFonts w:hint="eastAsia" w:ascii="仿宋" w:hAnsi="仿宋" w:eastAsia="仿宋" w:cs="仿宋"/>
          <w:color w:val="auto"/>
          <w:spacing w:val="0"/>
          <w:w w:val="100"/>
          <w:kern w:val="0"/>
          <w:sz w:val="28"/>
          <w:szCs w:val="28"/>
          <w:highlight w:val="none"/>
        </w:rPr>
        <w:t>可依法解除合同，收回土地使用权：</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1. 采取欺骗、贿赂、恶意串通等非法手段取得竞得资格的；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2. 提供虚假文件材料、隐瞒重要事实，引起出让纠纷的；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3. 逾期或拒绝签订《成交确认书》的；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4. 逾期或拒绝签订《出让合同》的；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5. 未按公告要求签订其他相关协议的；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6. 未按出让合同等规定支付成交价款的；</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7. 构成违约责任的其他行为。</w:t>
      </w:r>
    </w:p>
    <w:p>
      <w:pPr>
        <w:ind w:firstLine="562" w:firstLineChars="0"/>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（三）竞买人违反公告中关联性要求的，取消竞买、竞得资格，存在提供虚假承诺或者虚假资料行为的，已交纳的竞买保证金不予退还。</w:t>
      </w:r>
    </w:p>
    <w:p>
      <w:pPr>
        <w:spacing w:line="520" w:lineRule="exact"/>
        <w:ind w:firstLine="562"/>
        <w:rPr>
          <w:rFonts w:ascii="仿宋_GB2312" w:hAnsi="宋体" w:eastAsia="仿宋_GB2312"/>
          <w:b/>
          <w:color w:val="auto"/>
          <w:spacing w:val="0"/>
          <w:w w:val="100"/>
          <w:sz w:val="28"/>
          <w:szCs w:val="28"/>
          <w:highlight w:val="none"/>
        </w:rPr>
      </w:pPr>
      <w:r>
        <w:rPr>
          <w:rFonts w:hint="eastAsia" w:ascii="仿宋_GB2312" w:hAnsi="宋体" w:eastAsia="仿宋_GB2312"/>
          <w:b/>
          <w:color w:val="auto"/>
          <w:spacing w:val="0"/>
          <w:w w:val="100"/>
          <w:sz w:val="28"/>
          <w:szCs w:val="28"/>
          <w:highlight w:val="none"/>
        </w:rPr>
        <w:t>十二、附则</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（一）本须知及公告涉及的时点，以深圳土地矿业权交易平台系统所显示的时间为准。</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（二）</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rPr>
        <w:t>对本须知有最终解释权。其它未尽事宜以</w:t>
      </w:r>
      <w:r>
        <w:rPr>
          <w:rFonts w:hint="eastAsia" w:ascii="仿宋" w:hAnsi="仿宋" w:eastAsia="仿宋" w:cs="仿宋"/>
          <w:color w:val="auto"/>
          <w:spacing w:val="0"/>
          <w:w w:val="100"/>
          <w:kern w:val="0"/>
          <w:sz w:val="28"/>
          <w:szCs w:val="28"/>
          <w:highlight w:val="none"/>
          <w:lang w:eastAsia="zh-CN"/>
        </w:rPr>
        <w:t>土地分公司</w:t>
      </w:r>
      <w:r>
        <w:rPr>
          <w:rFonts w:hint="eastAsia" w:ascii="仿宋" w:hAnsi="仿宋" w:eastAsia="仿宋" w:cs="仿宋"/>
          <w:color w:val="auto"/>
          <w:spacing w:val="0"/>
          <w:w w:val="100"/>
          <w:kern w:val="0"/>
          <w:sz w:val="28"/>
          <w:szCs w:val="28"/>
          <w:highlight w:val="none"/>
        </w:rPr>
        <w:t>的解释为准。</w:t>
      </w: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p>
    <w:p>
      <w:pPr>
        <w:widowControl/>
        <w:spacing w:line="240" w:lineRule="auto"/>
        <w:ind w:firstLine="562" w:firstLineChars="0"/>
        <w:jc w:val="left"/>
        <w:rPr>
          <w:rFonts w:ascii="仿宋" w:hAnsi="仿宋" w:eastAsia="仿宋" w:cs="仿宋"/>
          <w:color w:val="auto"/>
          <w:spacing w:val="0"/>
          <w:w w:val="100"/>
          <w:kern w:val="0"/>
          <w:sz w:val="28"/>
          <w:szCs w:val="28"/>
          <w:highlight w:val="none"/>
        </w:rPr>
      </w:pPr>
      <w:r>
        <w:rPr>
          <w:rFonts w:hint="eastAsia" w:ascii="仿宋" w:hAnsi="仿宋" w:eastAsia="仿宋" w:cs="仿宋"/>
          <w:color w:val="auto"/>
          <w:spacing w:val="0"/>
          <w:w w:val="100"/>
          <w:kern w:val="0"/>
          <w:sz w:val="28"/>
          <w:szCs w:val="28"/>
          <w:highlight w:val="none"/>
        </w:rPr>
        <w:t xml:space="preserve">                  深圳交易集团有限公司土地矿业权业务分公司</w:t>
      </w:r>
    </w:p>
    <w:p>
      <w:pPr>
        <w:ind w:firstLine="583"/>
        <w:rPr>
          <w:color w:val="auto"/>
          <w:highlight w:val="none"/>
        </w:rPr>
      </w:pPr>
    </w:p>
    <w:p>
      <w:pPr>
        <w:ind w:firstLine="583"/>
        <w:rPr>
          <w:color w:val="auto"/>
          <w:highlight w:val="none"/>
        </w:rPr>
      </w:pPr>
    </w:p>
    <w:p>
      <w:pPr>
        <w:ind w:firstLine="583"/>
        <w:rPr>
          <w:color w:val="auto"/>
          <w:highlight w:val="none"/>
        </w:rPr>
      </w:pPr>
    </w:p>
    <w:p>
      <w:pPr>
        <w:ind w:firstLine="583"/>
        <w:rPr>
          <w:color w:val="auto"/>
          <w:highlight w:val="none"/>
        </w:rPr>
      </w:pPr>
    </w:p>
    <w:p>
      <w:pPr>
        <w:ind w:firstLine="583"/>
        <w:rPr>
          <w:color w:val="auto"/>
          <w:highlight w:val="none"/>
        </w:rPr>
      </w:pPr>
    </w:p>
    <w:p>
      <w:pPr>
        <w:ind w:firstLine="583"/>
        <w:rPr>
          <w:color w:val="auto"/>
          <w:highlight w:val="none"/>
        </w:rPr>
      </w:pPr>
    </w:p>
    <w:p>
      <w:pPr>
        <w:ind w:firstLine="583"/>
        <w:rPr>
          <w:color w:val="auto"/>
          <w:highlight w:val="none"/>
        </w:rPr>
      </w:pPr>
    </w:p>
    <w:p>
      <w:pPr>
        <w:ind w:firstLine="583"/>
        <w:rPr>
          <w:color w:val="auto"/>
          <w:highlight w:val="none"/>
        </w:rPr>
      </w:pPr>
    </w:p>
    <w:p>
      <w:pPr>
        <w:ind w:firstLine="562"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ind w:firstLine="562" w:firstLineChars="0"/>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6"/>
          <w:szCs w:val="36"/>
          <w:highlight w:val="none"/>
          <w:lang w:val="en-US" w:eastAsia="zh-CN"/>
        </w:rPr>
        <w:t xml:space="preserve"> 承诺书</w:t>
      </w:r>
    </w:p>
    <w:p>
      <w:pPr>
        <w:ind w:firstLine="562" w:firstLineChars="0"/>
        <w:rPr>
          <w:rFonts w:hint="eastAsia" w:ascii="黑体" w:hAnsi="黑体" w:eastAsia="黑体" w:cs="黑体"/>
          <w:color w:val="auto"/>
          <w:sz w:val="36"/>
          <w:szCs w:val="36"/>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我方</w:t>
      </w:r>
      <w:r>
        <w:rPr>
          <w:rFonts w:hint="eastAsia" w:ascii="仿宋" w:hAnsi="仿宋" w:eastAsia="仿宋" w:cs="仿宋"/>
          <w:color w:val="auto"/>
          <w:spacing w:val="0"/>
          <w:w w:val="100"/>
          <w:kern w:val="0"/>
          <w:sz w:val="30"/>
          <w:szCs w:val="30"/>
          <w:highlight w:val="none"/>
          <w:lang w:val="en-US" w:eastAsia="zh-CN"/>
        </w:rPr>
        <w:t>已详细阅读《深圳市土地使用权挂牌出让竞买须知》，知悉并自愿遵守本须知各项条款要求。</w:t>
      </w: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jc w:val="center"/>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 xml:space="preserve">                        承诺人（盖章 ）：</w:t>
      </w:r>
    </w:p>
    <w:p>
      <w:pPr>
        <w:ind w:firstLine="2718" w:firstLineChars="906"/>
        <w:jc w:val="center"/>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法定代表人或委托代理人签字：</w:t>
      </w:r>
    </w:p>
    <w:p>
      <w:pPr>
        <w:ind w:firstLine="562" w:firstLineChars="0"/>
        <w:jc w:val="center"/>
        <w:rPr>
          <w:rFonts w:hint="default" w:ascii="仿宋" w:hAnsi="仿宋" w:eastAsia="仿宋" w:cs="仿宋"/>
          <w:color w:val="auto"/>
          <w:spacing w:val="0"/>
          <w:w w:val="100"/>
          <w:kern w:val="0"/>
          <w:sz w:val="30"/>
          <w:szCs w:val="30"/>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p>
      <w:pPr>
        <w:ind w:firstLine="562" w:firstLineChars="0"/>
        <w:jc w:val="right"/>
        <w:rPr>
          <w:rFonts w:hint="eastAsia" w:ascii="仿宋" w:hAnsi="仿宋" w:eastAsia="仿宋" w:cs="仿宋"/>
          <w:color w:val="auto"/>
          <w:spacing w:val="0"/>
          <w:w w:val="100"/>
          <w:kern w:val="0"/>
          <w:sz w:val="30"/>
          <w:szCs w:val="30"/>
          <w:highlight w:val="none"/>
          <w:lang w:val="en-US" w:eastAsia="zh-CN"/>
        </w:rPr>
      </w:pPr>
      <w:r>
        <w:rPr>
          <w:rFonts w:hint="eastAsia" w:ascii="仿宋" w:hAnsi="仿宋" w:eastAsia="仿宋" w:cs="仿宋"/>
          <w:color w:val="auto"/>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auto"/>
          <w:kern w:val="0"/>
          <w:sz w:val="28"/>
          <w:szCs w:val="28"/>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0" w:firstLineChars="0"/>
      <w:jc w:val="center"/>
      <w:rPr>
        <w:rStyle w:val="10"/>
        <w:rFonts w:ascii="宋体" w:hAnsi="宋体"/>
      </w:rPr>
    </w:pPr>
    <w:r>
      <w:rPr>
        <w:rStyle w:val="10"/>
        <w:rFonts w:hint="eastAsia" w:ascii="汉仪书宋二简"/>
      </w:rPr>
      <w:t xml:space="preserve">─ </w:t>
    </w:r>
    <w:r>
      <w:rPr>
        <w:rFonts w:ascii="宋体" w:hAnsi="宋体"/>
      </w:rPr>
      <w:fldChar w:fldCharType="begin"/>
    </w:r>
    <w:r>
      <w:rPr>
        <w:rStyle w:val="10"/>
        <w:rFonts w:ascii="宋体" w:hAnsi="宋体"/>
      </w:rPr>
      <w:instrText xml:space="preserve">PAGE  </w:instrText>
    </w:r>
    <w:r>
      <w:rPr>
        <w:rFonts w:ascii="宋体" w:hAnsi="宋体"/>
      </w:rPr>
      <w:fldChar w:fldCharType="separate"/>
    </w:r>
    <w:r>
      <w:rPr>
        <w:rStyle w:val="10"/>
        <w:rFonts w:ascii="宋体" w:hAnsi="宋体"/>
      </w:rPr>
      <w:t>11</w:t>
    </w:r>
    <w:r>
      <w:rPr>
        <w:rFonts w:ascii="宋体" w:hAnsi="宋体"/>
      </w:rPr>
      <w:fldChar w:fldCharType="end"/>
    </w:r>
    <w:r>
      <w:rPr>
        <w:rStyle w:val="10"/>
        <w:rFonts w:hint="eastAsia" w:ascii="宋体" w:hAnsi="宋体"/>
        <w:sz w:val="24"/>
      </w:rPr>
      <w:t xml:space="preserve"> </w:t>
    </w:r>
    <w:r>
      <w:rPr>
        <w:rStyle w:val="10"/>
        <w:rFonts w:hint="eastAsia" w:ascii="宋体" w:hAnsi="宋体"/>
      </w:rPr>
      <w:t>─</w:t>
    </w:r>
  </w:p>
  <w:p>
    <w:pPr>
      <w:pStyle w:val="5"/>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503"/>
      <w:rPr>
        <w:rStyle w:val="10"/>
        <w:rFonts w:ascii="汉仪书宋二简"/>
      </w:rPr>
    </w:pPr>
    <w:r>
      <w:fldChar w:fldCharType="begin"/>
    </w:r>
    <w:r>
      <w:rPr>
        <w:rStyle w:val="10"/>
      </w:rPr>
      <w:instrText xml:space="preserve">PAGE  </w:instrText>
    </w:r>
    <w:r>
      <w:fldChar w:fldCharType="end"/>
    </w:r>
  </w:p>
  <w:p>
    <w:pPr>
      <w:pStyle w:val="5"/>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6F857"/>
    <w:multiLevelType w:val="singleLevel"/>
    <w:tmpl w:val="6C96F85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ODhhNTUyZTBkZTZmMTkwYzBlYTI4OGJjZGM5YzMifQ=="/>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4FC43DD"/>
    <w:rsid w:val="088D1B3E"/>
    <w:rsid w:val="0A4843C1"/>
    <w:rsid w:val="0AB13EC9"/>
    <w:rsid w:val="0C3D2B62"/>
    <w:rsid w:val="11F67814"/>
    <w:rsid w:val="166C206D"/>
    <w:rsid w:val="1BCC5AEE"/>
    <w:rsid w:val="243E6375"/>
    <w:rsid w:val="2A4F3A48"/>
    <w:rsid w:val="2B5E52B0"/>
    <w:rsid w:val="2EFE1D57"/>
    <w:rsid w:val="3580340A"/>
    <w:rsid w:val="3AD6133C"/>
    <w:rsid w:val="3CEB6B40"/>
    <w:rsid w:val="3DE841C2"/>
    <w:rsid w:val="3FFD7028"/>
    <w:rsid w:val="4BE849BB"/>
    <w:rsid w:val="4D446DEE"/>
    <w:rsid w:val="4F905AB0"/>
    <w:rsid w:val="543C5B7E"/>
    <w:rsid w:val="55B5226E"/>
    <w:rsid w:val="57926CB7"/>
    <w:rsid w:val="5CDA4B14"/>
    <w:rsid w:val="5E4E2934"/>
    <w:rsid w:val="5F4E2C09"/>
    <w:rsid w:val="691F5A36"/>
    <w:rsid w:val="6BAA6BE8"/>
    <w:rsid w:val="6BC06C3D"/>
    <w:rsid w:val="759003CC"/>
    <w:rsid w:val="78704BDD"/>
    <w:rsid w:val="78B925E3"/>
    <w:rsid w:val="78C95383"/>
    <w:rsid w:val="7E66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44"/>
    </w:pPr>
  </w:style>
  <w:style w:type="paragraph" w:styleId="3">
    <w:name w:val="Body Text Indent 2"/>
    <w:basedOn w:val="1"/>
    <w:qFormat/>
    <w:uiPriority w:val="0"/>
    <w:pPr>
      <w:ind w:firstLine="542"/>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 w:val="clear" w:pos="4820"/>
        <w:tab w:val="clear" w:pos="5103"/>
        <w:tab w:val="clear" w:pos="8505"/>
      </w:tabs>
    </w:pPr>
  </w:style>
  <w:style w:type="paragraph" w:styleId="6">
    <w:name w:val="header"/>
    <w:basedOn w:val="1"/>
    <w:qFormat/>
    <w:uiPriority w:val="0"/>
    <w:pPr>
      <w:tabs>
        <w:tab w:val="center" w:pos="4153"/>
        <w:tab w:val="right" w:pos="8306"/>
        <w:tab w:val="clear" w:pos="4820"/>
        <w:tab w:val="clear" w:pos="5103"/>
        <w:tab w:val="clear" w:pos="8505"/>
      </w:tabs>
    </w:pPr>
  </w:style>
  <w:style w:type="paragraph" w:styleId="7">
    <w:name w:val="Body Text Indent 3"/>
    <w:basedOn w:val="1"/>
    <w:qFormat/>
    <w:uiPriority w:val="0"/>
    <w:pPr>
      <w:ind w:firstLine="586"/>
    </w:pPr>
  </w:style>
  <w:style w:type="character" w:styleId="10">
    <w:name w:val="page number"/>
    <w:basedOn w:val="9"/>
    <w:qFormat/>
    <w:uiPriority w:val="0"/>
  </w:style>
  <w:style w:type="character" w:styleId="11">
    <w:name w:val="Hyperlink"/>
    <w:qFormat/>
    <w:uiPriority w:val="0"/>
    <w:rPr>
      <w:color w:val="0000FF"/>
      <w:u w:val="single"/>
    </w:rPr>
  </w:style>
  <w:style w:type="paragraph" w:customStyle="1" w:styleId="12">
    <w:name w:val="a"/>
    <w:basedOn w:val="1"/>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6230</Words>
  <Characters>6336</Characters>
  <Lines>45</Lines>
  <Paragraphs>12</Paragraphs>
  <TotalTime>5</TotalTime>
  <ScaleCrop>false</ScaleCrop>
  <LinksUpToDate>false</LinksUpToDate>
  <CharactersWithSpaces>6445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月夜初星</cp:lastModifiedBy>
  <cp:lastPrinted>2019-10-23T07:10:00Z</cp:lastPrinted>
  <dcterms:modified xsi:type="dcterms:W3CDTF">2023-03-01T08:43:08Z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552CFDD8A54C4E26BA985301C4BC4EB0</vt:lpwstr>
  </property>
</Properties>
</file>