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right"/>
        <w:rPr>
          <w:rFonts w:ascii="楷体_GB2312" w:hAnsi="宋体" w:eastAsia="楷体_GB2312"/>
          <w:b/>
          <w:bCs/>
        </w:rPr>
      </w:pPr>
      <w:r>
        <w:rPr>
          <w:rFonts w:hint="eastAsia" w:ascii="仿宋_GB2312" w:hAnsi="宋体" w:eastAsia="仿宋_GB2312"/>
          <w:sz w:val="28"/>
          <w:szCs w:val="28"/>
        </w:rPr>
        <w:t>深</w:t>
      </w:r>
      <w:r>
        <w:rPr>
          <w:rFonts w:ascii="仿宋_GB2312" w:hAnsi="宋体" w:eastAsia="仿宋_GB2312"/>
          <w:sz w:val="28"/>
          <w:szCs w:val="28"/>
          <w:u w:val="single"/>
        </w:rPr>
        <w:t>龙</w:t>
      </w:r>
      <w:r>
        <w:rPr>
          <w:rFonts w:hint="eastAsia" w:ascii="仿宋_GB2312" w:hAnsi="宋体" w:eastAsia="仿宋_GB2312"/>
          <w:sz w:val="28"/>
          <w:szCs w:val="28"/>
        </w:rPr>
        <w:t>产监协〔2022〕第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adjustRightInd w:val="0"/>
        <w:snapToGrid w:val="0"/>
        <w:spacing w:line="560" w:lineRule="exact"/>
        <w:rPr>
          <w:rFonts w:ascii="楷体_GB2312" w:hAnsi="宋体" w:eastAsia="楷体_GB2312"/>
          <w:b/>
          <w:bCs/>
        </w:rPr>
      </w:pPr>
    </w:p>
    <w:p>
      <w:pPr>
        <w:adjustRightInd w:val="0"/>
        <w:snapToGrid w:val="0"/>
        <w:spacing w:line="560" w:lineRule="exact"/>
        <w:jc w:val="center"/>
        <w:rPr>
          <w:rFonts w:ascii="楷体_GB2312" w:hAnsi="宋体" w:eastAsia="楷体_GB2312"/>
          <w:b/>
          <w:bCs/>
          <w:sz w:val="48"/>
          <w:szCs w:val="48"/>
        </w:rPr>
      </w:pPr>
    </w:p>
    <w:p>
      <w:pPr>
        <w:snapToGrid w:val="0"/>
        <w:spacing w:line="600" w:lineRule="exact"/>
        <w:jc w:val="center"/>
        <w:rPr>
          <w:rStyle w:val="6"/>
          <w:rFonts w:hint="default" w:ascii="黑体" w:eastAsia="黑体"/>
          <w:sz w:val="48"/>
          <w:szCs w:val="48"/>
        </w:rPr>
      </w:pPr>
      <w:r>
        <w:rPr>
          <w:rStyle w:val="6"/>
          <w:rFonts w:hint="default" w:ascii="黑体" w:eastAsia="黑体"/>
          <w:sz w:val="48"/>
          <w:szCs w:val="48"/>
        </w:rPr>
        <w:t>深圳市重点产业项目产业发展监管协议</w:t>
      </w:r>
    </w:p>
    <w:p>
      <w:pPr>
        <w:snapToGrid w:val="0"/>
        <w:spacing w:line="600" w:lineRule="exact"/>
        <w:jc w:val="center"/>
        <w:rPr>
          <w:rFonts w:ascii="楷体_GB2312" w:hAnsi="宋体" w:eastAsia="楷体_GB2312"/>
          <w:sz w:val="32"/>
        </w:rPr>
      </w:pPr>
      <w:r>
        <w:rPr>
          <w:rStyle w:val="6"/>
          <w:rFonts w:hint="default" w:ascii="黑体" w:eastAsia="黑体"/>
          <w:sz w:val="48"/>
          <w:szCs w:val="48"/>
        </w:rPr>
        <w:t xml:space="preserve">    </w:t>
      </w:r>
      <w:r>
        <w:rPr>
          <w:rFonts w:hint="eastAsia" w:ascii="楷体_GB2312" w:hAnsi="宋体" w:eastAsia="楷体_GB2312"/>
          <w:sz w:val="32"/>
        </w:rPr>
        <w:t xml:space="preserve">        </w:t>
      </w:r>
    </w:p>
    <w:p>
      <w:pPr>
        <w:adjustRightInd w:val="0"/>
        <w:snapToGrid w:val="0"/>
        <w:spacing w:line="560" w:lineRule="exact"/>
        <w:jc w:val="center"/>
        <w:rPr>
          <w:rFonts w:ascii="楷体_GB2312" w:hAnsi="宋体" w:eastAsia="楷体_GB2312"/>
          <w:b/>
          <w:bCs/>
          <w:sz w:val="32"/>
        </w:rPr>
      </w:pPr>
    </w:p>
    <w:p>
      <w:pPr>
        <w:adjustRightInd w:val="0"/>
        <w:snapToGrid w:val="0"/>
        <w:spacing w:line="560" w:lineRule="exact"/>
        <w:jc w:val="center"/>
        <w:rPr>
          <w:rFonts w:ascii="楷体_GB2312" w:hAnsi="宋体" w:eastAsia="楷体_GB2312"/>
          <w:b/>
          <w:bCs/>
          <w:sz w:val="32"/>
        </w:rPr>
      </w:pPr>
    </w:p>
    <w:p>
      <w:pPr>
        <w:adjustRightInd w:val="0"/>
        <w:snapToGrid w:val="0"/>
        <w:spacing w:line="560" w:lineRule="exact"/>
        <w:jc w:val="center"/>
        <w:rPr>
          <w:rFonts w:ascii="楷体_GB2312" w:hAnsi="宋体" w:eastAsia="楷体_GB2312"/>
          <w:b/>
          <w:bCs/>
          <w:sz w:val="32"/>
        </w:rPr>
      </w:pPr>
    </w:p>
    <w:p>
      <w:pPr>
        <w:adjustRightInd w:val="0"/>
        <w:snapToGrid w:val="0"/>
        <w:spacing w:line="560" w:lineRule="exact"/>
        <w:jc w:val="center"/>
        <w:rPr>
          <w:rFonts w:ascii="楷体_GB2312" w:hAnsi="宋体" w:eastAsia="楷体_GB2312"/>
          <w:b/>
          <w:bCs/>
          <w:sz w:val="32"/>
        </w:rPr>
      </w:pPr>
    </w:p>
    <w:p>
      <w:pPr>
        <w:adjustRightInd w:val="0"/>
        <w:snapToGrid w:val="0"/>
        <w:spacing w:line="560" w:lineRule="exact"/>
        <w:jc w:val="center"/>
        <w:rPr>
          <w:rFonts w:ascii="楷体_GB2312" w:hAnsi="宋体" w:eastAsia="楷体_GB2312"/>
          <w:b/>
          <w:bCs/>
          <w:sz w:val="32"/>
        </w:rPr>
      </w:pPr>
    </w:p>
    <w:p>
      <w:pPr>
        <w:adjustRightInd w:val="0"/>
        <w:snapToGrid w:val="0"/>
        <w:spacing w:line="560" w:lineRule="exact"/>
        <w:jc w:val="center"/>
        <w:rPr>
          <w:rFonts w:ascii="楷体_GB2312" w:hAnsi="宋体" w:eastAsia="楷体_GB2312"/>
          <w:b/>
          <w:bCs/>
          <w:sz w:val="32"/>
        </w:rPr>
      </w:pPr>
    </w:p>
    <w:p>
      <w:pPr>
        <w:adjustRightInd w:val="0"/>
        <w:snapToGrid w:val="0"/>
        <w:spacing w:line="560" w:lineRule="exact"/>
        <w:ind w:firstLine="630" w:firstLineChars="196"/>
        <w:rPr>
          <w:rFonts w:ascii="楷体_GB2312" w:hAnsi="宋体" w:eastAsia="楷体_GB2312"/>
          <w:sz w:val="32"/>
          <w:u w:val="single"/>
        </w:rPr>
      </w:pPr>
      <w:r>
        <w:rPr>
          <w:rFonts w:hint="eastAsia" w:ascii="楷体_GB2312" w:hAnsi="宋体" w:eastAsia="楷体_GB2312"/>
          <w:b/>
          <w:bCs/>
          <w:sz w:val="32"/>
        </w:rPr>
        <w:t>宗地编号：</w:t>
      </w:r>
      <w:r>
        <w:rPr>
          <w:rFonts w:ascii="仿宋_GB2312" w:hAnsi="仿宋_GB2312" w:eastAsia="仿宋_GB2312" w:cs="仿宋_GB2312"/>
          <w:b/>
          <w:bCs/>
          <w:color w:val="000000"/>
          <w:sz w:val="32"/>
          <w:szCs w:val="32"/>
          <w:u w:val="single"/>
        </w:rPr>
        <w:t xml:space="preserve"> </w:t>
      </w:r>
      <w:r>
        <w:rPr>
          <w:rFonts w:hint="eastAsia" w:ascii="楷体_GB2312" w:hAnsi="宋体" w:eastAsia="楷体_GB2312"/>
          <w:b/>
          <w:bCs/>
          <w:sz w:val="32"/>
          <w:u w:val="single"/>
        </w:rPr>
        <w:t xml:space="preserve">  </w:t>
      </w:r>
      <w:r>
        <w:rPr>
          <w:rFonts w:ascii="楷体_GB2312" w:hAnsi="宋体" w:eastAsia="楷体_GB2312"/>
          <w:b/>
          <w:bCs/>
          <w:sz w:val="32"/>
          <w:u w:val="single"/>
        </w:rPr>
        <w:t xml:space="preserve">        </w:t>
      </w:r>
      <w:r>
        <w:rPr>
          <w:rFonts w:hint="eastAsia" w:ascii="楷体_GB2312" w:hAnsi="宋体" w:eastAsia="楷体_GB2312"/>
          <w:b/>
          <w:bCs/>
          <w:sz w:val="32"/>
          <w:u w:val="single"/>
        </w:rPr>
        <w:t xml:space="preserve">            </w:t>
      </w:r>
      <w:r>
        <w:rPr>
          <w:rFonts w:hint="eastAsia" w:ascii="楷体_GB2312" w:hAnsi="宋体" w:eastAsia="楷体_GB2312"/>
          <w:sz w:val="32"/>
          <w:u w:val="single"/>
        </w:rPr>
        <w:t xml:space="preserve">         </w:t>
      </w:r>
    </w:p>
    <w:p>
      <w:pPr>
        <w:tabs>
          <w:tab w:val="left" w:pos="7200"/>
        </w:tabs>
        <w:adjustRightInd w:val="0"/>
        <w:snapToGrid w:val="0"/>
        <w:spacing w:line="560" w:lineRule="exact"/>
        <w:ind w:left="2244" w:leftChars="304" w:hanging="1606" w:hangingChars="500"/>
        <w:rPr>
          <w:rFonts w:ascii="楷体_GB2312" w:hAnsi="宋体" w:eastAsia="仿宋_GB2312"/>
          <w:b/>
          <w:bCs/>
          <w:sz w:val="32"/>
          <w:u w:val="single"/>
        </w:rPr>
      </w:pPr>
      <w:r>
        <w:rPr>
          <w:rFonts w:hint="eastAsia" w:ascii="楷体_GB2312" w:hAnsi="宋体" w:eastAsia="楷体_GB2312"/>
          <w:b/>
          <w:bCs/>
          <w:sz w:val="32"/>
        </w:rPr>
        <w:t>项目名称：</w:t>
      </w:r>
      <w:r>
        <w:rPr>
          <w:rFonts w:hint="eastAsia" w:ascii="仿宋_GB2312" w:hAnsi="仿宋_GB2312" w:eastAsia="仿宋_GB2312" w:cs="仿宋_GB2312"/>
          <w:b/>
          <w:bCs/>
          <w:color w:val="000000"/>
          <w:sz w:val="32"/>
          <w:szCs w:val="32"/>
          <w:u w:val="single"/>
          <w:lang w:val="en-US" w:eastAsia="zh-CN"/>
        </w:rPr>
        <w:t>国家第三代半导体技术</w:t>
      </w:r>
      <w:r>
        <w:rPr>
          <w:rFonts w:hint="default" w:ascii="仿宋_GB2312" w:hAnsi="仿宋_GB2312" w:eastAsia="仿宋_GB2312" w:cs="仿宋_GB2312"/>
          <w:b/>
          <w:bCs/>
          <w:color w:val="000000"/>
          <w:sz w:val="32"/>
          <w:szCs w:val="32"/>
          <w:u w:val="single"/>
          <w:lang w:val="en-US" w:eastAsia="zh-CN"/>
        </w:rPr>
        <w:t>创新中心深圳综合平台建设</w:t>
      </w:r>
      <w:r>
        <w:rPr>
          <w:rFonts w:hint="eastAsia" w:ascii="仿宋_GB2312" w:hAnsi="仿宋_GB2312" w:eastAsia="仿宋_GB2312" w:cs="仿宋_GB2312"/>
          <w:b/>
          <w:bCs/>
          <w:color w:val="000000"/>
          <w:sz w:val="32"/>
          <w:szCs w:val="32"/>
          <w:u w:val="single"/>
          <w:lang w:val="en-US" w:eastAsia="zh-CN"/>
        </w:rPr>
        <w:t>项目</w:t>
      </w:r>
    </w:p>
    <w:p>
      <w:pPr>
        <w:overflowPunct w:val="0"/>
        <w:adjustRightInd w:val="0"/>
        <w:snapToGrid w:val="0"/>
        <w:spacing w:line="560" w:lineRule="exact"/>
        <w:ind w:firstLine="643" w:firstLineChars="200"/>
        <w:rPr>
          <w:rFonts w:ascii="仿宋_GB2312" w:hAnsi="Cambria" w:eastAsia="仿宋_GB2312"/>
          <w:color w:val="000000"/>
          <w:szCs w:val="32"/>
        </w:rPr>
      </w:pPr>
      <w:r>
        <w:rPr>
          <w:rFonts w:hint="eastAsia" w:ascii="楷体_GB2312" w:hAnsi="宋体" w:eastAsia="楷体_GB2312"/>
          <w:b/>
          <w:bCs/>
          <w:sz w:val="32"/>
          <w:szCs w:val="32"/>
        </w:rPr>
        <w:t>项目单位：</w:t>
      </w:r>
      <w:r>
        <w:rPr>
          <w:rFonts w:hint="eastAsia" w:ascii="楷体_GB2312" w:hAnsi="宋体" w:eastAsia="楷体_GB2312"/>
          <w:b/>
          <w:bCs/>
          <w:sz w:val="32"/>
          <w:u w:val="single"/>
        </w:rPr>
        <w:t xml:space="preserve"> </w:t>
      </w:r>
      <w:r>
        <w:rPr>
          <w:rFonts w:ascii="仿宋_GB2312" w:hAnsi="仿宋_GB2312" w:eastAsia="仿宋_GB2312" w:cs="仿宋_GB2312"/>
          <w:b/>
          <w:bCs/>
          <w:color w:val="000000"/>
          <w:sz w:val="32"/>
          <w:szCs w:val="32"/>
          <w:u w:val="single"/>
        </w:rPr>
        <w:t xml:space="preserve">                           </w:t>
      </w:r>
    </w:p>
    <w:p>
      <w:pPr>
        <w:tabs>
          <w:tab w:val="right" w:pos="4820"/>
          <w:tab w:val="left" w:pos="5103"/>
          <w:tab w:val="right" w:pos="8505"/>
        </w:tabs>
        <w:spacing w:after="800"/>
        <w:ind w:firstLine="643" w:firstLineChars="200"/>
        <w:rPr>
          <w:rFonts w:ascii="楷体_GB2312" w:hAnsi="宋体" w:eastAsia="楷体_GB2312"/>
          <w:bCs/>
          <w:sz w:val="30"/>
          <w:szCs w:val="30"/>
          <w:u w:val="single"/>
        </w:rPr>
      </w:pPr>
      <w:r>
        <w:rPr>
          <w:rFonts w:ascii="楷体_GB2312" w:hAnsi="宋体" w:eastAsia="楷体_GB2312"/>
          <w:b/>
          <w:bCs/>
          <w:sz w:val="32"/>
        </w:rPr>
        <w:t>土地使用权出让</w:t>
      </w:r>
      <w:r>
        <w:rPr>
          <w:rFonts w:hint="eastAsia" w:ascii="楷体_GB2312" w:hAnsi="宋体" w:eastAsia="楷体_GB2312"/>
          <w:b/>
          <w:bCs/>
          <w:sz w:val="32"/>
        </w:rPr>
        <w:t>合同编号：</w:t>
      </w:r>
      <w:r>
        <w:rPr>
          <w:rFonts w:hint="eastAsia" w:ascii="楷体_GB2312" w:hAnsi="宋体" w:eastAsia="楷体_GB2312"/>
          <w:b/>
          <w:bCs/>
          <w:sz w:val="32"/>
          <w:u w:val="single"/>
        </w:rPr>
        <w:t xml:space="preserve"> </w:t>
      </w:r>
      <w:r>
        <w:rPr>
          <w:rFonts w:ascii="仿宋_GB2312" w:hAnsi="仿宋_GB2312" w:eastAsia="仿宋_GB2312" w:cs="仿宋_GB2312"/>
          <w:b/>
          <w:bCs/>
          <w:color w:val="000000"/>
          <w:sz w:val="32"/>
          <w:szCs w:val="32"/>
          <w:u w:val="single"/>
        </w:rPr>
        <w:t xml:space="preserve">                  </w:t>
      </w:r>
    </w:p>
    <w:p>
      <w:pPr>
        <w:adjustRightInd w:val="0"/>
        <w:snapToGrid w:val="0"/>
        <w:spacing w:line="560" w:lineRule="exact"/>
        <w:jc w:val="center"/>
        <w:rPr>
          <w:rFonts w:ascii="楷体_GB2312" w:hAnsi="宋体" w:eastAsia="楷体_GB2312"/>
          <w:bCs/>
          <w:sz w:val="44"/>
          <w:szCs w:val="44"/>
        </w:rPr>
      </w:pPr>
    </w:p>
    <w:p>
      <w:pPr>
        <w:adjustRightInd w:val="0"/>
        <w:snapToGrid w:val="0"/>
        <w:spacing w:line="560" w:lineRule="exact"/>
        <w:jc w:val="center"/>
        <w:rPr>
          <w:rFonts w:ascii="楷体_GB2312" w:hAnsi="宋体" w:eastAsia="楷体_GB2312"/>
          <w:bCs/>
          <w:sz w:val="44"/>
          <w:szCs w:val="44"/>
        </w:rPr>
      </w:pPr>
    </w:p>
    <w:p>
      <w:pPr>
        <w:pStyle w:val="2"/>
        <w:rPr>
          <w:rFonts w:ascii="楷体_GB2312" w:hAnsi="宋体" w:eastAsia="楷体_GB2312"/>
          <w:bCs/>
          <w:sz w:val="44"/>
          <w:szCs w:val="44"/>
        </w:rPr>
      </w:pPr>
    </w:p>
    <w:p>
      <w:pPr>
        <w:pStyle w:val="2"/>
        <w:rPr>
          <w:rFonts w:ascii="楷体_GB2312" w:hAnsi="宋体" w:eastAsia="楷体_GB2312"/>
          <w:bCs/>
          <w:sz w:val="44"/>
          <w:szCs w:val="44"/>
        </w:rPr>
      </w:pPr>
    </w:p>
    <w:p>
      <w:pPr>
        <w:adjustRightInd w:val="0"/>
        <w:snapToGrid w:val="0"/>
        <w:spacing w:line="560" w:lineRule="exact"/>
        <w:rPr>
          <w:rFonts w:ascii="楷体_GB2312" w:hAnsi="宋体" w:eastAsia="楷体_GB2312"/>
          <w:bCs/>
          <w:sz w:val="44"/>
          <w:szCs w:val="44"/>
        </w:rPr>
      </w:pPr>
    </w:p>
    <w:p>
      <w:pPr>
        <w:adjustRightInd w:val="0"/>
        <w:snapToGrid w:val="0"/>
        <w:spacing w:line="560" w:lineRule="exact"/>
        <w:jc w:val="center"/>
        <w:rPr>
          <w:rFonts w:ascii="楷体_GB2312" w:hAnsi="宋体" w:eastAsia="楷体_GB2312"/>
          <w:bCs/>
          <w:sz w:val="44"/>
          <w:szCs w:val="44"/>
        </w:rPr>
      </w:pPr>
      <w:r>
        <w:rPr>
          <w:rFonts w:hint="eastAsia" w:ascii="楷体_GB2312" w:hAnsi="宋体" w:eastAsia="楷体_GB2312"/>
          <w:bCs/>
          <w:sz w:val="44"/>
          <w:szCs w:val="44"/>
        </w:rPr>
        <w:t>深圳市重点产业项目产业发展监管协议</w:t>
      </w:r>
    </w:p>
    <w:p>
      <w:pPr>
        <w:adjustRightInd w:val="0"/>
        <w:snapToGrid w:val="0"/>
        <w:spacing w:line="560" w:lineRule="exact"/>
        <w:jc w:val="center"/>
        <w:rPr>
          <w:rFonts w:ascii="楷体_GB2312" w:hAnsi="宋体" w:eastAsia="楷体_GB2312"/>
          <w:b/>
          <w:bCs/>
        </w:rPr>
      </w:pPr>
      <w:r>
        <w:rPr>
          <w:rFonts w:hint="eastAsia" w:ascii="仿宋_GB2312" w:hAnsi="宋体" w:eastAsia="仿宋_GB2312"/>
          <w:sz w:val="28"/>
          <w:szCs w:val="28"/>
        </w:rPr>
        <w:t>深</w:t>
      </w:r>
      <w:r>
        <w:rPr>
          <w:rFonts w:hint="eastAsia" w:ascii="仿宋_GB2312" w:hAnsi="宋体" w:eastAsia="仿宋_GB2312"/>
          <w:sz w:val="28"/>
          <w:szCs w:val="28"/>
          <w:u w:val="single"/>
        </w:rPr>
        <w:t>龙</w:t>
      </w:r>
      <w:r>
        <w:rPr>
          <w:rFonts w:hint="eastAsia" w:ascii="仿宋_GB2312" w:hAnsi="宋体" w:eastAsia="仿宋_GB2312"/>
          <w:sz w:val="28"/>
          <w:szCs w:val="28"/>
        </w:rPr>
        <w:t>产监协〔2022〕第</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sz w:val="28"/>
          <w:szCs w:val="28"/>
        </w:rPr>
        <w:t>号</w:t>
      </w:r>
    </w:p>
    <w:p>
      <w:pPr>
        <w:adjustRightInd w:val="0"/>
        <w:snapToGrid w:val="0"/>
        <w:spacing w:line="560" w:lineRule="exact"/>
        <w:rPr>
          <w:rFonts w:ascii="楷体_GB2312" w:hAnsi="宋体" w:eastAsia="楷体_GB2312"/>
          <w:b/>
          <w:bCs/>
          <w:sz w:val="30"/>
          <w:szCs w:val="30"/>
        </w:rPr>
      </w:pPr>
    </w:p>
    <w:p>
      <w:pPr>
        <w:pStyle w:val="3"/>
        <w:adjustRightInd w:val="0"/>
        <w:snapToGrid w:val="0"/>
        <w:spacing w:line="560" w:lineRule="exact"/>
        <w:ind w:firstLine="573"/>
        <w:rPr>
          <w:rFonts w:ascii="楷体_GB2312" w:eastAsia="楷体_GB2312"/>
          <w:sz w:val="30"/>
          <w:szCs w:val="30"/>
        </w:rPr>
      </w:pPr>
      <w:r>
        <w:rPr>
          <w:rFonts w:hint="eastAsia" w:ascii="楷体_GB2312" w:eastAsia="楷体_GB2312"/>
          <w:sz w:val="30"/>
          <w:szCs w:val="30"/>
        </w:rPr>
        <w:t>为保障深圳市工业项目发展用地，切实履行《深圳市土地使用权出让公告》（深土交告</w:t>
      </w:r>
      <w:r>
        <w:rPr>
          <w:rFonts w:hint="eastAsia" w:ascii="仿宋_GB2312" w:eastAsia="仿宋_GB2312"/>
          <w:sz w:val="28"/>
          <w:szCs w:val="28"/>
        </w:rPr>
        <w:t>〔</w:t>
      </w:r>
      <w:r>
        <w:rPr>
          <w:rFonts w:ascii="仿宋_GB2312" w:eastAsia="仿宋_GB2312"/>
          <w:sz w:val="28"/>
          <w:szCs w:val="28"/>
          <w:u w:val="single"/>
        </w:rPr>
        <w:t xml:space="preserve">  </w:t>
      </w:r>
      <w:r>
        <w:rPr>
          <w:rFonts w:hint="eastAsia" w:ascii="仿宋_GB2312" w:eastAsia="仿宋_GB2312"/>
          <w:sz w:val="28"/>
          <w:szCs w:val="28"/>
        </w:rPr>
        <w:t>〕</w:t>
      </w:r>
      <w:r>
        <w:rPr>
          <w:rFonts w:ascii="仿宋_GB2312" w:eastAsia="仿宋_GB2312"/>
          <w:sz w:val="28"/>
          <w:szCs w:val="28"/>
          <w:u w:val="single"/>
        </w:rPr>
        <w:t xml:space="preserve">  </w:t>
      </w:r>
      <w:r>
        <w:rPr>
          <w:rFonts w:hint="eastAsia" w:ascii="楷体_GB2312" w:eastAsia="楷体_GB2312"/>
          <w:sz w:val="30"/>
          <w:szCs w:val="30"/>
        </w:rPr>
        <w:t>号）要求，根据《深圳市工业及其他产业用地供应管理办法》（深府规〔2019〕4号，以下简称《管理办法》）的有关规定，经甲、乙双方同意，签订本产业发展监管协议。</w:t>
      </w:r>
    </w:p>
    <w:p>
      <w:pPr>
        <w:adjustRightInd w:val="0"/>
        <w:snapToGrid w:val="0"/>
        <w:spacing w:line="560" w:lineRule="exact"/>
        <w:ind w:left="17" w:firstLine="602" w:firstLineChars="200"/>
        <w:outlineLvl w:val="0"/>
        <w:rPr>
          <w:rFonts w:ascii="楷体_GB2312" w:hAnsi="宋体" w:eastAsia="楷体_GB2312"/>
          <w:b/>
          <w:sz w:val="30"/>
          <w:szCs w:val="30"/>
        </w:rPr>
      </w:pPr>
      <w:r>
        <w:rPr>
          <w:rFonts w:hint="eastAsia" w:ascii="楷体_GB2312" w:hAnsi="宋体" w:eastAsia="楷体_GB2312"/>
          <w:b/>
          <w:sz w:val="30"/>
          <w:szCs w:val="30"/>
        </w:rPr>
        <w:t>一、本协议双方当事人</w:t>
      </w:r>
    </w:p>
    <w:p>
      <w:pPr>
        <w:adjustRightInd w:val="0"/>
        <w:snapToGrid w:val="0"/>
        <w:spacing w:line="560" w:lineRule="exact"/>
        <w:ind w:left="630" w:leftChars="300"/>
        <w:rPr>
          <w:rFonts w:ascii="楷体_GB2312" w:hAnsi="宋体" w:eastAsia="楷体_GB2312"/>
          <w:sz w:val="30"/>
          <w:szCs w:val="30"/>
          <w:u w:val="single"/>
        </w:rPr>
      </w:pPr>
      <w:r>
        <w:rPr>
          <w:rFonts w:hint="eastAsia" w:ascii="楷体_GB2312" w:hAnsi="宋体" w:eastAsia="楷体_GB2312"/>
          <w:sz w:val="30"/>
          <w:szCs w:val="30"/>
        </w:rPr>
        <w:t>甲方：</w:t>
      </w:r>
      <w:r>
        <w:rPr>
          <w:rFonts w:hint="eastAsia" w:ascii="楷体_GB2312" w:hAnsi="宋体" w:eastAsia="楷体_GB2312"/>
          <w:sz w:val="30"/>
          <w:szCs w:val="30"/>
          <w:u w:val="single"/>
        </w:rPr>
        <w:t xml:space="preserve">  </w:t>
      </w:r>
      <w:r>
        <w:rPr>
          <w:rFonts w:ascii="楷体_GB2312" w:hAnsi="宋体" w:eastAsia="楷体_GB2312"/>
          <w:sz w:val="30"/>
          <w:szCs w:val="30"/>
          <w:u w:val="single"/>
        </w:rPr>
        <w:t>深圳市龙岗区工业和信息化局</w:t>
      </w:r>
      <w:r>
        <w:rPr>
          <w:rFonts w:hint="eastAsia" w:ascii="楷体_GB2312" w:hAnsi="宋体" w:eastAsia="楷体_GB2312"/>
          <w:sz w:val="30"/>
          <w:szCs w:val="30"/>
          <w:u w:val="single"/>
        </w:rPr>
        <w:t xml:space="preserve">                </w:t>
      </w:r>
    </w:p>
    <w:p>
      <w:pPr>
        <w:adjustRightInd w:val="0"/>
        <w:snapToGrid w:val="0"/>
        <w:spacing w:line="560" w:lineRule="exact"/>
        <w:ind w:left="630" w:leftChars="300"/>
        <w:rPr>
          <w:rFonts w:ascii="楷体_GB2312" w:hAnsi="宋体" w:eastAsia="楷体_GB2312"/>
          <w:sz w:val="30"/>
          <w:szCs w:val="30"/>
          <w:u w:val="single"/>
        </w:rPr>
      </w:pPr>
      <w:r>
        <w:rPr>
          <w:rFonts w:hint="eastAsia" w:ascii="楷体_GB2312" w:hAnsi="宋体" w:eastAsia="楷体_GB2312"/>
          <w:sz w:val="30"/>
          <w:szCs w:val="30"/>
        </w:rPr>
        <w:t>法定代表人：</w:t>
      </w:r>
      <w:r>
        <w:rPr>
          <w:rFonts w:hint="eastAsia" w:ascii="楷体_GB2312" w:hAnsi="宋体" w:eastAsia="楷体_GB2312"/>
          <w:sz w:val="30"/>
          <w:szCs w:val="30"/>
          <w:u w:val="single"/>
        </w:rPr>
        <w:t xml:space="preserve"> </w:t>
      </w:r>
      <w:r>
        <w:rPr>
          <w:rFonts w:ascii="楷体_GB2312" w:hAnsi="宋体" w:eastAsia="楷体_GB2312"/>
          <w:sz w:val="30"/>
          <w:szCs w:val="30"/>
          <w:u w:val="single"/>
        </w:rPr>
        <w:t>施文丽</w:t>
      </w:r>
      <w:r>
        <w:rPr>
          <w:rFonts w:hint="eastAsia" w:ascii="楷体_GB2312" w:hAnsi="宋体" w:eastAsia="楷体_GB2312"/>
          <w:sz w:val="30"/>
          <w:szCs w:val="30"/>
          <w:u w:val="single"/>
        </w:rPr>
        <w:t xml:space="preserve"> </w:t>
      </w:r>
      <w:r>
        <w:rPr>
          <w:rFonts w:hint="eastAsia" w:ascii="楷体_GB2312" w:hAnsi="宋体" w:eastAsia="楷体_GB2312"/>
          <w:sz w:val="30"/>
          <w:szCs w:val="30"/>
        </w:rPr>
        <w:t>职务：</w:t>
      </w:r>
      <w:r>
        <w:rPr>
          <w:rFonts w:hint="eastAsia" w:ascii="楷体_GB2312" w:hAnsi="宋体" w:eastAsia="楷体_GB2312"/>
          <w:sz w:val="30"/>
          <w:szCs w:val="30"/>
          <w:u w:val="single"/>
        </w:rPr>
        <w:t xml:space="preserve"> </w:t>
      </w:r>
      <w:r>
        <w:rPr>
          <w:rFonts w:ascii="楷体_GB2312" w:hAnsi="宋体" w:eastAsia="楷体_GB2312"/>
          <w:sz w:val="30"/>
          <w:szCs w:val="30"/>
          <w:u w:val="single"/>
        </w:rPr>
        <w:t xml:space="preserve">   局长</w:t>
      </w:r>
      <w:r>
        <w:rPr>
          <w:rFonts w:hint="eastAsia" w:ascii="楷体_GB2312" w:hAnsi="宋体" w:eastAsia="楷体_GB2312"/>
          <w:sz w:val="30"/>
          <w:szCs w:val="30"/>
          <w:u w:val="single"/>
        </w:rPr>
        <w:t xml:space="preserve">      </w:t>
      </w:r>
      <w:r>
        <w:rPr>
          <w:rFonts w:ascii="楷体_GB2312" w:hAnsi="宋体" w:eastAsia="楷体_GB2312"/>
          <w:sz w:val="30"/>
          <w:szCs w:val="30"/>
          <w:u w:val="single"/>
        </w:rPr>
        <w:t xml:space="preserve">      </w:t>
      </w:r>
      <w:r>
        <w:rPr>
          <w:rFonts w:hint="eastAsia" w:ascii="楷体_GB2312" w:hAnsi="宋体" w:eastAsia="楷体_GB2312"/>
          <w:sz w:val="30"/>
          <w:szCs w:val="30"/>
          <w:u w:val="single"/>
        </w:rPr>
        <w:t xml:space="preserve">  </w:t>
      </w:r>
      <w:r>
        <w:rPr>
          <w:rFonts w:ascii="楷体_GB2312" w:hAnsi="宋体" w:eastAsia="楷体_GB2312"/>
          <w:sz w:val="30"/>
          <w:szCs w:val="30"/>
          <w:u w:val="single"/>
        </w:rPr>
        <w:t xml:space="preserve"> </w:t>
      </w:r>
      <w:r>
        <w:rPr>
          <w:rFonts w:hint="eastAsia" w:ascii="楷体_GB2312" w:hAnsi="宋体" w:eastAsia="楷体_GB2312"/>
          <w:sz w:val="30"/>
          <w:szCs w:val="30"/>
          <w:u w:val="single"/>
        </w:rPr>
        <w:t xml:space="preserve"> </w:t>
      </w:r>
    </w:p>
    <w:p>
      <w:pPr>
        <w:widowControl/>
        <w:ind w:firstLine="600" w:firstLineChars="200"/>
        <w:jc w:val="left"/>
        <w:rPr>
          <w:rFonts w:ascii="楷体_GB2312" w:hAnsi="宋体" w:eastAsia="楷体_GB2312"/>
          <w:sz w:val="30"/>
          <w:szCs w:val="30"/>
          <w:u w:val="single"/>
        </w:rPr>
      </w:pPr>
      <w:r>
        <w:rPr>
          <w:rFonts w:hint="eastAsia" w:ascii="楷体_GB2312" w:hAnsi="宋体" w:eastAsia="楷体_GB2312"/>
          <w:sz w:val="30"/>
          <w:szCs w:val="30"/>
        </w:rPr>
        <w:t xml:space="preserve">地址: </w:t>
      </w:r>
      <w:r>
        <w:rPr>
          <w:rFonts w:hint="eastAsia" w:ascii="楷体_GB2312" w:hAnsi="宋体" w:eastAsia="楷体_GB2312"/>
          <w:sz w:val="30"/>
          <w:szCs w:val="30"/>
          <w:u w:val="single"/>
        </w:rPr>
        <w:t xml:space="preserve">  </w:t>
      </w:r>
      <w:r>
        <w:rPr>
          <w:rFonts w:ascii="楷体_GB2312" w:hAnsi="宋体" w:eastAsia="楷体_GB2312"/>
          <w:sz w:val="30"/>
          <w:szCs w:val="30"/>
          <w:u w:val="single"/>
        </w:rPr>
        <w:t>深圳市龙岗区中心城清林中路海关大厦十楼</w:t>
      </w:r>
      <w:r>
        <w:rPr>
          <w:rFonts w:hint="eastAsia" w:ascii="楷体_GB2312" w:hAnsi="宋体" w:eastAsia="楷体_GB2312"/>
          <w:sz w:val="30"/>
          <w:szCs w:val="30"/>
          <w:u w:val="single"/>
        </w:rPr>
        <w:t xml:space="preserve"> </w:t>
      </w:r>
      <w:r>
        <w:rPr>
          <w:rFonts w:ascii="楷体_GB2312" w:hAnsi="宋体" w:eastAsia="楷体_GB2312"/>
          <w:sz w:val="30"/>
          <w:szCs w:val="30"/>
          <w:u w:val="single"/>
        </w:rPr>
        <w:t xml:space="preserve">   </w:t>
      </w:r>
    </w:p>
    <w:p>
      <w:pPr>
        <w:adjustRightInd w:val="0"/>
        <w:snapToGrid w:val="0"/>
        <w:spacing w:line="560" w:lineRule="exact"/>
        <w:ind w:left="-149" w:leftChars="-71" w:firstLine="750" w:firstLineChars="250"/>
        <w:jc w:val="left"/>
        <w:rPr>
          <w:rFonts w:ascii="楷体_GB2312" w:hAnsi="宋体" w:eastAsia="楷体_GB2312"/>
          <w:sz w:val="30"/>
          <w:szCs w:val="30"/>
          <w:u w:val="single"/>
        </w:rPr>
      </w:pPr>
      <w:r>
        <w:rPr>
          <w:rFonts w:hint="eastAsia" w:ascii="楷体_GB2312" w:hAnsi="宋体" w:eastAsia="楷体_GB2312"/>
          <w:sz w:val="30"/>
          <w:szCs w:val="30"/>
        </w:rPr>
        <w:t>电话：</w:t>
      </w:r>
      <w:r>
        <w:rPr>
          <w:rFonts w:hint="eastAsia" w:ascii="楷体_GB2312" w:hAnsi="宋体" w:eastAsia="楷体_GB2312"/>
          <w:sz w:val="30"/>
          <w:szCs w:val="30"/>
          <w:u w:val="single"/>
        </w:rPr>
        <w:t xml:space="preserve">                                            </w:t>
      </w:r>
      <w:r>
        <w:rPr>
          <w:rFonts w:hint="eastAsia" w:ascii="楷体_GB2312" w:hAnsi="宋体" w:eastAsia="楷体_GB2312"/>
          <w:sz w:val="30"/>
          <w:szCs w:val="30"/>
        </w:rPr>
        <w:t xml:space="preserve">    </w:t>
      </w:r>
    </w:p>
    <w:p>
      <w:pPr>
        <w:adjustRightInd w:val="0"/>
        <w:snapToGrid w:val="0"/>
        <w:spacing w:line="560" w:lineRule="exact"/>
        <w:rPr>
          <w:rFonts w:ascii="楷体_GB2312" w:hAnsi="宋体" w:eastAsia="楷体_GB2312"/>
          <w:sz w:val="30"/>
          <w:szCs w:val="30"/>
        </w:rPr>
      </w:pPr>
    </w:p>
    <w:p>
      <w:pPr>
        <w:adjustRightInd w:val="0"/>
        <w:snapToGrid w:val="0"/>
        <w:spacing w:line="560" w:lineRule="exact"/>
        <w:ind w:left="630" w:leftChars="300"/>
        <w:rPr>
          <w:rFonts w:ascii="楷体_GB2312" w:hAnsi="宋体" w:eastAsia="楷体_GB2312"/>
          <w:sz w:val="30"/>
          <w:szCs w:val="30"/>
          <w:u w:val="single"/>
        </w:rPr>
      </w:pPr>
      <w:r>
        <w:rPr>
          <w:rFonts w:hint="eastAsia" w:ascii="楷体_GB2312" w:hAnsi="宋体" w:eastAsia="楷体_GB2312"/>
          <w:sz w:val="30"/>
          <w:szCs w:val="30"/>
        </w:rPr>
        <w:t>乙方（土地竞得者）：</w:t>
      </w:r>
      <w:r>
        <w:rPr>
          <w:rFonts w:ascii="楷体_GB2312" w:hAnsi="宋体" w:eastAsia="楷体_GB2312"/>
          <w:sz w:val="30"/>
          <w:szCs w:val="30"/>
          <w:u w:val="single"/>
        </w:rPr>
        <w:t xml:space="preserve">            </w:t>
      </w:r>
      <w:r>
        <w:rPr>
          <w:rFonts w:hint="eastAsia" w:ascii="楷体_GB2312" w:hAnsi="宋体" w:eastAsia="楷体_GB2312"/>
          <w:sz w:val="30"/>
          <w:szCs w:val="30"/>
          <w:u w:val="single"/>
        </w:rPr>
        <w:t xml:space="preserve"> </w:t>
      </w:r>
    </w:p>
    <w:p>
      <w:pPr>
        <w:adjustRightInd w:val="0"/>
        <w:snapToGrid w:val="0"/>
        <w:spacing w:line="560" w:lineRule="exact"/>
        <w:ind w:left="630" w:leftChars="300"/>
        <w:rPr>
          <w:rFonts w:ascii="楷体_GB2312" w:hAnsi="宋体" w:eastAsia="楷体_GB2312"/>
          <w:sz w:val="30"/>
          <w:szCs w:val="30"/>
        </w:rPr>
      </w:pPr>
      <w:r>
        <w:rPr>
          <w:rFonts w:hint="eastAsia" w:ascii="楷体_GB2312" w:hAnsi="宋体" w:eastAsia="楷体_GB2312"/>
          <w:sz w:val="30"/>
          <w:szCs w:val="30"/>
        </w:rPr>
        <w:t>统一社会信用代码：</w:t>
      </w:r>
      <w:r>
        <w:rPr>
          <w:rFonts w:ascii="楷体_GB2312" w:hAnsi="宋体" w:eastAsia="楷体_GB2312"/>
          <w:sz w:val="30"/>
          <w:szCs w:val="30"/>
          <w:u w:val="single"/>
        </w:rPr>
        <w:t xml:space="preserve">               </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法定代表人：</w:t>
      </w:r>
      <w:r>
        <w:rPr>
          <w:rFonts w:ascii="楷体_GB2312" w:hAnsi="宋体" w:eastAsia="楷体_GB2312"/>
          <w:sz w:val="30"/>
          <w:szCs w:val="30"/>
          <w:u w:val="single"/>
        </w:rPr>
        <w:t xml:space="preserve">   </w:t>
      </w:r>
      <w:r>
        <w:rPr>
          <w:rFonts w:hint="eastAsia" w:ascii="楷体_GB2312" w:hAnsi="宋体" w:eastAsia="楷体_GB2312"/>
          <w:sz w:val="30"/>
          <w:szCs w:val="30"/>
          <w:u w:val="single"/>
        </w:rPr>
        <w:t xml:space="preserve">       </w:t>
      </w:r>
      <w:r>
        <w:rPr>
          <w:rFonts w:hint="eastAsia" w:ascii="楷体_GB2312" w:hAnsi="宋体" w:eastAsia="楷体_GB2312"/>
          <w:sz w:val="30"/>
          <w:szCs w:val="30"/>
        </w:rPr>
        <w:t>职务：</w:t>
      </w:r>
      <w:r>
        <w:rPr>
          <w:rFonts w:ascii="楷体_GB2312" w:hAnsi="宋体" w:eastAsia="楷体_GB2312"/>
          <w:sz w:val="30"/>
          <w:szCs w:val="30"/>
          <w:u w:val="single"/>
        </w:rPr>
        <w:t xml:space="preserve">      </w:t>
      </w:r>
    </w:p>
    <w:p>
      <w:pPr>
        <w:tabs>
          <w:tab w:val="left" w:pos="5220"/>
        </w:tabs>
        <w:adjustRightInd w:val="0"/>
        <w:snapToGrid w:val="0"/>
        <w:spacing w:line="560" w:lineRule="exact"/>
        <w:ind w:left="1496" w:leftChars="284" w:hanging="900" w:hangingChars="300"/>
        <w:rPr>
          <w:rFonts w:ascii="楷体_GB2312" w:hAnsi="宋体" w:eastAsia="楷体_GB2312"/>
          <w:sz w:val="30"/>
          <w:szCs w:val="30"/>
          <w:u w:val="single"/>
        </w:rPr>
      </w:pPr>
      <w:r>
        <w:rPr>
          <w:rFonts w:hint="eastAsia" w:ascii="楷体_GB2312" w:hAnsi="宋体" w:eastAsia="楷体_GB2312"/>
          <w:sz w:val="30"/>
          <w:szCs w:val="30"/>
        </w:rPr>
        <w:t>地址：</w:t>
      </w:r>
      <w:r>
        <w:rPr>
          <w:rFonts w:ascii="楷体_GB2312" w:hAnsi="宋体" w:eastAsia="楷体_GB2312"/>
          <w:sz w:val="30"/>
          <w:szCs w:val="30"/>
          <w:u w:val="single"/>
        </w:rPr>
        <w:t xml:space="preserve">         </w:t>
      </w:r>
    </w:p>
    <w:p>
      <w:pPr>
        <w:tabs>
          <w:tab w:val="left" w:pos="2700"/>
        </w:tabs>
        <w:adjustRightInd w:val="0"/>
        <w:snapToGrid w:val="0"/>
        <w:spacing w:line="560" w:lineRule="exact"/>
        <w:ind w:firstLine="600" w:firstLineChars="200"/>
        <w:rPr>
          <w:rFonts w:ascii="楷体_GB2312" w:hAnsi="宋体" w:eastAsia="楷体_GB2312"/>
          <w:sz w:val="30"/>
          <w:szCs w:val="30"/>
          <w:u w:val="single"/>
        </w:rPr>
      </w:pPr>
      <w:r>
        <w:rPr>
          <w:rFonts w:hint="eastAsia" w:ascii="楷体_GB2312" w:hAnsi="宋体" w:eastAsia="楷体_GB2312"/>
          <w:sz w:val="30"/>
          <w:szCs w:val="30"/>
        </w:rPr>
        <w:t>电</w:t>
      </w:r>
      <w:r>
        <w:rPr>
          <w:rFonts w:hint="eastAsia" w:ascii="楷体_GB2312" w:hAnsi="宋体" w:eastAsia="楷体_GB2312"/>
          <w:sz w:val="32"/>
          <w:szCs w:val="30"/>
        </w:rPr>
        <w:t>话：</w:t>
      </w:r>
      <w:r>
        <w:rPr>
          <w:rFonts w:ascii="楷体_GB2312" w:hAnsi="宋体" w:eastAsia="楷体_GB2312"/>
          <w:sz w:val="30"/>
          <w:szCs w:val="30"/>
          <w:u w:val="single"/>
        </w:rPr>
        <w:t xml:space="preserve">         </w:t>
      </w:r>
    </w:p>
    <w:p>
      <w:pPr>
        <w:numPr>
          <w:ilvl w:val="0"/>
          <w:numId w:val="1"/>
        </w:numPr>
        <w:adjustRightInd w:val="0"/>
        <w:snapToGrid w:val="0"/>
        <w:spacing w:line="560" w:lineRule="exact"/>
        <w:rPr>
          <w:rFonts w:ascii="楷体_GB2312" w:hAnsi="宋体" w:eastAsia="楷体_GB2312"/>
          <w:b/>
          <w:bCs/>
          <w:sz w:val="30"/>
          <w:szCs w:val="30"/>
        </w:rPr>
      </w:pPr>
      <w:r>
        <w:rPr>
          <w:rFonts w:hint="eastAsia" w:ascii="楷体_GB2312" w:hAnsi="宋体" w:eastAsia="楷体_GB2312"/>
          <w:b/>
          <w:bCs/>
          <w:sz w:val="30"/>
          <w:szCs w:val="30"/>
        </w:rPr>
        <w:t>地块基本情况</w:t>
      </w:r>
    </w:p>
    <w:p>
      <w:pPr>
        <w:adjustRightInd w:val="0"/>
        <w:snapToGrid w:val="0"/>
        <w:spacing w:line="560" w:lineRule="exact"/>
        <w:ind w:left="447" w:leftChars="213" w:firstLine="120" w:firstLineChars="40"/>
        <w:rPr>
          <w:rFonts w:ascii="楷体_GB2312" w:hAnsi="宋体" w:eastAsia="楷体_GB2312"/>
          <w:bCs/>
          <w:spacing w:val="-20"/>
          <w:sz w:val="30"/>
          <w:szCs w:val="30"/>
        </w:rPr>
      </w:pPr>
      <w:r>
        <w:rPr>
          <w:rFonts w:hint="eastAsia" w:ascii="楷体_GB2312" w:hAnsi="宋体" w:eastAsia="楷体_GB2312"/>
          <w:bCs/>
          <w:sz w:val="30"/>
          <w:szCs w:val="30"/>
        </w:rPr>
        <w:t>宗地编号：</w:t>
      </w:r>
      <w:r>
        <w:rPr>
          <w:rFonts w:hint="eastAsia" w:ascii="楷体_GB2312" w:hAnsi="宋体" w:eastAsia="楷体_GB2312"/>
          <w:bCs/>
          <w:sz w:val="30"/>
          <w:szCs w:val="30"/>
          <w:u w:val="single"/>
        </w:rPr>
        <w:t xml:space="preserve"> </w:t>
      </w:r>
      <w:r>
        <w:rPr>
          <w:rFonts w:ascii="楷体_GB2312" w:hAnsi="宋体" w:eastAsia="楷体_GB2312"/>
          <w:bCs/>
          <w:sz w:val="30"/>
          <w:szCs w:val="30"/>
          <w:u w:val="single"/>
        </w:rPr>
        <w:t xml:space="preserve">      </w:t>
      </w:r>
      <w:r>
        <w:rPr>
          <w:rFonts w:hint="eastAsia" w:ascii="楷体_GB2312" w:hAnsi="宋体" w:eastAsia="楷体_GB2312"/>
          <w:bCs/>
          <w:sz w:val="30"/>
          <w:szCs w:val="30"/>
          <w:u w:val="single"/>
        </w:rPr>
        <w:t xml:space="preserve"> </w:t>
      </w:r>
      <w:r>
        <w:rPr>
          <w:rFonts w:hint="eastAsia" w:ascii="楷体_GB2312" w:hAnsi="宋体" w:eastAsia="楷体_GB2312"/>
          <w:bCs/>
          <w:spacing w:val="-20"/>
          <w:sz w:val="30"/>
          <w:szCs w:val="30"/>
          <w:u w:val="single"/>
        </w:rPr>
        <w:t xml:space="preserve">                 </w:t>
      </w:r>
    </w:p>
    <w:p>
      <w:pPr>
        <w:adjustRightInd w:val="0"/>
        <w:snapToGrid w:val="0"/>
        <w:spacing w:line="560" w:lineRule="exact"/>
        <w:ind w:left="2067" w:leftChars="270" w:hanging="1500" w:hangingChars="500"/>
        <w:rPr>
          <w:rFonts w:ascii="楷体_GB2312" w:hAnsi="宋体" w:eastAsia="楷体_GB2312"/>
          <w:sz w:val="32"/>
          <w:szCs w:val="32"/>
          <w:u w:val="single"/>
        </w:rPr>
      </w:pPr>
      <w:r>
        <w:rPr>
          <w:rFonts w:hint="eastAsia" w:ascii="楷体_GB2312" w:hAnsi="宋体" w:eastAsia="楷体_GB2312"/>
          <w:bCs/>
          <w:sz w:val="30"/>
          <w:szCs w:val="30"/>
        </w:rPr>
        <w:t>土地位置：</w:t>
      </w:r>
      <w:r>
        <w:rPr>
          <w:rFonts w:hint="eastAsia" w:ascii="楷体_GB2312" w:hAnsi="宋体" w:eastAsia="楷体_GB2312"/>
          <w:bCs/>
          <w:sz w:val="30"/>
          <w:szCs w:val="30"/>
          <w:u w:val="single"/>
        </w:rPr>
        <w:t xml:space="preserve"> 深圳市龙岗区平湖街道新厦大道33号 </w:t>
      </w:r>
    </w:p>
    <w:p>
      <w:pPr>
        <w:adjustRightInd w:val="0"/>
        <w:snapToGrid w:val="0"/>
        <w:spacing w:line="560" w:lineRule="exact"/>
        <w:ind w:left="567" w:leftChars="270"/>
        <w:rPr>
          <w:rFonts w:ascii="楷体_GB2312" w:hAnsi="宋体" w:eastAsia="楷体_GB2312"/>
          <w:bCs/>
          <w:sz w:val="30"/>
          <w:szCs w:val="30"/>
        </w:rPr>
      </w:pPr>
      <w:r>
        <w:rPr>
          <w:rFonts w:hint="eastAsia" w:ascii="楷体_GB2312" w:hAnsi="宋体" w:eastAsia="楷体_GB2312"/>
          <w:bCs/>
          <w:sz w:val="30"/>
          <w:szCs w:val="30"/>
        </w:rPr>
        <w:t>土地用途：</w:t>
      </w:r>
      <w:r>
        <w:rPr>
          <w:rFonts w:hint="eastAsia" w:ascii="楷体_GB2312" w:hAnsi="宋体" w:eastAsia="楷体_GB2312"/>
          <w:bCs/>
          <w:sz w:val="30"/>
          <w:szCs w:val="30"/>
          <w:u w:val="single"/>
        </w:rPr>
        <w:t xml:space="preserve"> 普通工业用地(M1) </w:t>
      </w:r>
    </w:p>
    <w:p>
      <w:pPr>
        <w:adjustRightInd w:val="0"/>
        <w:snapToGrid w:val="0"/>
        <w:spacing w:line="560" w:lineRule="exact"/>
        <w:ind w:firstLine="570"/>
        <w:rPr>
          <w:rFonts w:ascii="楷体_GB2312" w:hAnsi="宋体" w:eastAsia="楷体_GB2312"/>
          <w:bCs/>
          <w:color w:val="000000"/>
          <w:sz w:val="30"/>
          <w:szCs w:val="30"/>
          <w:u w:val="single"/>
        </w:rPr>
      </w:pPr>
      <w:r>
        <w:rPr>
          <w:rFonts w:hint="eastAsia" w:ascii="楷体_GB2312" w:hAnsi="宋体" w:eastAsia="楷体_GB2312"/>
          <w:bCs/>
          <w:sz w:val="30"/>
          <w:szCs w:val="30"/>
        </w:rPr>
        <w:t>总用地面积（</w:t>
      </w:r>
      <w:r>
        <w:rPr>
          <w:rFonts w:ascii="楷体_GB2312" w:hAnsi="宋体" w:eastAsia="楷体_GB2312"/>
          <w:bCs/>
          <w:sz w:val="30"/>
          <w:szCs w:val="30"/>
        </w:rPr>
        <w:t>万</w:t>
      </w:r>
      <w:r>
        <w:rPr>
          <w:rFonts w:hint="eastAsia" w:ascii="楷体_GB2312" w:hAnsi="宋体" w:eastAsia="楷体_GB2312"/>
          <w:bCs/>
          <w:sz w:val="30"/>
          <w:szCs w:val="30"/>
        </w:rPr>
        <w:t>平方米）：</w:t>
      </w:r>
      <w:r>
        <w:rPr>
          <w:rFonts w:ascii="楷体_GB2312" w:hAnsi="宋体" w:eastAsia="楷体_GB2312"/>
          <w:bCs/>
          <w:sz w:val="30"/>
          <w:szCs w:val="30"/>
          <w:u w:val="single"/>
        </w:rPr>
        <w:t>8.7</w:t>
      </w:r>
      <w:r>
        <w:rPr>
          <w:rFonts w:hint="eastAsia" w:ascii="楷体_GB2312" w:hAnsi="宋体" w:eastAsia="楷体_GB2312"/>
          <w:bCs/>
          <w:color w:val="000000"/>
          <w:sz w:val="30"/>
          <w:szCs w:val="30"/>
          <w:u w:val="single"/>
        </w:rPr>
        <w:t>（以</w:t>
      </w:r>
      <w:r>
        <w:rPr>
          <w:rFonts w:ascii="楷体_GB2312" w:hAnsi="宋体" w:eastAsia="楷体_GB2312"/>
          <w:bCs/>
          <w:color w:val="000000"/>
          <w:sz w:val="30"/>
          <w:szCs w:val="30"/>
          <w:u w:val="single"/>
        </w:rPr>
        <w:t>《国有建设用地使用权出让合同》</w:t>
      </w:r>
      <w:r>
        <w:rPr>
          <w:rFonts w:hint="eastAsia" w:ascii="楷体_GB2312" w:hAnsi="宋体" w:eastAsia="楷体_GB2312"/>
          <w:bCs/>
          <w:color w:val="000000"/>
          <w:sz w:val="30"/>
          <w:szCs w:val="30"/>
          <w:u w:val="single"/>
        </w:rPr>
        <w:t>为准）</w:t>
      </w:r>
      <w:r>
        <w:rPr>
          <w:rFonts w:hint="eastAsia" w:ascii="楷体_GB2312" w:hAnsi="宋体" w:eastAsia="楷体_GB2312"/>
          <w:bCs/>
          <w:color w:val="000000"/>
          <w:spacing w:val="-20"/>
          <w:sz w:val="30"/>
          <w:szCs w:val="30"/>
          <w:u w:val="single"/>
        </w:rPr>
        <w:t xml:space="preserve">  </w:t>
      </w:r>
    </w:p>
    <w:p>
      <w:pPr>
        <w:tabs>
          <w:tab w:val="left" w:pos="5220"/>
          <w:tab w:val="left" w:pos="5400"/>
          <w:tab w:val="left" w:pos="5580"/>
        </w:tabs>
        <w:adjustRightInd w:val="0"/>
        <w:snapToGrid w:val="0"/>
        <w:spacing w:line="560" w:lineRule="exact"/>
        <w:ind w:firstLine="570"/>
        <w:rPr>
          <w:rFonts w:ascii="楷体_GB2312" w:hAnsi="宋体" w:eastAsia="楷体_GB2312"/>
          <w:bCs/>
          <w:color w:val="000000"/>
          <w:sz w:val="30"/>
          <w:szCs w:val="30"/>
          <w:u w:val="single"/>
        </w:rPr>
      </w:pPr>
      <w:r>
        <w:rPr>
          <w:rFonts w:hint="eastAsia" w:ascii="楷体_GB2312" w:hAnsi="宋体" w:eastAsia="楷体_GB2312"/>
          <w:bCs/>
          <w:color w:val="000000"/>
          <w:sz w:val="30"/>
          <w:szCs w:val="30"/>
        </w:rPr>
        <w:t>总建筑面积（</w:t>
      </w:r>
      <w:r>
        <w:rPr>
          <w:rFonts w:ascii="楷体_GB2312" w:hAnsi="宋体" w:eastAsia="楷体_GB2312"/>
          <w:bCs/>
          <w:color w:val="000000"/>
          <w:sz w:val="30"/>
          <w:szCs w:val="30"/>
        </w:rPr>
        <w:t>万</w:t>
      </w:r>
      <w:r>
        <w:rPr>
          <w:rFonts w:hint="eastAsia" w:ascii="楷体_GB2312" w:hAnsi="宋体" w:eastAsia="楷体_GB2312"/>
          <w:bCs/>
          <w:color w:val="000000"/>
          <w:sz w:val="30"/>
          <w:szCs w:val="30"/>
        </w:rPr>
        <w:t>平方米）：</w:t>
      </w:r>
      <w:r>
        <w:rPr>
          <w:rFonts w:ascii="楷体_GB2312" w:hAnsi="宋体" w:eastAsia="楷体_GB2312"/>
          <w:bCs/>
          <w:color w:val="000000"/>
          <w:spacing w:val="-20"/>
          <w:sz w:val="30"/>
          <w:szCs w:val="30"/>
          <w:u w:val="single"/>
        </w:rPr>
        <w:t>11</w:t>
      </w:r>
      <w:r>
        <w:rPr>
          <w:rFonts w:hint="eastAsia" w:ascii="楷体_GB2312" w:hAnsi="宋体" w:eastAsia="楷体_GB2312"/>
          <w:bCs/>
          <w:color w:val="000000"/>
          <w:sz w:val="30"/>
          <w:szCs w:val="30"/>
          <w:u w:val="single"/>
        </w:rPr>
        <w:t>（以</w:t>
      </w:r>
      <w:r>
        <w:rPr>
          <w:rFonts w:ascii="楷体_GB2312" w:hAnsi="宋体" w:eastAsia="楷体_GB2312"/>
          <w:bCs/>
          <w:color w:val="000000"/>
          <w:sz w:val="30"/>
          <w:szCs w:val="30"/>
          <w:u w:val="single"/>
        </w:rPr>
        <w:t>《国有建设用地使用权出让合同》</w:t>
      </w:r>
      <w:r>
        <w:rPr>
          <w:rFonts w:hint="eastAsia" w:ascii="楷体_GB2312" w:hAnsi="宋体" w:eastAsia="楷体_GB2312"/>
          <w:bCs/>
          <w:color w:val="000000"/>
          <w:sz w:val="30"/>
          <w:szCs w:val="30"/>
          <w:u w:val="single"/>
        </w:rPr>
        <w:t>为准）</w:t>
      </w:r>
      <w:r>
        <w:rPr>
          <w:rFonts w:ascii="楷体_GB2312" w:hAnsi="宋体" w:eastAsia="楷体_GB2312"/>
          <w:bCs/>
          <w:color w:val="000000"/>
          <w:spacing w:val="-20"/>
          <w:sz w:val="30"/>
          <w:szCs w:val="30"/>
          <w:u w:val="single"/>
        </w:rPr>
        <w:t xml:space="preserve">  </w:t>
      </w:r>
    </w:p>
    <w:p>
      <w:pPr>
        <w:tabs>
          <w:tab w:val="left" w:pos="5220"/>
          <w:tab w:val="left" w:pos="5400"/>
          <w:tab w:val="left" w:pos="5580"/>
        </w:tabs>
        <w:adjustRightInd w:val="0"/>
        <w:snapToGrid w:val="0"/>
        <w:spacing w:line="560" w:lineRule="exact"/>
        <w:ind w:firstLine="570"/>
        <w:rPr>
          <w:rFonts w:ascii="楷体_GB2312" w:hAnsi="宋体" w:eastAsia="楷体_GB2312"/>
          <w:bCs/>
          <w:color w:val="000000"/>
          <w:sz w:val="30"/>
          <w:szCs w:val="30"/>
          <w:u w:val="single"/>
        </w:rPr>
      </w:pPr>
      <w:r>
        <w:rPr>
          <w:rFonts w:hint="eastAsia" w:ascii="楷体_GB2312" w:hAnsi="宋体" w:eastAsia="楷体_GB2312"/>
          <w:bCs/>
          <w:color w:val="000000"/>
          <w:sz w:val="30"/>
          <w:szCs w:val="30"/>
          <w:u w:val="none"/>
        </w:rPr>
        <w:t>项目名称：</w:t>
      </w:r>
      <w:r>
        <w:rPr>
          <w:rFonts w:hint="eastAsia" w:ascii="楷体_GB2312" w:hAnsi="宋体" w:eastAsia="楷体_GB2312"/>
          <w:bCs/>
          <w:color w:val="000000"/>
          <w:sz w:val="30"/>
          <w:szCs w:val="30"/>
          <w:u w:val="single"/>
          <w:lang w:val="en-US" w:eastAsia="zh-CN"/>
        </w:rPr>
        <w:t>国家第三代半导体技术</w:t>
      </w:r>
      <w:r>
        <w:rPr>
          <w:rFonts w:hint="default" w:ascii="楷体_GB2312" w:hAnsi="宋体" w:eastAsia="楷体_GB2312"/>
          <w:bCs/>
          <w:color w:val="000000"/>
          <w:sz w:val="30"/>
          <w:szCs w:val="30"/>
          <w:u w:val="single"/>
          <w:lang w:val="en-US" w:eastAsia="zh-CN"/>
        </w:rPr>
        <w:t>创新中心深圳综合平台建设</w:t>
      </w:r>
      <w:r>
        <w:rPr>
          <w:rFonts w:hint="eastAsia" w:ascii="楷体_GB2312" w:hAnsi="宋体" w:eastAsia="楷体_GB2312"/>
          <w:bCs/>
          <w:color w:val="000000"/>
          <w:sz w:val="30"/>
          <w:szCs w:val="30"/>
          <w:u w:val="single"/>
          <w:lang w:val="en-US" w:eastAsia="zh-CN"/>
        </w:rPr>
        <w:t>项目</w:t>
      </w:r>
    </w:p>
    <w:p>
      <w:pPr>
        <w:adjustRightInd w:val="0"/>
        <w:snapToGrid w:val="0"/>
        <w:spacing w:line="560" w:lineRule="exact"/>
        <w:ind w:firstLine="570"/>
        <w:rPr>
          <w:rFonts w:ascii="楷体_GB2312" w:hAnsi="宋体" w:eastAsia="楷体_GB2312"/>
          <w:bCs/>
          <w:color w:val="000000"/>
          <w:sz w:val="30"/>
          <w:szCs w:val="30"/>
          <w:u w:val="single"/>
        </w:rPr>
      </w:pPr>
      <w:r>
        <w:rPr>
          <w:rFonts w:hint="eastAsia" w:ascii="楷体_GB2312" w:hAnsi="宋体" w:eastAsia="楷体_GB2312"/>
          <w:bCs/>
          <w:color w:val="000000"/>
          <w:sz w:val="30"/>
          <w:szCs w:val="30"/>
        </w:rPr>
        <w:t>土地使用年期（年）：</w:t>
      </w:r>
      <w:r>
        <w:rPr>
          <w:rFonts w:hint="eastAsia" w:ascii="楷体_GB2312" w:hAnsi="宋体" w:eastAsia="楷体_GB2312"/>
          <w:bCs/>
          <w:color w:val="000000"/>
          <w:sz w:val="30"/>
          <w:szCs w:val="30"/>
          <w:u w:val="single"/>
        </w:rPr>
        <w:t xml:space="preserve">  30年（以</w:t>
      </w:r>
      <w:r>
        <w:rPr>
          <w:rFonts w:ascii="楷体_GB2312" w:hAnsi="宋体" w:eastAsia="楷体_GB2312"/>
          <w:bCs/>
          <w:color w:val="000000"/>
          <w:sz w:val="30"/>
          <w:szCs w:val="30"/>
          <w:u w:val="single"/>
        </w:rPr>
        <w:t>《国有建设用地使用权出让合同》</w:t>
      </w:r>
      <w:r>
        <w:rPr>
          <w:rFonts w:hint="eastAsia" w:ascii="楷体_GB2312" w:hAnsi="宋体" w:eastAsia="楷体_GB2312"/>
          <w:bCs/>
          <w:color w:val="000000"/>
          <w:sz w:val="30"/>
          <w:szCs w:val="30"/>
          <w:u w:val="single"/>
        </w:rPr>
        <w:t xml:space="preserve">为准）  </w:t>
      </w:r>
    </w:p>
    <w:p>
      <w:pPr>
        <w:adjustRightInd w:val="0"/>
        <w:snapToGrid w:val="0"/>
        <w:spacing w:line="560" w:lineRule="exact"/>
        <w:ind w:firstLine="570"/>
        <w:rPr>
          <w:rFonts w:ascii="楷体_GB2312" w:hAnsi="宋体" w:eastAsia="楷体_GB2312"/>
          <w:bCs/>
          <w:color w:val="000000"/>
          <w:sz w:val="30"/>
          <w:szCs w:val="30"/>
          <w:u w:val="single"/>
        </w:rPr>
      </w:pPr>
      <w:r>
        <w:rPr>
          <w:rFonts w:hint="eastAsia" w:ascii="楷体_GB2312" w:hAnsi="宋体" w:eastAsia="楷体_GB2312"/>
          <w:bCs/>
          <w:color w:val="000000"/>
          <w:sz w:val="30"/>
          <w:szCs w:val="30"/>
        </w:rPr>
        <w:t>产业准入行业类别：</w:t>
      </w:r>
      <w:r>
        <w:rPr>
          <w:rFonts w:hint="eastAsia" w:ascii="楷体_GB2312" w:hAnsi="宋体" w:eastAsia="楷体_GB2312"/>
          <w:bCs/>
          <w:color w:val="000000"/>
          <w:sz w:val="30"/>
          <w:szCs w:val="30"/>
          <w:u w:val="single"/>
        </w:rPr>
        <w:t xml:space="preserve"> C3972半导体分立器件制造</w:t>
      </w:r>
      <w:r>
        <w:rPr>
          <w:rFonts w:ascii="楷体_GB2312" w:hAnsi="宋体" w:eastAsia="楷体_GB2312"/>
          <w:bCs/>
          <w:color w:val="000000"/>
          <w:sz w:val="30"/>
          <w:szCs w:val="30"/>
          <w:u w:val="single"/>
        </w:rPr>
        <w:t xml:space="preserve">                    </w:t>
      </w:r>
    </w:p>
    <w:p>
      <w:pPr>
        <w:adjustRightInd w:val="0"/>
        <w:snapToGrid w:val="0"/>
        <w:spacing w:line="560" w:lineRule="exact"/>
        <w:ind w:firstLine="570"/>
        <w:rPr>
          <w:rFonts w:ascii="楷体_GB2312" w:hAnsi="宋体" w:eastAsia="楷体_GB2312"/>
          <w:bCs/>
          <w:sz w:val="30"/>
          <w:szCs w:val="30"/>
          <w:u w:val="single"/>
        </w:rPr>
      </w:pPr>
      <w:r>
        <w:rPr>
          <w:rFonts w:hint="eastAsia" w:ascii="楷体_GB2312" w:hAnsi="宋体" w:eastAsia="楷体_GB2312"/>
          <w:bCs/>
          <w:color w:val="000000"/>
          <w:sz w:val="30"/>
          <w:szCs w:val="30"/>
        </w:rPr>
        <w:t>项目总投资额（预计）：</w:t>
      </w:r>
      <w:r>
        <w:rPr>
          <w:rFonts w:hint="eastAsia" w:ascii="楷体_GB2312" w:hAnsi="宋体" w:eastAsia="楷体_GB2312"/>
          <w:bCs/>
          <w:color w:val="000000"/>
          <w:sz w:val="30"/>
          <w:szCs w:val="30"/>
          <w:u w:val="single"/>
        </w:rPr>
        <w:t>33.5亿</w:t>
      </w:r>
      <w:r>
        <w:rPr>
          <w:rFonts w:hint="eastAsia" w:ascii="楷体_GB2312" w:hAnsi="宋体" w:eastAsia="楷体_GB2312"/>
          <w:bCs/>
          <w:color w:val="000000"/>
          <w:sz w:val="30"/>
          <w:szCs w:val="30"/>
        </w:rPr>
        <w:t>元（大写：人</w:t>
      </w:r>
      <w:r>
        <w:rPr>
          <w:rFonts w:hint="eastAsia" w:ascii="楷体_GB2312" w:hAnsi="宋体" w:eastAsia="楷体_GB2312"/>
          <w:bCs/>
          <w:sz w:val="30"/>
          <w:szCs w:val="30"/>
        </w:rPr>
        <w:t xml:space="preserve">民币 </w:t>
      </w:r>
      <w:r>
        <w:rPr>
          <w:rFonts w:hint="eastAsia" w:ascii="楷体_GB2312" w:hAnsi="宋体" w:eastAsia="楷体_GB2312"/>
          <w:bCs/>
          <w:sz w:val="30"/>
          <w:szCs w:val="30"/>
          <w:u w:val="single"/>
        </w:rPr>
        <w:t>叁拾叁亿伍仟万</w:t>
      </w:r>
      <w:r>
        <w:rPr>
          <w:rFonts w:hint="eastAsia" w:ascii="楷体_GB2312" w:hAnsi="宋体" w:eastAsia="楷体_GB2312"/>
          <w:bCs/>
          <w:sz w:val="30"/>
          <w:szCs w:val="30"/>
        </w:rPr>
        <w:t>元整）。</w:t>
      </w:r>
    </w:p>
    <w:p>
      <w:pPr>
        <w:pStyle w:val="3"/>
        <w:adjustRightInd w:val="0"/>
        <w:snapToGrid w:val="0"/>
        <w:spacing w:line="560" w:lineRule="exact"/>
        <w:ind w:firstLine="590" w:firstLineChars="196"/>
        <w:rPr>
          <w:rFonts w:ascii="楷体_GB2312" w:eastAsia="楷体_GB2312"/>
          <w:sz w:val="30"/>
          <w:szCs w:val="30"/>
        </w:rPr>
      </w:pPr>
      <w:r>
        <w:rPr>
          <w:rFonts w:hint="eastAsia" w:ascii="楷体_GB2312" w:eastAsia="楷体_GB2312"/>
          <w:b/>
          <w:sz w:val="30"/>
          <w:szCs w:val="30"/>
        </w:rPr>
        <w:t>三、甲方权利和义务</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（一）甲方根据深圳市和龙岗区产业政策和发展要求，</w:t>
      </w:r>
      <w:r>
        <w:rPr>
          <w:rFonts w:ascii="楷体_GB2312" w:hAnsi="宋体" w:eastAsia="楷体_GB2312"/>
          <w:sz w:val="30"/>
          <w:szCs w:val="30"/>
        </w:rPr>
        <w:t>为乙方的</w:t>
      </w:r>
      <w:r>
        <w:rPr>
          <w:rFonts w:hint="eastAsia" w:ascii="楷体_GB2312" w:hAnsi="宋体" w:eastAsia="楷体_GB2312"/>
          <w:sz w:val="30"/>
          <w:szCs w:val="30"/>
        </w:rPr>
        <w:t>产业用地项目提供指导性服务。</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（二）乙方上述项目建设、施工及竣工</w:t>
      </w:r>
      <w:r>
        <w:rPr>
          <w:rFonts w:ascii="楷体_GB2312" w:hAnsi="宋体" w:eastAsia="楷体_GB2312"/>
          <w:sz w:val="30"/>
          <w:szCs w:val="30"/>
        </w:rPr>
        <w:t>（</w:t>
      </w:r>
      <w:r>
        <w:rPr>
          <w:rFonts w:hint="eastAsia" w:ascii="楷体_GB2312" w:hAnsi="宋体" w:eastAsia="楷体_GB2312"/>
          <w:sz w:val="30"/>
          <w:szCs w:val="30"/>
        </w:rPr>
        <w:t>建设、施工、竣工分别以取得《工程规划许可证》、《施工许可证》以及《竣工验收备案收文回执》为准）后，甲方有权自行或委托专业机构按照本协议书核查项目的履约情况，若乙方违反本协议有关约定，甲方有权追究乙方的违约责任。</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（三）甲方有权随时要求乙方</w:t>
      </w:r>
      <w:r>
        <w:rPr>
          <w:rFonts w:ascii="楷体_GB2312" w:hAnsi="宋体" w:eastAsia="楷体_GB2312"/>
          <w:sz w:val="30"/>
          <w:szCs w:val="30"/>
        </w:rPr>
        <w:t>定期或不定期</w:t>
      </w:r>
      <w:r>
        <w:rPr>
          <w:rFonts w:hint="eastAsia" w:ascii="楷体_GB2312" w:hAnsi="宋体" w:eastAsia="楷体_GB2312"/>
          <w:sz w:val="30"/>
          <w:szCs w:val="30"/>
        </w:rPr>
        <w:t>提供阶段性工作进展汇报，就项目建设、施工过程中产生的问题进行解释、制定解决方案，汇报方案实施效果。</w:t>
      </w:r>
    </w:p>
    <w:p>
      <w:pPr>
        <w:adjustRightInd w:val="0"/>
        <w:snapToGrid w:val="0"/>
        <w:spacing w:line="560" w:lineRule="exact"/>
        <w:ind w:firstLine="570"/>
        <w:rPr>
          <w:rFonts w:ascii="楷体_GB2312" w:hAnsi="宋体" w:eastAsia="楷体_GB2312"/>
          <w:b/>
          <w:bCs/>
          <w:sz w:val="30"/>
          <w:szCs w:val="30"/>
        </w:rPr>
      </w:pPr>
      <w:r>
        <w:rPr>
          <w:rFonts w:hint="eastAsia" w:ascii="楷体_GB2312" w:hAnsi="宋体" w:eastAsia="楷体_GB2312"/>
          <w:sz w:val="30"/>
          <w:szCs w:val="30"/>
        </w:rPr>
        <w:t>（四）</w:t>
      </w:r>
      <w:r>
        <w:rPr>
          <w:rFonts w:hint="eastAsia" w:ascii="楷体_GB2312" w:hAnsi="Arial" w:eastAsia="楷体_GB2312" w:cs="Arial"/>
          <w:kern w:val="0"/>
          <w:sz w:val="30"/>
          <w:szCs w:val="30"/>
        </w:rPr>
        <w:t>乙方注册地址不在龙岗区的，甲方支持乙方将注册地址依法变更到龙岗区范围内。</w:t>
      </w:r>
    </w:p>
    <w:p>
      <w:pPr>
        <w:adjustRightInd w:val="0"/>
        <w:snapToGrid w:val="0"/>
        <w:spacing w:line="560" w:lineRule="exact"/>
        <w:ind w:firstLine="602" w:firstLineChars="200"/>
        <w:rPr>
          <w:rFonts w:ascii="楷体_GB2312" w:hAnsi="宋体" w:eastAsia="楷体_GB2312"/>
          <w:b/>
          <w:bCs/>
          <w:sz w:val="30"/>
          <w:szCs w:val="30"/>
        </w:rPr>
      </w:pPr>
      <w:r>
        <w:rPr>
          <w:rFonts w:hint="eastAsia" w:ascii="楷体_GB2312" w:hAnsi="宋体" w:eastAsia="楷体_GB2312"/>
          <w:b/>
          <w:bCs/>
          <w:sz w:val="30"/>
          <w:szCs w:val="30"/>
        </w:rPr>
        <w:t>四、乙方权利和义务</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（一）乙方竞买取得的上述产业用地只能用于本协议第二条“地块基本情况”中约定项目的建设。</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地块基本情况经有关部门批准发生变动的，乙方应在获批准后30日内，向甲方申请办理地块基本情况变动备案</w:t>
      </w:r>
      <w:bookmarkStart w:id="0" w:name="_Hlk41638969"/>
      <w:r>
        <w:rPr>
          <w:rFonts w:hint="eastAsia" w:ascii="楷体_GB2312" w:hAnsi="宋体" w:eastAsia="楷体_GB2312"/>
          <w:sz w:val="30"/>
          <w:szCs w:val="30"/>
        </w:rPr>
        <w:t>，甲方将视情形与乙方签署产业监管协议补充协议</w:t>
      </w:r>
      <w:bookmarkEnd w:id="0"/>
      <w:r>
        <w:rPr>
          <w:rFonts w:hint="eastAsia" w:ascii="楷体_GB2312" w:hAnsi="宋体" w:eastAsia="楷体_GB2312"/>
          <w:sz w:val="30"/>
          <w:szCs w:val="30"/>
        </w:rPr>
        <w:t>。</w:t>
      </w:r>
    </w:p>
    <w:p>
      <w:pPr>
        <w:numPr>
          <w:ilvl w:val="0"/>
          <w:numId w:val="2"/>
        </w:num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乙方承诺：</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1.签订土地使用权出让合同</w:t>
      </w:r>
      <w:r>
        <w:rPr>
          <w:rFonts w:hint="eastAsia" w:ascii="楷体_GB2312" w:hAnsi="宋体" w:eastAsia="楷体_GB2312"/>
          <w:sz w:val="30"/>
          <w:szCs w:val="30"/>
          <w:u w:val="single"/>
        </w:rPr>
        <w:t>3</w:t>
      </w:r>
      <w:r>
        <w:rPr>
          <w:rFonts w:hint="eastAsia" w:ascii="楷体_GB2312" w:hAnsi="宋体" w:eastAsia="楷体_GB2312"/>
          <w:sz w:val="30"/>
          <w:szCs w:val="30"/>
        </w:rPr>
        <w:t>年内，项目固定资产投资强度不低于</w:t>
      </w:r>
      <w:r>
        <w:rPr>
          <w:rFonts w:hint="eastAsia" w:ascii="楷体_GB2312" w:hAnsi="宋体" w:eastAsia="楷体_GB2312"/>
          <w:color w:val="000000"/>
          <w:sz w:val="30"/>
          <w:szCs w:val="30"/>
          <w:u w:val="single"/>
        </w:rPr>
        <w:t>7500元</w:t>
      </w:r>
      <w:r>
        <w:rPr>
          <w:rFonts w:ascii="楷体_GB2312" w:hAnsi="宋体" w:eastAsia="楷体_GB2312"/>
          <w:color w:val="000000"/>
          <w:sz w:val="30"/>
          <w:szCs w:val="30"/>
          <w:u w:val="single"/>
        </w:rPr>
        <w:t>/平方米</w:t>
      </w:r>
      <w:r>
        <w:rPr>
          <w:rFonts w:hint="eastAsia" w:ascii="楷体_GB2312" w:hAnsi="宋体" w:eastAsia="楷体_GB2312"/>
          <w:color w:val="000000"/>
          <w:sz w:val="30"/>
          <w:szCs w:val="30"/>
        </w:rPr>
        <w:t>（按建筑面积计算）；自签订土地使用权出让合同之日起</w:t>
      </w:r>
      <w:r>
        <w:rPr>
          <w:rFonts w:hint="eastAsia" w:ascii="楷体_GB2312" w:hAnsi="宋体" w:eastAsia="楷体_GB2312"/>
          <w:color w:val="000000"/>
          <w:sz w:val="30"/>
          <w:szCs w:val="30"/>
          <w:u w:val="single"/>
        </w:rPr>
        <w:t>3</w:t>
      </w:r>
      <w:r>
        <w:rPr>
          <w:rFonts w:hint="eastAsia" w:ascii="楷体_GB2312" w:hAnsi="宋体" w:eastAsia="楷体_GB2312"/>
          <w:color w:val="000000"/>
          <w:sz w:val="30"/>
          <w:szCs w:val="30"/>
        </w:rPr>
        <w:t>年内，项目固定资产投资额总计不少于</w:t>
      </w:r>
      <w:r>
        <w:rPr>
          <w:rFonts w:hint="eastAsia" w:ascii="楷体_GB2312" w:hAnsi="宋体" w:eastAsia="楷体_GB2312"/>
          <w:color w:val="000000"/>
          <w:sz w:val="30"/>
          <w:szCs w:val="30"/>
          <w:u w:val="single"/>
        </w:rPr>
        <w:t>11</w:t>
      </w:r>
      <w:r>
        <w:rPr>
          <w:rFonts w:hint="eastAsia" w:ascii="楷体_GB2312" w:hAnsi="宋体" w:eastAsia="楷体_GB2312"/>
          <w:color w:val="000000"/>
          <w:sz w:val="30"/>
          <w:szCs w:val="30"/>
        </w:rPr>
        <w:t>亿元。（固定资产投资强度=固定资产投资额÷总建筑面积，其中，</w:t>
      </w:r>
      <w:r>
        <w:rPr>
          <w:rFonts w:hint="eastAsia" w:ascii="楷体_GB2312" w:hAnsi="宋体" w:eastAsia="楷体_GB2312"/>
          <w:sz w:val="30"/>
          <w:szCs w:val="30"/>
        </w:rPr>
        <w:t>总建筑面积以本协议第二条地块基本情况中约定的数据为准，固定资产投资额包括厂房、设备和地价款。）</w:t>
      </w:r>
    </w:p>
    <w:p>
      <w:pPr>
        <w:pStyle w:val="2"/>
        <w:ind w:firstLine="600"/>
        <w:rPr>
          <w:rFonts w:ascii="楷体_GB2312" w:eastAsia="楷体_GB2312"/>
          <w:color w:val="auto"/>
          <w:sz w:val="30"/>
          <w:szCs w:val="30"/>
        </w:rPr>
      </w:pPr>
      <w:r>
        <w:rPr>
          <w:rFonts w:hint="eastAsia" w:ascii="楷体_GB2312" w:eastAsia="楷体_GB2312"/>
          <w:color w:val="auto"/>
          <w:sz w:val="30"/>
          <w:szCs w:val="30"/>
        </w:rPr>
        <w:t>2.建设和运营具备国产设备催熟、物料验证的中试平台，开展先进及国产装备和零部件、材料验证，建设科技服务平台，并推动成果在新能源汽车与轨道交通电驱动、新型电力系统、新一代通信和数据中心的基础设施供电等领域开展示范应用，面向中小微企业开放共享，吸引顶尖创新人才，产出重大科技成果，构建自主可控生态，有效形成第三代半导体领域技术创新高地。</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3.项目投产时间为在该宗地的建设项目竣工验收合格并取得建设部门出具的《竣工验收备案收文回执》后</w:t>
      </w:r>
      <w:r>
        <w:rPr>
          <w:rFonts w:hint="eastAsia" w:ascii="楷体_GB2312" w:hAnsi="宋体" w:eastAsia="楷体_GB2312"/>
          <w:sz w:val="30"/>
          <w:szCs w:val="30"/>
          <w:u w:val="single"/>
        </w:rPr>
        <w:t xml:space="preserve"> 6个月 </w:t>
      </w:r>
      <w:r>
        <w:rPr>
          <w:rFonts w:hint="eastAsia" w:ascii="楷体_GB2312" w:hAnsi="宋体" w:eastAsia="楷体_GB2312"/>
          <w:sz w:val="30"/>
          <w:szCs w:val="30"/>
        </w:rPr>
        <w:t>内，分期建设的，自首期建设项目竣工验收合格并取得建设部门出具的《竣工验收备案收文回执》之日起</w:t>
      </w:r>
      <w:r>
        <w:rPr>
          <w:rFonts w:hint="eastAsia" w:ascii="楷体_GB2312" w:hAnsi="宋体" w:eastAsia="楷体_GB2312"/>
          <w:sz w:val="30"/>
          <w:szCs w:val="30"/>
          <w:u w:val="single"/>
        </w:rPr>
        <w:t xml:space="preserve"> 6个月 </w:t>
      </w:r>
      <w:r>
        <w:rPr>
          <w:rFonts w:hint="eastAsia" w:ascii="楷体_GB2312" w:hAnsi="宋体" w:eastAsia="楷体_GB2312"/>
          <w:sz w:val="30"/>
          <w:szCs w:val="30"/>
        </w:rPr>
        <w:t>内；</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4.项目达产时间最迟应在该宗地的建设项目竣工验收合格并取得建设部门出具的《竣工验收备案收文回执》后的</w:t>
      </w:r>
      <w:r>
        <w:rPr>
          <w:rFonts w:hint="eastAsia" w:ascii="楷体_GB2312" w:hAnsi="宋体" w:eastAsia="楷体_GB2312"/>
          <w:sz w:val="30"/>
          <w:szCs w:val="30"/>
          <w:u w:val="single"/>
        </w:rPr>
        <w:t xml:space="preserve"> 5 </w:t>
      </w:r>
      <w:r>
        <w:rPr>
          <w:rFonts w:hint="eastAsia" w:ascii="楷体_GB2312" w:hAnsi="宋体" w:eastAsia="楷体_GB2312"/>
          <w:sz w:val="30"/>
          <w:szCs w:val="30"/>
        </w:rPr>
        <w:t>年内；</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5.产值能耗（单位工业总产值的能耗量）符合国家、省、市相关政策和法律法规要求。</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（三）</w:t>
      </w:r>
      <w:r>
        <w:rPr>
          <w:rFonts w:hint="eastAsia" w:ascii="楷体_GB2312" w:hAnsi="Arial" w:eastAsia="楷体_GB2312" w:cs="Arial"/>
          <w:kern w:val="0"/>
          <w:sz w:val="30"/>
          <w:szCs w:val="30"/>
        </w:rPr>
        <w:t>乙方注册地址不在龙岗区的，</w:t>
      </w:r>
      <w:r>
        <w:rPr>
          <w:rFonts w:hint="eastAsia" w:ascii="楷体_GB2312" w:hAnsi="宋体" w:eastAsia="楷体_GB2312"/>
          <w:sz w:val="30"/>
          <w:szCs w:val="30"/>
        </w:rPr>
        <w:t>乙方在签订土地使用权出让合同后3个月内办理完成变更注册地址到龙岗区的手续。</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（四）乙方承诺土地出让年期内企业注册地址不变更到龙岗区以外的地区。</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（五）乙方不得以股权转让（导致企业控股权或实际控制权发生变更的转让）或变更的方式变相转让建设用地使用权及建筑物。</w:t>
      </w:r>
      <w:r>
        <w:rPr>
          <w:rFonts w:ascii="楷体_GB2312" w:hAnsi="宋体" w:eastAsia="楷体_GB2312"/>
          <w:sz w:val="30"/>
          <w:szCs w:val="30"/>
        </w:rPr>
        <w:t>如因企业经营需要，在不导致企业控股权和实际控制权发生变更的前提下，乙方可经甲方及土地行政主管部门备案后进行股权调整。</w:t>
      </w:r>
    </w:p>
    <w:p>
      <w:pPr>
        <w:adjustRightInd w:val="0"/>
        <w:snapToGrid w:val="0"/>
        <w:spacing w:line="560" w:lineRule="exact"/>
        <w:ind w:firstLine="540" w:firstLineChars="180"/>
        <w:rPr>
          <w:rFonts w:ascii="楷体_GB2312" w:hAnsi="宋体" w:eastAsia="楷体_GB2312"/>
          <w:color w:val="000000"/>
          <w:sz w:val="30"/>
          <w:szCs w:val="30"/>
        </w:rPr>
      </w:pPr>
      <w:r>
        <w:rPr>
          <w:rFonts w:hint="eastAsia" w:ascii="楷体_GB2312" w:hAnsi="宋体" w:eastAsia="楷体_GB2312"/>
          <w:color w:val="000000"/>
          <w:sz w:val="30"/>
          <w:szCs w:val="30"/>
        </w:rPr>
        <w:t>（六）乙方取得项目用地后，不得改变土地用途，建设用地使用权及建筑物不得转让</w:t>
      </w:r>
      <w:r>
        <w:rPr>
          <w:rFonts w:ascii="楷体_GB2312" w:hAnsi="宋体" w:eastAsia="楷体_GB2312"/>
          <w:color w:val="000000"/>
          <w:sz w:val="30"/>
          <w:szCs w:val="30"/>
        </w:rPr>
        <w:t>，</w:t>
      </w:r>
      <w:r>
        <w:rPr>
          <w:rFonts w:hint="eastAsia" w:ascii="楷体_GB2312" w:hAnsi="宋体" w:eastAsia="楷体_GB2312"/>
          <w:color w:val="000000"/>
          <w:sz w:val="30"/>
          <w:szCs w:val="30"/>
        </w:rPr>
        <w:t>初始登记后不得办理分证。</w:t>
      </w:r>
    </w:p>
    <w:p>
      <w:pPr>
        <w:pStyle w:val="2"/>
        <w:ind w:firstLine="600"/>
        <w:rPr>
          <w:color w:val="000000"/>
          <w:highlight w:val="yellow"/>
        </w:rPr>
      </w:pPr>
      <w:r>
        <w:rPr>
          <w:rFonts w:hint="eastAsia" w:ascii="楷体_GB2312" w:eastAsia="楷体_GB2312"/>
          <w:color w:val="000000"/>
          <w:sz w:val="30"/>
          <w:szCs w:val="30"/>
        </w:rPr>
        <w:t>（七）乙方承诺在未经产业用地项目资格审查主管部门批准的情况下，上述产业用地及建成物业在出让年期内不擅自出租；确有出租需要的，允许一定比例用房租赁给产业链相关企业，</w:t>
      </w:r>
      <w:r>
        <w:rPr>
          <w:rFonts w:hint="eastAsia" w:ascii="楷体_GB2312" w:eastAsia="楷体_GB2312"/>
          <w:color w:val="000000"/>
          <w:sz w:val="30"/>
          <w:szCs w:val="30"/>
          <w:u w:val="single"/>
        </w:rPr>
        <w:t>结合项目实际情况在后期监管时落实《深圳市工业及其他产业用地供应管理办法》（深府规〔2019〕4号）中有关出租比例要求，</w:t>
      </w:r>
      <w:r>
        <w:rPr>
          <w:rFonts w:hint="eastAsia" w:ascii="楷体_GB2312" w:eastAsia="楷体_GB2312"/>
          <w:color w:val="000000"/>
          <w:sz w:val="30"/>
          <w:szCs w:val="30"/>
        </w:rPr>
        <w:t>，最高租金为出租时市场评估价的</w:t>
      </w:r>
      <w:r>
        <w:rPr>
          <w:rFonts w:ascii="楷体_GB2312" w:eastAsia="楷体_GB2312"/>
          <w:color w:val="000000"/>
          <w:sz w:val="30"/>
          <w:szCs w:val="30"/>
          <w:u w:val="single"/>
        </w:rPr>
        <w:t>100</w:t>
      </w:r>
      <w:r>
        <w:rPr>
          <w:rFonts w:hint="eastAsia" w:ascii="楷体_GB2312" w:eastAsia="楷体_GB2312"/>
          <w:color w:val="000000"/>
          <w:sz w:val="30"/>
          <w:szCs w:val="30"/>
          <w:u w:val="single"/>
        </w:rPr>
        <w:t>%</w:t>
      </w:r>
      <w:r>
        <w:rPr>
          <w:rFonts w:hint="eastAsia" w:ascii="楷体_GB2312" w:eastAsia="楷体_GB2312"/>
          <w:color w:val="000000"/>
          <w:sz w:val="30"/>
          <w:szCs w:val="30"/>
        </w:rPr>
        <w:t>。</w:t>
      </w:r>
    </w:p>
    <w:p>
      <w:pPr>
        <w:adjustRightInd w:val="0"/>
        <w:snapToGrid w:val="0"/>
        <w:spacing w:line="560" w:lineRule="exact"/>
        <w:ind w:firstLine="540" w:firstLineChars="180"/>
        <w:rPr>
          <w:rFonts w:ascii="楷体_GB2312" w:hAnsi="宋体" w:eastAsia="楷体_GB2312"/>
          <w:sz w:val="30"/>
          <w:szCs w:val="30"/>
        </w:rPr>
      </w:pPr>
      <w:r>
        <w:rPr>
          <w:rFonts w:hint="eastAsia" w:ascii="楷体_GB2312" w:hAnsi="宋体" w:eastAsia="楷体_GB2312"/>
          <w:sz w:val="30"/>
          <w:szCs w:val="30"/>
        </w:rPr>
        <w:t>（</w:t>
      </w:r>
      <w:r>
        <w:rPr>
          <w:rFonts w:ascii="楷体_GB2312" w:hAnsi="宋体" w:eastAsia="楷体_GB2312"/>
          <w:sz w:val="30"/>
          <w:szCs w:val="30"/>
        </w:rPr>
        <w:t>八</w:t>
      </w:r>
      <w:r>
        <w:rPr>
          <w:rFonts w:hint="eastAsia" w:ascii="楷体_GB2312" w:hAnsi="宋体" w:eastAsia="楷体_GB2312"/>
          <w:sz w:val="30"/>
          <w:szCs w:val="30"/>
        </w:rPr>
        <w:t>）乙方承诺引进的企业产值能耗（单位工业总产值的能耗量）符合国家、省、市相关政策和法律法规要求。</w:t>
      </w:r>
    </w:p>
    <w:p>
      <w:pPr>
        <w:adjustRightInd w:val="0"/>
        <w:snapToGrid w:val="0"/>
        <w:spacing w:line="560" w:lineRule="exact"/>
        <w:ind w:firstLine="582" w:firstLineChars="194"/>
        <w:rPr>
          <w:rFonts w:ascii="楷体" w:hAnsi="楷体" w:eastAsia="楷体_GB2312" w:cs="楷体"/>
          <w:sz w:val="30"/>
          <w:szCs w:val="30"/>
        </w:rPr>
      </w:pPr>
      <w:r>
        <w:rPr>
          <w:rFonts w:hint="eastAsia" w:ascii="楷体_GB2312" w:hAnsi="宋体" w:eastAsia="楷体_GB2312"/>
          <w:sz w:val="30"/>
          <w:szCs w:val="30"/>
        </w:rPr>
        <w:t>（</w:t>
      </w:r>
      <w:r>
        <w:rPr>
          <w:rFonts w:ascii="楷体_GB2312" w:hAnsi="宋体" w:eastAsia="楷体_GB2312"/>
          <w:sz w:val="30"/>
          <w:szCs w:val="30"/>
        </w:rPr>
        <w:t>九</w:t>
      </w:r>
      <w:r>
        <w:rPr>
          <w:rFonts w:hint="eastAsia" w:ascii="楷体_GB2312" w:hAnsi="宋体" w:eastAsia="楷体_GB2312"/>
          <w:sz w:val="30"/>
          <w:szCs w:val="30"/>
        </w:rPr>
        <w:t>）本宗地建设项目实行“全方位、全年限”监管机制，乙方应完全履行本协议中的义务，甲方可对乙方的履约情况进行定期或不定期核查，履约核查未通过的，乙方应根据本协议以及甲方的要求限期进行整改，并向甲方提交书面整改报告。</w:t>
      </w:r>
    </w:p>
    <w:p>
      <w:pPr>
        <w:adjustRightInd w:val="0"/>
        <w:snapToGrid w:val="0"/>
        <w:spacing w:line="560" w:lineRule="exact"/>
        <w:ind w:firstLine="560"/>
        <w:rPr>
          <w:rFonts w:ascii="楷体_GB2312" w:hAnsi="宋体" w:eastAsia="楷体_GB2312"/>
          <w:sz w:val="30"/>
          <w:szCs w:val="30"/>
        </w:rPr>
      </w:pPr>
      <w:r>
        <w:rPr>
          <w:rFonts w:hint="eastAsia" w:ascii="楷体_GB2312" w:hAnsi="宋体" w:eastAsia="楷体_GB2312"/>
          <w:sz w:val="30"/>
          <w:szCs w:val="30"/>
        </w:rPr>
        <w:t>（备注：非特别注明的情况下，本协议</w:t>
      </w:r>
      <w:r>
        <w:rPr>
          <w:rFonts w:ascii="楷体_GB2312" w:hAnsi="宋体" w:eastAsia="楷体_GB2312"/>
          <w:sz w:val="30"/>
          <w:szCs w:val="30"/>
        </w:rPr>
        <w:t>条款货币</w:t>
      </w:r>
      <w:r>
        <w:rPr>
          <w:rFonts w:hint="eastAsia" w:ascii="楷体_GB2312" w:hAnsi="宋体" w:eastAsia="楷体_GB2312"/>
          <w:sz w:val="30"/>
          <w:szCs w:val="30"/>
        </w:rPr>
        <w:t>种类</w:t>
      </w:r>
      <w:r>
        <w:rPr>
          <w:rFonts w:ascii="楷体_GB2312" w:hAnsi="宋体" w:eastAsia="楷体_GB2312"/>
          <w:sz w:val="30"/>
          <w:szCs w:val="30"/>
        </w:rPr>
        <w:t>均为人民币</w:t>
      </w:r>
      <w:r>
        <w:rPr>
          <w:rFonts w:hint="eastAsia" w:ascii="楷体_GB2312" w:hAnsi="宋体" w:eastAsia="楷体_GB2312"/>
          <w:sz w:val="30"/>
          <w:szCs w:val="30"/>
        </w:rPr>
        <w:t>）</w:t>
      </w:r>
    </w:p>
    <w:p>
      <w:pPr>
        <w:adjustRightInd w:val="0"/>
        <w:snapToGrid w:val="0"/>
        <w:spacing w:line="560" w:lineRule="exact"/>
        <w:ind w:firstLine="570"/>
        <w:rPr>
          <w:rFonts w:ascii="楷体_GB2312" w:hAnsi="宋体" w:eastAsia="楷体_GB2312"/>
          <w:b/>
          <w:bCs/>
          <w:sz w:val="30"/>
          <w:szCs w:val="30"/>
        </w:rPr>
      </w:pPr>
      <w:r>
        <w:rPr>
          <w:rFonts w:hint="eastAsia" w:ascii="楷体_GB2312" w:hAnsi="宋体" w:eastAsia="楷体_GB2312"/>
          <w:b/>
          <w:bCs/>
          <w:sz w:val="30"/>
          <w:szCs w:val="30"/>
        </w:rPr>
        <w:t>五、履约核查</w:t>
      </w:r>
    </w:p>
    <w:p>
      <w:pPr>
        <w:adjustRightInd w:val="0"/>
        <w:snapToGrid w:val="0"/>
        <w:spacing w:line="560" w:lineRule="exact"/>
        <w:ind w:firstLine="600" w:firstLineChars="200"/>
        <w:rPr>
          <w:rFonts w:ascii="楷体_GB2312" w:hAnsi="宋体" w:eastAsia="楷体_GB2312"/>
          <w:bCs/>
          <w:sz w:val="30"/>
          <w:szCs w:val="30"/>
        </w:rPr>
      </w:pPr>
      <w:bookmarkStart w:id="1" w:name="_Hlk41639096"/>
      <w:r>
        <w:rPr>
          <w:rFonts w:hint="eastAsia" w:ascii="楷体_GB2312" w:hAnsi="宋体" w:eastAsia="楷体_GB2312"/>
          <w:sz w:val="30"/>
          <w:szCs w:val="30"/>
        </w:rPr>
        <w:t>项目投产（竣工验收合格并取得建设部门出具的《竣工验收备案收文回执》）</w:t>
      </w:r>
      <w:bookmarkEnd w:id="1"/>
      <w:r>
        <w:rPr>
          <w:rFonts w:hint="eastAsia" w:ascii="楷体_GB2312" w:hAnsi="宋体" w:eastAsia="楷体_GB2312"/>
          <w:sz w:val="30"/>
          <w:szCs w:val="30"/>
        </w:rPr>
        <w:t>后</w:t>
      </w:r>
      <w:r>
        <w:rPr>
          <w:rFonts w:ascii="楷体_GB2312" w:hAnsi="宋体" w:eastAsia="楷体_GB2312"/>
          <w:bCs/>
          <w:sz w:val="30"/>
          <w:szCs w:val="30"/>
        </w:rPr>
        <w:t>1</w:t>
      </w:r>
      <w:r>
        <w:rPr>
          <w:rFonts w:hint="eastAsia" w:ascii="楷体_GB2312" w:hAnsi="宋体" w:eastAsia="楷体_GB2312"/>
          <w:bCs/>
          <w:sz w:val="30"/>
          <w:szCs w:val="30"/>
        </w:rPr>
        <w:t>年内、项目投产后每隔</w:t>
      </w:r>
      <w:r>
        <w:rPr>
          <w:rFonts w:ascii="楷体_GB2312" w:hAnsi="宋体" w:eastAsia="楷体_GB2312"/>
          <w:bCs/>
          <w:sz w:val="30"/>
          <w:szCs w:val="30"/>
        </w:rPr>
        <w:t>5</w:t>
      </w:r>
      <w:r>
        <w:rPr>
          <w:rFonts w:hint="eastAsia" w:ascii="楷体_GB2312" w:hAnsi="宋体" w:eastAsia="楷体_GB2312"/>
          <w:bCs/>
          <w:sz w:val="30"/>
          <w:szCs w:val="30"/>
        </w:rPr>
        <w:t>年、出让年期届满前</w:t>
      </w:r>
      <w:r>
        <w:rPr>
          <w:rFonts w:ascii="楷体_GB2312" w:hAnsi="宋体" w:eastAsia="楷体_GB2312"/>
          <w:bCs/>
          <w:sz w:val="30"/>
          <w:szCs w:val="30"/>
        </w:rPr>
        <w:t>1</w:t>
      </w:r>
      <w:r>
        <w:rPr>
          <w:rFonts w:hint="eastAsia" w:ascii="楷体_GB2312" w:hAnsi="宋体" w:eastAsia="楷体_GB2312"/>
          <w:bCs/>
          <w:sz w:val="30"/>
          <w:szCs w:val="30"/>
        </w:rPr>
        <w:t>年等阶段后</w:t>
      </w:r>
      <w:r>
        <w:rPr>
          <w:rFonts w:ascii="楷体_GB2312" w:hAnsi="宋体" w:eastAsia="楷体_GB2312"/>
          <w:bCs/>
          <w:sz w:val="30"/>
          <w:szCs w:val="30"/>
        </w:rPr>
        <w:t>90</w:t>
      </w:r>
      <w:r>
        <w:rPr>
          <w:rFonts w:hint="eastAsia" w:ascii="楷体_GB2312" w:hAnsi="宋体" w:eastAsia="楷体_GB2312"/>
          <w:bCs/>
          <w:sz w:val="30"/>
          <w:szCs w:val="30"/>
        </w:rPr>
        <w:t>日内，乙方应向甲方提出履约核查申请。甲方可自行或委托专业机构对本协议约定事项的履行情况进行核查。</w:t>
      </w:r>
    </w:p>
    <w:p>
      <w:pPr>
        <w:adjustRightInd w:val="0"/>
        <w:snapToGrid w:val="0"/>
        <w:spacing w:line="560" w:lineRule="exact"/>
        <w:ind w:firstLine="570"/>
        <w:rPr>
          <w:rFonts w:ascii="楷体_GB2312" w:hAnsi="宋体" w:eastAsia="楷体_GB2312"/>
          <w:bCs/>
          <w:sz w:val="30"/>
          <w:szCs w:val="30"/>
        </w:rPr>
      </w:pPr>
      <w:r>
        <w:rPr>
          <w:rFonts w:hint="eastAsia" w:ascii="楷体_GB2312" w:hAnsi="宋体" w:eastAsia="楷体_GB2312"/>
          <w:bCs/>
          <w:sz w:val="30"/>
          <w:szCs w:val="30"/>
        </w:rPr>
        <w:t>单项审验不合格的，甲方有权要求乙方进行整改，并有权再次进行专项审验。</w:t>
      </w:r>
    </w:p>
    <w:p>
      <w:pPr>
        <w:adjustRightInd w:val="0"/>
        <w:snapToGrid w:val="0"/>
        <w:spacing w:line="560" w:lineRule="exact"/>
        <w:ind w:firstLine="600" w:firstLineChars="200"/>
        <w:rPr>
          <w:rFonts w:ascii="楷体_GB2312" w:hAnsi="宋体" w:eastAsia="楷体_GB2312"/>
          <w:bCs/>
          <w:sz w:val="30"/>
          <w:szCs w:val="30"/>
        </w:rPr>
      </w:pPr>
      <w:r>
        <w:rPr>
          <w:rFonts w:hint="eastAsia" w:ascii="楷体_GB2312" w:hAnsi="宋体" w:eastAsia="楷体_GB2312"/>
          <w:bCs/>
          <w:sz w:val="30"/>
          <w:szCs w:val="30"/>
        </w:rPr>
        <w:t>本协议履行期间，甲方可根据乙方履约情况调整履约核查的时间和频率，确保乙方在本协议项下的各项义务得到全面履行。</w:t>
      </w:r>
    </w:p>
    <w:p>
      <w:pPr>
        <w:numPr>
          <w:ilvl w:val="0"/>
          <w:numId w:val="3"/>
        </w:numPr>
        <w:adjustRightInd w:val="0"/>
        <w:snapToGrid w:val="0"/>
        <w:spacing w:line="560" w:lineRule="exact"/>
        <w:ind w:firstLine="570"/>
        <w:rPr>
          <w:rFonts w:ascii="楷体_GB2312" w:hAnsi="宋体" w:eastAsia="楷体_GB2312"/>
          <w:b/>
          <w:bCs/>
          <w:sz w:val="30"/>
          <w:szCs w:val="30"/>
        </w:rPr>
      </w:pPr>
      <w:r>
        <w:rPr>
          <w:rFonts w:hint="eastAsia" w:ascii="楷体_GB2312" w:hAnsi="宋体" w:eastAsia="楷体_GB2312"/>
          <w:b/>
          <w:bCs/>
          <w:sz w:val="30"/>
          <w:szCs w:val="30"/>
        </w:rPr>
        <w:t>退出机制</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一）乙方因自身原因终止项目投资建设，提出终止履行土地使用权出让合同并申请退还土地的，乙方报经批准土地出让方案的人民政府批准后，分别按以下约定，退还部分土地使用权出让价款（不计利息），由土地出让人收回建设用地，地上建筑物及构筑物的补偿方式在土地使用权出让合同中予以明确：</w:t>
      </w:r>
    </w:p>
    <w:p>
      <w:pPr>
        <w:adjustRightInd w:val="0"/>
        <w:snapToGrid w:val="0"/>
        <w:spacing w:line="560" w:lineRule="exact"/>
        <w:rPr>
          <w:rFonts w:ascii="楷体_GB2312" w:hAnsi="宋体" w:eastAsia="楷体_GB2312"/>
          <w:sz w:val="30"/>
          <w:szCs w:val="30"/>
        </w:rPr>
      </w:pPr>
      <w:r>
        <w:rPr>
          <w:rFonts w:hint="eastAsia" w:ascii="楷体_GB2312" w:hAnsi="宋体" w:eastAsia="楷体_GB2312"/>
          <w:sz w:val="30"/>
          <w:szCs w:val="30"/>
        </w:rPr>
        <w:t xml:space="preserve">    1.超过土地使用权出让合同约定的开工建设日期但未满1年向土地出让人提出申请的，将已缴纳合同剩余年期的土地价款退还土地使用权人；</w:t>
      </w:r>
    </w:p>
    <w:p>
      <w:pPr>
        <w:adjustRightInd w:val="0"/>
        <w:snapToGrid w:val="0"/>
        <w:spacing w:line="560" w:lineRule="exact"/>
        <w:rPr>
          <w:rFonts w:ascii="楷体_GB2312" w:hAnsi="宋体" w:eastAsia="楷体_GB2312"/>
          <w:sz w:val="30"/>
          <w:szCs w:val="30"/>
        </w:rPr>
      </w:pPr>
      <w:r>
        <w:rPr>
          <w:rFonts w:hint="eastAsia" w:ascii="楷体_GB2312" w:hAnsi="宋体" w:eastAsia="楷体_GB2312"/>
          <w:sz w:val="30"/>
          <w:szCs w:val="30"/>
        </w:rPr>
        <w:t xml:space="preserve">    2.超过土地使用权出让合同约定的开工建设日期1年但未满2年向土地出让人提出申请的，按照规定征收土地闲置费用后，将已缴纳合同剩余年期的土地价款退还土地使用权人；</w:t>
      </w:r>
    </w:p>
    <w:p>
      <w:pPr>
        <w:adjustRightInd w:val="0"/>
        <w:snapToGrid w:val="0"/>
        <w:spacing w:line="560" w:lineRule="exact"/>
        <w:rPr>
          <w:rFonts w:ascii="楷体_GB2312" w:hAnsi="宋体" w:eastAsia="楷体_GB2312"/>
          <w:sz w:val="30"/>
          <w:szCs w:val="30"/>
        </w:rPr>
      </w:pPr>
      <w:r>
        <w:rPr>
          <w:rFonts w:hint="eastAsia" w:ascii="楷体_GB2312" w:hAnsi="宋体" w:eastAsia="楷体_GB2312"/>
          <w:sz w:val="30"/>
          <w:szCs w:val="30"/>
        </w:rPr>
        <w:t xml:space="preserve">    报经批准土地出让方案的人民政府后未获得批准的，乙方应继续履行土地使用权出让合同；拒不履行的，建设用地和地上建筑物、构筑物及其附属设施由土地出让人无偿收回；涉嫌闲置的，应当依法依规依约处置。</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二）在本协议约定的达产之后，乙方因自身原因无法运营，可以申请解除土地使用权出让合同。土地出让人可以按照约定终止土地使用权出让合同，收回建设用地，返还剩余年期土地出让价款；对地上建筑物、构筑物及其附属设施由土地出让人按照建造成本折旧后对土地使用权人进行补偿。</w:t>
      </w:r>
    </w:p>
    <w:p>
      <w:pPr>
        <w:adjustRightInd w:val="0"/>
        <w:snapToGrid w:val="0"/>
        <w:spacing w:line="560" w:lineRule="exact"/>
        <w:ind w:firstLine="570"/>
        <w:rPr>
          <w:rFonts w:ascii="楷体_GB2312" w:hAnsi="宋体" w:eastAsia="楷体_GB2312"/>
          <w:b/>
          <w:bCs/>
          <w:sz w:val="30"/>
          <w:szCs w:val="30"/>
        </w:rPr>
      </w:pPr>
      <w:r>
        <w:rPr>
          <w:rFonts w:hint="eastAsia" w:ascii="楷体_GB2312" w:hAnsi="宋体" w:eastAsia="楷体_GB2312"/>
          <w:b/>
          <w:bCs/>
          <w:sz w:val="30"/>
          <w:szCs w:val="30"/>
        </w:rPr>
        <w:t>七、法律责任</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（一）乙方违反本协议第四条“乙方权利义务”约定要求的，甲方有权采取或建议市监、税务等相关部门采取暂停办理企业相关业务手续、停止对乙方提供有关优惠政策等措施。</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二）经甲方核查，乙方、乙方关联企业，及各自法定代表人、负责人、股东、投资人等责任主体存在严重失信行为的，甲方应当依法依规将其列入严重失信主体名单，并报送至市公共信用信息管理系统，由各部门依照职责分工，依法依规实施联合惩戒。在联合惩戒期限内，重点在政府采购、建设工程招投标、政府资金扶持、城市更新、土地竞拍等方面对失信主体予以限制。</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（三）乙方违反本协议约定，应承担违约金的情形：</w:t>
      </w:r>
    </w:p>
    <w:p>
      <w:pPr>
        <w:adjustRightInd w:val="0"/>
        <w:snapToGrid w:val="0"/>
        <w:spacing w:line="560" w:lineRule="exact"/>
        <w:ind w:firstLine="570"/>
        <w:rPr>
          <w:rFonts w:ascii="楷体_GB2312" w:hAnsi="宋体" w:eastAsia="楷体_GB2312"/>
          <w:sz w:val="30"/>
          <w:szCs w:val="30"/>
        </w:rPr>
      </w:pPr>
      <w:r>
        <w:rPr>
          <w:rFonts w:hint="eastAsia" w:ascii="楷体_GB2312" w:hAnsi="宋体" w:eastAsia="楷体_GB2312"/>
          <w:sz w:val="30"/>
          <w:szCs w:val="30"/>
        </w:rPr>
        <w:t>1.经甲方核查，在该宗地上建设项目的固定资产投资强度达不到本协议约定要求的，自甲方出具核查不合格通知书之日起20日内，乙方应向甲方缴纳固定资产投资强度不足部分的5% 即{（约定固定资产投资强度-实际固定资产投资强度）×</w:t>
      </w:r>
      <w:r>
        <w:rPr>
          <w:rFonts w:hint="eastAsia" w:ascii="楷体_GB2312" w:hAnsi="宋体" w:eastAsia="楷体_GB2312"/>
          <w:bCs/>
          <w:sz w:val="30"/>
          <w:szCs w:val="30"/>
        </w:rPr>
        <w:t>总用地面积×</w:t>
      </w:r>
      <w:r>
        <w:rPr>
          <w:rFonts w:hint="eastAsia" w:ascii="楷体_GB2312" w:hAnsi="宋体" w:eastAsia="楷体_GB2312"/>
          <w:sz w:val="30"/>
          <w:szCs w:val="30"/>
        </w:rPr>
        <w:t>5%}作为违约金。</w:t>
      </w:r>
    </w:p>
    <w:p>
      <w:pPr>
        <w:numPr>
          <w:ilvl w:val="0"/>
          <w:numId w:val="4"/>
        </w:numPr>
        <w:tabs>
          <w:tab w:val="clear" w:pos="312"/>
        </w:tabs>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bCs/>
          <w:sz w:val="30"/>
          <w:szCs w:val="30"/>
        </w:rPr>
        <w:t>乙方不按时向甲方提出核查申请，</w:t>
      </w:r>
      <w:r>
        <w:rPr>
          <w:rFonts w:hint="eastAsia" w:ascii="楷体_GB2312" w:hAnsi="宋体" w:eastAsia="楷体_GB2312"/>
          <w:sz w:val="30"/>
          <w:szCs w:val="30"/>
        </w:rPr>
        <w:t>自甲方发出缴款通知书之日起20日内，乙方应向甲方</w:t>
      </w:r>
      <w:r>
        <w:rPr>
          <w:rFonts w:hint="eastAsia" w:ascii="楷体_GB2312" w:hAnsi="宋体" w:eastAsia="楷体_GB2312"/>
          <w:bCs/>
          <w:sz w:val="30"/>
          <w:szCs w:val="30"/>
        </w:rPr>
        <w:t>交</w:t>
      </w:r>
      <w:r>
        <w:rPr>
          <w:rFonts w:hint="eastAsia" w:ascii="楷体_GB2312" w:hAnsi="宋体" w:eastAsia="楷体_GB2312"/>
          <w:sz w:val="30"/>
          <w:szCs w:val="30"/>
        </w:rPr>
        <w:t>纳</w:t>
      </w:r>
      <w:r>
        <w:rPr>
          <w:rFonts w:hint="eastAsia" w:ascii="楷体_GB2312" w:hAnsi="宋体" w:eastAsia="楷体_GB2312"/>
          <w:bCs/>
          <w:sz w:val="30"/>
          <w:szCs w:val="30"/>
        </w:rPr>
        <w:t>10万元</w:t>
      </w:r>
      <w:r>
        <w:rPr>
          <w:rFonts w:hint="eastAsia" w:ascii="楷体_GB2312" w:hAnsi="宋体" w:eastAsia="楷体_GB2312"/>
          <w:sz w:val="30"/>
          <w:szCs w:val="30"/>
        </w:rPr>
        <w:t>违约金，且不因此解除乙方的核查申请义务；</w:t>
      </w:r>
      <w:r>
        <w:rPr>
          <w:rFonts w:hint="eastAsia" w:ascii="楷体_GB2312" w:hAnsi="宋体" w:eastAsia="楷体_GB2312"/>
          <w:bCs/>
          <w:sz w:val="30"/>
          <w:szCs w:val="30"/>
        </w:rPr>
        <w:t>乙方不配合甲方核查的，</w:t>
      </w:r>
      <w:r>
        <w:rPr>
          <w:rFonts w:hint="eastAsia" w:ascii="楷体_GB2312" w:hAnsi="宋体" w:eastAsia="楷体_GB2312"/>
          <w:sz w:val="30"/>
          <w:szCs w:val="30"/>
        </w:rPr>
        <w:t>自甲方发出缴款通知书之日起20日内，乙方应向甲方</w:t>
      </w:r>
      <w:r>
        <w:rPr>
          <w:rFonts w:hint="eastAsia" w:ascii="楷体_GB2312" w:hAnsi="宋体" w:eastAsia="楷体_GB2312"/>
          <w:bCs/>
          <w:sz w:val="30"/>
          <w:szCs w:val="30"/>
        </w:rPr>
        <w:t>交</w:t>
      </w:r>
      <w:r>
        <w:rPr>
          <w:rFonts w:hint="eastAsia" w:ascii="楷体_GB2312" w:hAnsi="宋体" w:eastAsia="楷体_GB2312"/>
          <w:sz w:val="30"/>
          <w:szCs w:val="30"/>
        </w:rPr>
        <w:t>纳</w:t>
      </w:r>
      <w:r>
        <w:rPr>
          <w:rFonts w:hint="eastAsia" w:ascii="楷体_GB2312" w:hAnsi="宋体" w:eastAsia="楷体_GB2312"/>
          <w:bCs/>
          <w:sz w:val="30"/>
          <w:szCs w:val="30"/>
        </w:rPr>
        <w:t>20万元</w:t>
      </w:r>
      <w:r>
        <w:rPr>
          <w:rFonts w:hint="eastAsia" w:ascii="楷体_GB2312" w:hAnsi="宋体" w:eastAsia="楷体_GB2312"/>
          <w:sz w:val="30"/>
          <w:szCs w:val="30"/>
        </w:rPr>
        <w:t>违约金，且不因此解除乙方的核查申请义务。</w:t>
      </w:r>
    </w:p>
    <w:p>
      <w:pPr>
        <w:numPr>
          <w:ilvl w:val="0"/>
          <w:numId w:val="4"/>
        </w:numPr>
        <w:tabs>
          <w:tab w:val="clear" w:pos="312"/>
        </w:tabs>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经甲方核查，乙方违规出租产业用地及建成物业的，甲方有权责令其限期改正，并有权要求其退还违规出租的获利部分。</w:t>
      </w:r>
    </w:p>
    <w:p>
      <w:pPr>
        <w:adjustRightInd w:val="0"/>
        <w:snapToGrid w:val="0"/>
        <w:spacing w:line="560" w:lineRule="exact"/>
        <w:rPr>
          <w:rFonts w:ascii="楷体_GB2312" w:hAnsi="宋体" w:eastAsia="楷体_GB2312"/>
          <w:sz w:val="30"/>
          <w:szCs w:val="30"/>
        </w:rPr>
      </w:pPr>
      <w:r>
        <w:rPr>
          <w:rFonts w:hint="eastAsia" w:ascii="楷体_GB2312" w:hAnsi="宋体" w:eastAsia="楷体_GB2312"/>
          <w:sz w:val="30"/>
          <w:szCs w:val="30"/>
        </w:rPr>
        <w:t xml:space="preserve">    4.乙方未经甲方批准，擅自或变相变更该地块产业类别用途、开发条件；或未取得龙岗区政府及相关土地行政主管部门同意，擅自变更主要股东出资比例、公司股权结构或违反龙岗区的产业政策及发展要求；且拒不整改的，应按照违约行为当年该宗地的土地市场价格向甲方支付违约金（甲方委托第三方专业机构对地价进行评估，相关费用均由乙方承担）。</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乙方按照本条约定应当支付违约金的情况下，自甲方发出缴款通知书之日起20日内，乙方应向甲方交纳违约金，未如期缴纳违约金的，违约金按每日万分之二计息，直至缴清违约金及利息为止。</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四）乙方出现下列情形之一的，甲方有权解除合同并知会深圳市规划和自然资源局龙岗管理局解除土地使用权出让合同，无偿收回土地使用权。地上建筑物、构筑物及其附属设施由土地出让人以成本价减折旧后的价格进行补偿。</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1.乙方在土地出让年期内将注册地址变更到龙岗区以外地区的或逾期未完成将注册地址变更到龙岗区的；</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2.自项目竣工验收后，甲方向乙方首次出具《履约核查不合格通知书》之日起，连续5年项目固定资产投资强度仍都未达到本协议要求的；</w:t>
      </w:r>
    </w:p>
    <w:p>
      <w:pPr>
        <w:adjustRightInd w:val="0"/>
        <w:snapToGrid w:val="0"/>
        <w:spacing w:line="560" w:lineRule="exact"/>
        <w:ind w:firstLine="645"/>
        <w:jc w:val="left"/>
        <w:rPr>
          <w:rFonts w:ascii="楷体_GB2312" w:hAnsi="宋体" w:eastAsia="楷体_GB2312"/>
          <w:sz w:val="30"/>
          <w:szCs w:val="30"/>
        </w:rPr>
      </w:pPr>
      <w:r>
        <w:rPr>
          <w:rFonts w:hint="eastAsia" w:ascii="楷体_GB2312" w:hAnsi="宋体" w:eastAsia="楷体_GB2312"/>
          <w:sz w:val="30"/>
          <w:szCs w:val="30"/>
        </w:rPr>
        <w:t>3.乙方在经营生产过程中严重违反国家、省、市环保、安全生产等相关法律法规规定和政策要求，并拒不改正或整改后未达标的；</w:t>
      </w:r>
    </w:p>
    <w:p>
      <w:pPr>
        <w:adjustRightInd w:val="0"/>
        <w:snapToGrid w:val="0"/>
        <w:spacing w:line="560" w:lineRule="exact"/>
        <w:ind w:firstLine="645"/>
        <w:jc w:val="left"/>
        <w:rPr>
          <w:rFonts w:ascii="楷体_GB2312" w:hAnsi="宋体" w:eastAsia="楷体_GB2312"/>
          <w:color w:val="000000"/>
          <w:sz w:val="30"/>
          <w:szCs w:val="30"/>
        </w:rPr>
      </w:pPr>
      <w:r>
        <w:rPr>
          <w:rFonts w:hint="eastAsia" w:ascii="楷体_GB2312" w:hAnsi="宋体" w:eastAsia="楷体_GB2312"/>
          <w:color w:val="000000"/>
          <w:sz w:val="30"/>
          <w:szCs w:val="30"/>
        </w:rPr>
        <w:t>4.未取得龙岗区政府及相关主管部门同意，</w:t>
      </w:r>
      <w:r>
        <w:rPr>
          <w:rFonts w:hint="eastAsia" w:ascii="楷体_GB2312" w:hAnsi="楷体_GB2312" w:eastAsia="楷体_GB2312" w:cs="楷体_GB2312"/>
          <w:color w:val="000000"/>
          <w:sz w:val="30"/>
          <w:szCs w:val="30"/>
        </w:rPr>
        <w:t>擅自或变相变更该地块产业类别用途、开发条件；或未取得龙岗区政府及相关土地行政主管部门同意，擅自变更主要股东出资比例、公司股权结构或违反龙岗区的产业政策及发展要求；且拒不整改</w:t>
      </w:r>
      <w:r>
        <w:rPr>
          <w:rFonts w:hint="eastAsia" w:ascii="楷体_GB2312" w:hAnsi="宋体" w:eastAsia="楷体_GB2312"/>
          <w:color w:val="000000"/>
          <w:sz w:val="30"/>
          <w:szCs w:val="30"/>
        </w:rPr>
        <w:t>且拒不缴纳违约金的；</w:t>
      </w:r>
    </w:p>
    <w:p>
      <w:pPr>
        <w:adjustRightInd w:val="0"/>
        <w:snapToGrid w:val="0"/>
        <w:spacing w:line="560" w:lineRule="exact"/>
        <w:ind w:firstLine="600" w:firstLineChars="200"/>
        <w:jc w:val="left"/>
        <w:rPr>
          <w:rFonts w:ascii="楷体_GB2312" w:hAnsi="宋体" w:eastAsia="楷体_GB2312"/>
          <w:sz w:val="30"/>
          <w:szCs w:val="30"/>
        </w:rPr>
      </w:pPr>
      <w:r>
        <w:rPr>
          <w:rFonts w:hint="eastAsia" w:ascii="楷体_GB2312" w:hAnsi="宋体" w:eastAsia="楷体_GB2312"/>
          <w:color w:val="000000"/>
          <w:sz w:val="30"/>
          <w:szCs w:val="30"/>
        </w:rPr>
        <w:t>5.除不可抗力外，因乙方自身原因未按约定期限投产和达产，已</w:t>
      </w:r>
      <w:r>
        <w:rPr>
          <w:rFonts w:hint="eastAsia" w:ascii="楷体_GB2312" w:hAnsi="宋体" w:eastAsia="楷体_GB2312"/>
          <w:sz w:val="30"/>
          <w:szCs w:val="30"/>
        </w:rPr>
        <w:t>超过合理期限且被不准予延期的；</w:t>
      </w:r>
    </w:p>
    <w:p>
      <w:pPr>
        <w:adjustRightInd w:val="0"/>
        <w:snapToGrid w:val="0"/>
        <w:spacing w:line="560" w:lineRule="exact"/>
        <w:ind w:firstLine="600" w:firstLineChars="200"/>
        <w:jc w:val="left"/>
        <w:rPr>
          <w:rFonts w:ascii="楷体_GB2312" w:hAnsi="宋体" w:eastAsia="楷体_GB2312"/>
          <w:sz w:val="30"/>
          <w:szCs w:val="30"/>
        </w:rPr>
      </w:pPr>
      <w:r>
        <w:rPr>
          <w:rFonts w:hint="eastAsia" w:ascii="楷体_GB2312" w:hAnsi="宋体" w:eastAsia="楷体_GB2312"/>
          <w:sz w:val="30"/>
          <w:szCs w:val="30"/>
        </w:rPr>
        <w:t>6.违反本协议约定，擅自转让或变相转让建设用地使用权及建筑物的。</w:t>
      </w:r>
    </w:p>
    <w:p>
      <w:pPr>
        <w:adjustRightInd w:val="0"/>
        <w:snapToGrid w:val="0"/>
        <w:spacing w:line="560" w:lineRule="exact"/>
        <w:ind w:firstLine="645"/>
        <w:jc w:val="left"/>
        <w:rPr>
          <w:rFonts w:ascii="楷体_GB2312" w:hAnsi="宋体" w:eastAsia="楷体_GB2312"/>
          <w:sz w:val="30"/>
          <w:szCs w:val="30"/>
        </w:rPr>
      </w:pPr>
      <w:bookmarkStart w:id="2" w:name="_Hlk41639221"/>
      <w:r>
        <w:rPr>
          <w:rFonts w:hint="eastAsia" w:ascii="楷体_GB2312" w:hAnsi="宋体" w:eastAsia="楷体_GB2312"/>
          <w:sz w:val="30"/>
          <w:szCs w:val="30"/>
        </w:rPr>
        <w:t>（五）因全球性经济危机、国际贸易摩擦、国家政策重大改变等因素导致乙方所处的行业领域发展形势严重恶化，进而导致乙方经营生产活动出现严重困难，并直接造成乙方违约的，乙方可向甲方书面提出申请免除全部或者部分违约责任，并向甲方提供相应的材料。甲方在收到乙方的申请后，可结合乙方在龙岗区的综合贡献并报请区政府审定，经区政府审定同意后，甲方可以免除乙方部分或者全部违约责任，但法律另有规定的除外</w:t>
      </w:r>
      <w:bookmarkEnd w:id="2"/>
      <w:r>
        <w:rPr>
          <w:rFonts w:hint="eastAsia" w:ascii="楷体_GB2312" w:hAnsi="宋体" w:eastAsia="楷体_GB2312"/>
          <w:sz w:val="30"/>
          <w:szCs w:val="30"/>
        </w:rPr>
        <w:t>。</w:t>
      </w:r>
    </w:p>
    <w:p>
      <w:pPr>
        <w:adjustRightInd w:val="0"/>
        <w:snapToGrid w:val="0"/>
        <w:spacing w:line="560" w:lineRule="exact"/>
        <w:ind w:firstLine="570"/>
        <w:rPr>
          <w:rFonts w:ascii="楷体_GB2312" w:hAnsi="宋体" w:eastAsia="楷体_GB2312"/>
          <w:b/>
          <w:bCs/>
          <w:sz w:val="30"/>
          <w:szCs w:val="30"/>
        </w:rPr>
      </w:pPr>
      <w:r>
        <w:rPr>
          <w:rFonts w:hint="eastAsia" w:ascii="楷体_GB2312" w:hAnsi="宋体" w:eastAsia="楷体_GB2312"/>
          <w:b/>
          <w:bCs/>
          <w:sz w:val="30"/>
          <w:szCs w:val="30"/>
        </w:rPr>
        <w:t>八、争议解决方式</w:t>
      </w:r>
    </w:p>
    <w:p>
      <w:pPr>
        <w:adjustRightInd w:val="0"/>
        <w:snapToGrid w:val="0"/>
        <w:spacing w:line="560" w:lineRule="exact"/>
        <w:ind w:firstLine="600" w:firstLineChars="200"/>
        <w:rPr>
          <w:rFonts w:ascii="楷体_GB2312" w:hAnsi="宋体" w:eastAsia="楷体_GB2312"/>
          <w:sz w:val="30"/>
          <w:szCs w:val="30"/>
        </w:rPr>
      </w:pPr>
      <w:r>
        <w:rPr>
          <w:rFonts w:ascii="楷体_GB2312" w:hAnsi="宋体" w:eastAsia="楷体_GB2312"/>
          <w:sz w:val="30"/>
          <w:szCs w:val="30"/>
        </w:rPr>
        <w:t>因履行本</w:t>
      </w:r>
      <w:r>
        <w:rPr>
          <w:rFonts w:hint="eastAsia" w:ascii="楷体_GB2312" w:hAnsi="宋体" w:eastAsia="楷体_GB2312"/>
          <w:sz w:val="30"/>
          <w:szCs w:val="30"/>
        </w:rPr>
        <w:t>协议书引</w:t>
      </w:r>
      <w:r>
        <w:rPr>
          <w:rFonts w:ascii="楷体_GB2312" w:hAnsi="宋体" w:eastAsia="楷体_GB2312"/>
          <w:sz w:val="30"/>
          <w:szCs w:val="30"/>
        </w:rPr>
        <w:t>发争议的</w:t>
      </w:r>
      <w:r>
        <w:rPr>
          <w:rFonts w:hint="eastAsia" w:ascii="楷体_GB2312" w:hAnsi="宋体" w:eastAsia="楷体_GB2312"/>
          <w:sz w:val="30"/>
          <w:szCs w:val="30"/>
        </w:rPr>
        <w:t>，</w:t>
      </w:r>
      <w:r>
        <w:rPr>
          <w:rFonts w:ascii="楷体_GB2312" w:hAnsi="宋体" w:eastAsia="楷体_GB2312"/>
          <w:sz w:val="30"/>
          <w:szCs w:val="30"/>
        </w:rPr>
        <w:t>由双方协商解决；若协商不成，任何一方有权向该重点产业用地所在地人民法院提起诉讼</w:t>
      </w:r>
      <w:r>
        <w:rPr>
          <w:rFonts w:hint="eastAsia" w:ascii="楷体_GB2312" w:hAnsi="宋体" w:eastAsia="楷体_GB2312"/>
          <w:sz w:val="30"/>
          <w:szCs w:val="30"/>
        </w:rPr>
        <w:t>。</w:t>
      </w:r>
    </w:p>
    <w:p>
      <w:pPr>
        <w:pStyle w:val="3"/>
        <w:adjustRightInd w:val="0"/>
        <w:snapToGrid w:val="0"/>
        <w:spacing w:line="560" w:lineRule="exact"/>
        <w:ind w:right="-34" w:rightChars="-16"/>
        <w:rPr>
          <w:rFonts w:ascii="楷体_GB2312" w:eastAsia="楷体_GB2312"/>
          <w:b/>
          <w:sz w:val="30"/>
          <w:szCs w:val="30"/>
        </w:rPr>
      </w:pPr>
      <w:r>
        <w:rPr>
          <w:rFonts w:hint="eastAsia" w:ascii="楷体_GB2312" w:eastAsia="楷体_GB2312"/>
          <w:b/>
          <w:bCs/>
          <w:sz w:val="30"/>
          <w:szCs w:val="30"/>
        </w:rPr>
        <w:t>九、其他</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一）本协议中乙方应达到的产值规模（营业收入）和税收贡献，履约核查时的统计口径以乙方（含乙方分支机构）及其控股50%以上在龙岗区注册的一级、二级子公司作为统计核算口径。各年度股权关系以当年12月31日股权登记状况为准。</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（备注：子公司已有其他产业发展监管协议或合同约定相关产值规模（营业收入）和税收贡献的，该部分产值规模（营业收入）和税收不得重复计入乙方的统计范围）</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（二）非特别注明的情况下，本协议条款货币种类均为人民币。</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三）企业年度税收贡献以税务机关出具的“纳税证明”为准，包括企业所得税、增值税、城市维护建设税、印花税、地方教育附加、教育费附加、房产税、城镇土地使用税、文化事业建设费、个人所得税等自缴税费和代扣（收）代缴税费。</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（四）履约核查时项目固定资产投资以经审计的财务报表为准。</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（五）本协议中的土地出让人是指本宗地的《国有建设用地使用权出让合同》中的甲方。</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（六）本协议所称的主要股东出资比例、公司股权结构发生变动是指会导致企业控股权或实际控制权发生变更的股权转让。</w:t>
      </w:r>
    </w:p>
    <w:p>
      <w:pPr>
        <w:adjustRightInd w:val="0"/>
        <w:snapToGrid w:val="0"/>
        <w:spacing w:line="560" w:lineRule="exact"/>
        <w:ind w:firstLine="600" w:firstLineChars="200"/>
        <w:rPr>
          <w:rFonts w:ascii="楷体_GB2312" w:hAnsi="宋体" w:eastAsia="楷体_GB2312"/>
          <w:sz w:val="30"/>
          <w:szCs w:val="30"/>
        </w:rPr>
      </w:pPr>
      <w:r>
        <w:rPr>
          <w:rFonts w:hint="eastAsia" w:ascii="楷体_GB2312" w:hAnsi="宋体" w:eastAsia="楷体_GB2312"/>
          <w:sz w:val="30"/>
          <w:szCs w:val="30"/>
        </w:rPr>
        <w:t>（七）本协议履行过程中，对协议中部分名词含义的理解存在不同意见的，以甲方的解释为准。</w:t>
      </w:r>
    </w:p>
    <w:p>
      <w:pPr>
        <w:pStyle w:val="3"/>
        <w:adjustRightInd w:val="0"/>
        <w:snapToGrid w:val="0"/>
        <w:spacing w:line="560" w:lineRule="exact"/>
        <w:ind w:right="-34" w:rightChars="-16"/>
        <w:rPr>
          <w:rFonts w:ascii="楷体_GB2312" w:eastAsia="楷体_GB2312"/>
          <w:b/>
          <w:sz w:val="30"/>
          <w:szCs w:val="30"/>
        </w:rPr>
      </w:pPr>
      <w:r>
        <w:rPr>
          <w:rFonts w:hint="eastAsia" w:ascii="楷体_GB2312" w:eastAsia="楷体_GB2312"/>
          <w:b/>
          <w:bCs/>
          <w:sz w:val="30"/>
          <w:szCs w:val="30"/>
        </w:rPr>
        <w:t>十、合同效力</w:t>
      </w:r>
    </w:p>
    <w:p>
      <w:pPr>
        <w:pStyle w:val="3"/>
        <w:adjustRightInd w:val="0"/>
        <w:snapToGrid w:val="0"/>
        <w:spacing w:line="560" w:lineRule="exact"/>
        <w:rPr>
          <w:rFonts w:ascii="楷体_GB2312" w:eastAsia="楷体_GB2312"/>
          <w:sz w:val="30"/>
          <w:szCs w:val="30"/>
        </w:rPr>
      </w:pPr>
      <w:r>
        <w:rPr>
          <w:rFonts w:hint="eastAsia" w:ascii="楷体_GB2312" w:eastAsia="楷体_GB2312"/>
          <w:sz w:val="30"/>
          <w:szCs w:val="30"/>
        </w:rPr>
        <w:t>本协议书一式八份，具有同等法律效力，甲乙双方各执一份，其余六份作为该宗建设用地土地使用权出让合同的附件。</w:t>
      </w:r>
    </w:p>
    <w:p>
      <w:pPr>
        <w:pStyle w:val="3"/>
        <w:adjustRightInd w:val="0"/>
        <w:snapToGrid w:val="0"/>
        <w:spacing w:line="560" w:lineRule="exact"/>
        <w:rPr>
          <w:rFonts w:ascii="楷体_GB2312" w:eastAsia="楷体_GB2312"/>
          <w:sz w:val="30"/>
          <w:szCs w:val="30"/>
        </w:rPr>
      </w:pPr>
      <w:r>
        <w:rPr>
          <w:rFonts w:hint="eastAsia" w:ascii="楷体_GB2312" w:eastAsia="楷体_GB2312"/>
          <w:sz w:val="30"/>
          <w:szCs w:val="30"/>
        </w:rPr>
        <w:t>本协议书自甲乙双方</w:t>
      </w:r>
      <w:bookmarkStart w:id="3" w:name="_Hlk41639249"/>
      <w:r>
        <w:rPr>
          <w:rFonts w:hint="eastAsia" w:ascii="楷体_GB2312" w:eastAsia="楷体_GB2312"/>
          <w:sz w:val="30"/>
          <w:szCs w:val="30"/>
        </w:rPr>
        <w:t>法定代表人或委托代理人</w:t>
      </w:r>
      <w:bookmarkEnd w:id="3"/>
      <w:r>
        <w:rPr>
          <w:rFonts w:hint="eastAsia" w:ascii="楷体_GB2312" w:eastAsia="楷体_GB2312"/>
          <w:sz w:val="30"/>
          <w:szCs w:val="30"/>
        </w:rPr>
        <w:t>签字并</w:t>
      </w:r>
      <w:bookmarkStart w:id="4" w:name="_Hlk41639816"/>
      <w:r>
        <w:rPr>
          <w:rFonts w:hint="eastAsia" w:ascii="楷体_GB2312" w:eastAsia="楷体_GB2312"/>
          <w:sz w:val="30"/>
          <w:szCs w:val="30"/>
        </w:rPr>
        <w:t>加</w:t>
      </w:r>
      <w:bookmarkEnd w:id="4"/>
      <w:r>
        <w:rPr>
          <w:rFonts w:hint="eastAsia" w:ascii="楷体_GB2312" w:eastAsia="楷体_GB2312"/>
          <w:sz w:val="30"/>
          <w:szCs w:val="30"/>
        </w:rPr>
        <w:t>盖公章之日起生效。</w:t>
      </w:r>
    </w:p>
    <w:p>
      <w:pPr>
        <w:pStyle w:val="3"/>
        <w:adjustRightInd w:val="0"/>
        <w:snapToGrid w:val="0"/>
        <w:spacing w:line="560" w:lineRule="exact"/>
        <w:ind w:right="-34" w:rightChars="-16"/>
        <w:rPr>
          <w:rFonts w:ascii="楷体_GB2312" w:eastAsia="楷体_GB2312"/>
          <w:sz w:val="30"/>
          <w:szCs w:val="30"/>
        </w:rPr>
      </w:pPr>
      <w:r>
        <w:rPr>
          <w:rFonts w:hint="eastAsia" w:ascii="楷体_GB2312" w:eastAsia="楷体_GB2312"/>
          <w:sz w:val="30"/>
          <w:szCs w:val="30"/>
        </w:rPr>
        <w:t>本协议书未尽事宜，经甲乙双方协商一致，可另行签订补充协议，补充协议与本协议书具有同等法律效力。</w:t>
      </w:r>
    </w:p>
    <w:p>
      <w:pPr>
        <w:pStyle w:val="3"/>
        <w:adjustRightInd w:val="0"/>
        <w:snapToGrid w:val="0"/>
        <w:spacing w:line="560" w:lineRule="exact"/>
        <w:ind w:right="-34" w:rightChars="-16"/>
        <w:rPr>
          <w:rFonts w:ascii="楷体_GB2312" w:eastAsia="楷体_GB2312"/>
          <w:sz w:val="30"/>
          <w:szCs w:val="30"/>
        </w:rPr>
      </w:pPr>
    </w:p>
    <w:p>
      <w:pPr>
        <w:adjustRightInd w:val="0"/>
        <w:snapToGrid w:val="0"/>
        <w:spacing w:line="560" w:lineRule="exact"/>
        <w:ind w:firstLine="600" w:firstLineChars="200"/>
        <w:rPr>
          <w:rFonts w:ascii="楷体_GB2312" w:hAnsi="宋体" w:eastAsia="楷体_GB2312"/>
          <w:bCs/>
          <w:sz w:val="30"/>
          <w:szCs w:val="30"/>
        </w:rPr>
      </w:pPr>
      <w:r>
        <w:rPr>
          <w:rFonts w:hint="eastAsia" w:ascii="楷体_GB2312" w:hAnsi="宋体" w:eastAsia="楷体_GB2312"/>
          <w:bCs/>
          <w:sz w:val="30"/>
          <w:szCs w:val="30"/>
        </w:rPr>
        <w:t>（以下无正文）</w:t>
      </w:r>
    </w:p>
    <w:p>
      <w:pPr>
        <w:adjustRightInd w:val="0"/>
        <w:snapToGrid w:val="0"/>
        <w:spacing w:line="560" w:lineRule="exact"/>
        <w:rPr>
          <w:rFonts w:ascii="楷体_GB2312" w:hAnsi="宋体" w:eastAsia="楷体_GB2312"/>
          <w:bCs/>
          <w:sz w:val="30"/>
          <w:szCs w:val="30"/>
        </w:rPr>
      </w:pPr>
    </w:p>
    <w:p>
      <w:pPr>
        <w:adjustRightInd w:val="0"/>
        <w:snapToGrid w:val="0"/>
        <w:spacing w:line="560" w:lineRule="exact"/>
        <w:rPr>
          <w:rFonts w:ascii="楷体_GB2312" w:hAnsi="宋体" w:eastAsia="楷体_GB2312"/>
          <w:bCs/>
          <w:sz w:val="30"/>
          <w:szCs w:val="30"/>
        </w:rPr>
      </w:pPr>
    </w:p>
    <w:p>
      <w:pPr>
        <w:adjustRightInd w:val="0"/>
        <w:snapToGrid w:val="0"/>
        <w:spacing w:line="560" w:lineRule="exact"/>
        <w:rPr>
          <w:rFonts w:ascii="楷体_GB2312" w:hAnsi="宋体" w:eastAsia="楷体_GB2312"/>
          <w:bCs/>
          <w:sz w:val="30"/>
          <w:szCs w:val="30"/>
        </w:rPr>
      </w:pPr>
    </w:p>
    <w:p>
      <w:pPr>
        <w:adjustRightInd w:val="0"/>
        <w:snapToGrid w:val="0"/>
        <w:spacing w:line="560" w:lineRule="exact"/>
        <w:rPr>
          <w:rFonts w:ascii="楷体_GB2312" w:hAnsi="宋体" w:eastAsia="楷体_GB2312"/>
          <w:bCs/>
          <w:sz w:val="30"/>
          <w:szCs w:val="30"/>
        </w:rPr>
      </w:pPr>
    </w:p>
    <w:p>
      <w:pPr>
        <w:adjustRightInd w:val="0"/>
        <w:snapToGrid w:val="0"/>
        <w:spacing w:line="560" w:lineRule="exact"/>
        <w:rPr>
          <w:rFonts w:ascii="楷体_GB2312" w:hAnsi="宋体" w:eastAsia="楷体_GB2312"/>
          <w:bCs/>
          <w:sz w:val="30"/>
          <w:szCs w:val="30"/>
        </w:rPr>
      </w:pPr>
    </w:p>
    <w:p>
      <w:pPr>
        <w:rPr>
          <w:rFonts w:ascii="楷体_GB2312" w:hAnsi="宋体" w:eastAsia="楷体_GB2312"/>
          <w:bCs/>
          <w:sz w:val="30"/>
          <w:szCs w:val="30"/>
        </w:rPr>
      </w:pPr>
      <w:r>
        <w:rPr>
          <w:rFonts w:hint="eastAsia" w:ascii="楷体_GB2312" w:hAnsi="宋体" w:eastAsia="楷体_GB2312"/>
          <w:bCs/>
          <w:sz w:val="30"/>
          <w:szCs w:val="30"/>
        </w:rPr>
        <w:br w:type="page"/>
      </w:r>
      <w:r>
        <w:rPr>
          <w:rFonts w:hint="eastAsia" w:ascii="楷体_GB2312" w:hAnsi="宋体" w:eastAsia="楷体_GB2312"/>
          <w:bCs/>
          <w:sz w:val="30"/>
          <w:szCs w:val="30"/>
        </w:rPr>
        <w:t>（本页为签署页）</w:t>
      </w:r>
    </w:p>
    <w:p>
      <w:pPr>
        <w:adjustRightInd w:val="0"/>
        <w:snapToGrid w:val="0"/>
        <w:spacing w:line="560" w:lineRule="exact"/>
        <w:ind w:left="904" w:hanging="904" w:hangingChars="300"/>
        <w:rPr>
          <w:rFonts w:ascii="楷体_GB2312" w:hAnsi="宋体" w:eastAsia="楷体_GB2312"/>
          <w:b/>
          <w:sz w:val="30"/>
          <w:szCs w:val="30"/>
        </w:rPr>
      </w:pPr>
    </w:p>
    <w:p>
      <w:pPr>
        <w:adjustRightInd w:val="0"/>
        <w:snapToGrid w:val="0"/>
        <w:spacing w:line="560" w:lineRule="exact"/>
        <w:ind w:left="904" w:hanging="904" w:hangingChars="300"/>
        <w:rPr>
          <w:rFonts w:ascii="楷体_GB2312" w:hAnsi="宋体" w:eastAsia="楷体_GB2312"/>
          <w:b/>
          <w:sz w:val="30"/>
          <w:szCs w:val="30"/>
        </w:rPr>
      </w:pPr>
    </w:p>
    <w:p>
      <w:pPr>
        <w:adjustRightInd w:val="0"/>
        <w:snapToGrid w:val="0"/>
        <w:spacing w:line="560" w:lineRule="exact"/>
        <w:ind w:left="904" w:hanging="904" w:hangingChars="300"/>
        <w:rPr>
          <w:rFonts w:ascii="楷体_GB2312" w:hAnsi="宋体" w:eastAsia="楷体_GB2312"/>
          <w:b/>
          <w:sz w:val="30"/>
          <w:szCs w:val="30"/>
        </w:rPr>
      </w:pPr>
    </w:p>
    <w:p>
      <w:pPr>
        <w:adjustRightInd w:val="0"/>
        <w:snapToGrid w:val="0"/>
        <w:spacing w:line="560" w:lineRule="exact"/>
        <w:ind w:left="904" w:hanging="904" w:hangingChars="300"/>
        <w:rPr>
          <w:rFonts w:ascii="楷体_GB2312" w:hAnsi="宋体" w:eastAsia="楷体_GB2312"/>
          <w:b/>
          <w:sz w:val="30"/>
          <w:szCs w:val="30"/>
        </w:rPr>
      </w:pPr>
      <w:r>
        <w:rPr>
          <w:rFonts w:hint="eastAsia" w:ascii="楷体_GB2312" w:hAnsi="宋体" w:eastAsia="楷体_GB2312"/>
          <w:b/>
          <w:sz w:val="30"/>
          <w:szCs w:val="30"/>
        </w:rPr>
        <w:t xml:space="preserve">甲方（盖章）： </w:t>
      </w:r>
    </w:p>
    <w:p>
      <w:pPr>
        <w:adjustRightInd w:val="0"/>
        <w:snapToGrid w:val="0"/>
        <w:spacing w:line="560" w:lineRule="exact"/>
        <w:rPr>
          <w:rFonts w:ascii="楷体_GB2312" w:hAnsi="宋体" w:eastAsia="楷体_GB2312"/>
          <w:b/>
          <w:sz w:val="30"/>
          <w:szCs w:val="30"/>
        </w:rPr>
      </w:pPr>
      <w:r>
        <w:rPr>
          <w:rFonts w:hint="eastAsia" w:ascii="楷体_GB2312" w:hAnsi="宋体" w:eastAsia="楷体_GB2312"/>
          <w:b/>
          <w:sz w:val="30"/>
          <w:szCs w:val="30"/>
        </w:rPr>
        <w:t>法定代表人：</w:t>
      </w:r>
      <w:r>
        <w:rPr>
          <w:rFonts w:hint="eastAsia" w:ascii="楷体_GB2312" w:hAnsi="宋体" w:eastAsia="楷体_GB2312"/>
          <w:b/>
          <w:sz w:val="30"/>
          <w:szCs w:val="30"/>
          <w:u w:val="single"/>
        </w:rPr>
        <w:t xml:space="preserve">                        </w:t>
      </w:r>
    </w:p>
    <w:p>
      <w:pPr>
        <w:adjustRightInd w:val="0"/>
        <w:snapToGrid w:val="0"/>
        <w:spacing w:line="560" w:lineRule="exact"/>
        <w:rPr>
          <w:rFonts w:ascii="楷体_GB2312" w:hAnsi="宋体" w:eastAsia="楷体_GB2312"/>
          <w:b/>
          <w:sz w:val="30"/>
          <w:szCs w:val="30"/>
        </w:rPr>
      </w:pPr>
    </w:p>
    <w:p>
      <w:pPr>
        <w:adjustRightInd w:val="0"/>
        <w:snapToGrid w:val="0"/>
        <w:spacing w:line="560" w:lineRule="exact"/>
        <w:rPr>
          <w:rFonts w:ascii="楷体_GB2312" w:hAnsi="宋体" w:eastAsia="楷体_GB2312"/>
          <w:b/>
          <w:sz w:val="30"/>
          <w:szCs w:val="30"/>
        </w:rPr>
      </w:pPr>
      <w:r>
        <w:rPr>
          <w:rFonts w:hint="eastAsia" w:ascii="楷体_GB2312" w:hAnsi="宋体" w:eastAsia="楷体_GB2312"/>
          <w:b/>
          <w:sz w:val="30"/>
          <w:szCs w:val="30"/>
        </w:rPr>
        <w:t>委托代理人：</w:t>
      </w:r>
      <w:r>
        <w:rPr>
          <w:rFonts w:hint="eastAsia" w:ascii="楷体_GB2312" w:hAnsi="宋体" w:eastAsia="楷体_GB2312"/>
          <w:b/>
          <w:sz w:val="30"/>
          <w:szCs w:val="30"/>
          <w:u w:val="single"/>
        </w:rPr>
        <w:t xml:space="preserve">                        </w:t>
      </w:r>
    </w:p>
    <w:p>
      <w:pPr>
        <w:adjustRightInd w:val="0"/>
        <w:snapToGrid w:val="0"/>
        <w:spacing w:line="560" w:lineRule="exact"/>
        <w:rPr>
          <w:rFonts w:ascii="楷体_GB2312" w:hAnsi="宋体" w:eastAsia="楷体_GB2312"/>
          <w:sz w:val="30"/>
          <w:szCs w:val="30"/>
        </w:rPr>
      </w:pPr>
    </w:p>
    <w:p>
      <w:pPr>
        <w:adjustRightInd w:val="0"/>
        <w:snapToGrid w:val="0"/>
        <w:spacing w:line="560" w:lineRule="exact"/>
        <w:rPr>
          <w:rFonts w:ascii="楷体_GB2312" w:hAnsi="宋体" w:eastAsia="楷体_GB2312"/>
          <w:sz w:val="30"/>
          <w:szCs w:val="30"/>
        </w:rPr>
      </w:pPr>
    </w:p>
    <w:p>
      <w:pPr>
        <w:adjustRightInd w:val="0"/>
        <w:snapToGrid w:val="0"/>
        <w:spacing w:line="560" w:lineRule="exact"/>
        <w:ind w:left="602" w:hanging="602" w:hangingChars="200"/>
        <w:rPr>
          <w:rFonts w:ascii="楷体_GB2312" w:hAnsi="宋体" w:eastAsia="楷体_GB2312"/>
          <w:b/>
          <w:sz w:val="30"/>
          <w:szCs w:val="30"/>
        </w:rPr>
      </w:pPr>
      <w:r>
        <w:rPr>
          <w:rFonts w:hint="eastAsia" w:ascii="楷体_GB2312" w:hAnsi="宋体" w:eastAsia="楷体_GB2312"/>
          <w:b/>
          <w:sz w:val="30"/>
          <w:szCs w:val="30"/>
        </w:rPr>
        <w:t>乙方（盖章）：</w:t>
      </w:r>
    </w:p>
    <w:p>
      <w:pPr>
        <w:adjustRightInd w:val="0"/>
        <w:snapToGrid w:val="0"/>
        <w:spacing w:line="560" w:lineRule="exact"/>
        <w:rPr>
          <w:rFonts w:ascii="楷体_GB2312" w:hAnsi="宋体" w:eastAsia="楷体_GB2312"/>
          <w:b/>
          <w:sz w:val="30"/>
          <w:szCs w:val="30"/>
        </w:rPr>
      </w:pPr>
      <w:r>
        <w:rPr>
          <w:rFonts w:hint="eastAsia" w:ascii="楷体_GB2312" w:hAnsi="宋体" w:eastAsia="楷体_GB2312"/>
          <w:b/>
          <w:sz w:val="30"/>
          <w:szCs w:val="30"/>
        </w:rPr>
        <w:t>法定代表人：</w:t>
      </w:r>
      <w:r>
        <w:rPr>
          <w:rFonts w:hint="eastAsia" w:ascii="楷体_GB2312" w:hAnsi="宋体" w:eastAsia="楷体_GB2312"/>
          <w:b/>
          <w:sz w:val="30"/>
          <w:szCs w:val="30"/>
          <w:u w:val="single"/>
        </w:rPr>
        <w:t xml:space="preserve">                        </w:t>
      </w:r>
    </w:p>
    <w:p>
      <w:pPr>
        <w:adjustRightInd w:val="0"/>
        <w:snapToGrid w:val="0"/>
        <w:spacing w:line="560" w:lineRule="exact"/>
        <w:rPr>
          <w:rFonts w:ascii="楷体_GB2312" w:hAnsi="宋体" w:eastAsia="楷体_GB2312"/>
          <w:b/>
          <w:sz w:val="30"/>
          <w:szCs w:val="30"/>
        </w:rPr>
      </w:pPr>
    </w:p>
    <w:p>
      <w:pPr>
        <w:adjustRightInd w:val="0"/>
        <w:snapToGrid w:val="0"/>
        <w:spacing w:line="560" w:lineRule="exact"/>
        <w:rPr>
          <w:rFonts w:ascii="楷体_GB2312" w:hAnsi="宋体" w:eastAsia="楷体_GB2312"/>
          <w:b/>
          <w:sz w:val="30"/>
          <w:szCs w:val="30"/>
        </w:rPr>
      </w:pPr>
      <w:r>
        <w:rPr>
          <w:rFonts w:hint="eastAsia" w:ascii="楷体_GB2312" w:hAnsi="宋体" w:eastAsia="楷体_GB2312"/>
          <w:b/>
          <w:sz w:val="30"/>
          <w:szCs w:val="30"/>
        </w:rPr>
        <w:t>委托代理人：</w:t>
      </w:r>
      <w:r>
        <w:rPr>
          <w:rFonts w:hint="eastAsia" w:ascii="楷体_GB2312" w:hAnsi="宋体" w:eastAsia="楷体_GB2312"/>
          <w:b/>
          <w:sz w:val="30"/>
          <w:szCs w:val="30"/>
          <w:u w:val="single"/>
        </w:rPr>
        <w:t xml:space="preserve">                        </w:t>
      </w:r>
    </w:p>
    <w:p>
      <w:pPr>
        <w:adjustRightInd w:val="0"/>
        <w:snapToGrid w:val="0"/>
        <w:spacing w:line="560" w:lineRule="exact"/>
        <w:rPr>
          <w:rFonts w:ascii="楷体_GB2312" w:hAnsi="宋体" w:eastAsia="楷体_GB2312"/>
          <w:b/>
          <w:sz w:val="30"/>
          <w:szCs w:val="30"/>
        </w:rPr>
      </w:pPr>
    </w:p>
    <w:p>
      <w:pPr>
        <w:adjustRightInd w:val="0"/>
        <w:snapToGrid w:val="0"/>
        <w:spacing w:line="560" w:lineRule="exact"/>
        <w:rPr>
          <w:rFonts w:ascii="楷体_GB2312" w:hAnsi="宋体" w:eastAsia="楷体_GB2312"/>
          <w:b/>
          <w:sz w:val="30"/>
          <w:szCs w:val="30"/>
        </w:rPr>
      </w:pPr>
    </w:p>
    <w:p>
      <w:pPr>
        <w:adjustRightInd w:val="0"/>
        <w:snapToGrid w:val="0"/>
        <w:spacing w:line="560" w:lineRule="exact"/>
        <w:jc w:val="right"/>
        <w:rPr>
          <w:rFonts w:ascii="楷体_GB2312" w:hAnsi="宋体" w:eastAsia="楷体_GB2312"/>
          <w:b/>
          <w:sz w:val="30"/>
          <w:szCs w:val="30"/>
        </w:rPr>
      </w:pPr>
      <w:r>
        <w:rPr>
          <w:rFonts w:hint="eastAsia" w:ascii="楷体_GB2312" w:hAnsi="宋体" w:eastAsia="楷体_GB2312"/>
          <w:b/>
          <w:sz w:val="30"/>
          <w:szCs w:val="30"/>
        </w:rPr>
        <w:t>签订日期：</w:t>
      </w:r>
      <w:r>
        <w:rPr>
          <w:rFonts w:hint="eastAsia" w:ascii="楷体_GB2312" w:hAnsi="宋体" w:eastAsia="楷体_GB2312"/>
          <w:b/>
          <w:sz w:val="30"/>
          <w:szCs w:val="30"/>
          <w:u w:val="single"/>
        </w:rPr>
        <w:t xml:space="preserve">     </w:t>
      </w:r>
      <w:r>
        <w:rPr>
          <w:rFonts w:hint="eastAsia" w:ascii="楷体_GB2312" w:hAnsi="宋体" w:eastAsia="楷体_GB2312"/>
          <w:b/>
          <w:sz w:val="30"/>
          <w:szCs w:val="30"/>
        </w:rPr>
        <w:t>年</w:t>
      </w:r>
      <w:r>
        <w:rPr>
          <w:rFonts w:hint="eastAsia" w:ascii="楷体_GB2312" w:hAnsi="宋体" w:eastAsia="楷体_GB2312"/>
          <w:b/>
          <w:sz w:val="30"/>
          <w:szCs w:val="30"/>
          <w:u w:val="single"/>
        </w:rPr>
        <w:t xml:space="preserve">  　</w:t>
      </w:r>
      <w:r>
        <w:rPr>
          <w:rFonts w:hint="eastAsia" w:ascii="楷体_GB2312" w:hAnsi="宋体" w:eastAsia="楷体_GB2312"/>
          <w:b/>
          <w:sz w:val="30"/>
          <w:szCs w:val="30"/>
        </w:rPr>
        <w:t>月</w:t>
      </w:r>
      <w:r>
        <w:rPr>
          <w:rFonts w:hint="eastAsia" w:ascii="楷体_GB2312" w:hAnsi="宋体" w:eastAsia="楷体_GB2312"/>
          <w:b/>
          <w:sz w:val="30"/>
          <w:szCs w:val="30"/>
          <w:u w:val="single"/>
        </w:rPr>
        <w:t xml:space="preserve">   </w:t>
      </w:r>
      <w:r>
        <w:rPr>
          <w:rFonts w:hint="eastAsia" w:ascii="楷体_GB2312" w:hAnsi="宋体" w:eastAsia="楷体_GB2312"/>
          <w:b/>
          <w:sz w:val="30"/>
          <w:szCs w:val="30"/>
        </w:rPr>
        <w:t>日</w:t>
      </w:r>
    </w:p>
    <w:p>
      <w:pPr>
        <w:adjustRightInd w:val="0"/>
        <w:snapToGrid w:val="0"/>
        <w:spacing w:line="560" w:lineRule="exact"/>
        <w:jc w:val="right"/>
        <w:rPr>
          <w:rFonts w:ascii="楷体_GB2312" w:hAnsi="宋体" w:eastAsia="楷体_GB2312"/>
          <w:b/>
          <w:sz w:val="30"/>
          <w:szCs w:val="30"/>
        </w:rPr>
      </w:pPr>
    </w:p>
    <w:p>
      <w:pPr>
        <w:adjustRightInd w:val="0"/>
        <w:snapToGrid w:val="0"/>
        <w:spacing w:line="560" w:lineRule="exact"/>
        <w:ind w:firstLine="4668" w:firstLineChars="1550"/>
        <w:rPr>
          <w:rFonts w:ascii="楷体_GB2312" w:hAnsi="宋体" w:eastAsia="楷体_GB2312"/>
          <w:b/>
          <w:sz w:val="30"/>
          <w:szCs w:val="30"/>
        </w:rPr>
      </w:pPr>
      <w:r>
        <w:rPr>
          <w:rFonts w:hint="eastAsia" w:ascii="楷体_GB2312" w:hAnsi="宋体" w:eastAsia="楷体_GB2312"/>
          <w:b/>
          <w:sz w:val="30"/>
          <w:szCs w:val="30"/>
        </w:rPr>
        <w:t>签订地点：</w:t>
      </w:r>
      <w:r>
        <w:rPr>
          <w:rFonts w:hint="eastAsia" w:ascii="楷体_GB2312" w:hAnsi="宋体" w:eastAsia="楷体_GB2312"/>
          <w:b/>
          <w:sz w:val="30"/>
          <w:szCs w:val="30"/>
          <w:u w:val="single"/>
        </w:rPr>
        <w:t xml:space="preserve">             </w:t>
      </w:r>
    </w:p>
    <w:p>
      <w:pPr>
        <w:adjustRightInd w:val="0"/>
        <w:snapToGrid w:val="0"/>
        <w:spacing w:line="560" w:lineRule="exact"/>
        <w:rPr>
          <w:rFonts w:ascii="楷体_GB2312" w:hAnsi="宋体" w:eastAsia="楷体_GB2312"/>
          <w:sz w:val="30"/>
          <w:szCs w:val="30"/>
        </w:rPr>
      </w:pPr>
    </w:p>
    <w:p/>
    <w:p>
      <w:pPr>
        <w:spacing w:line="560" w:lineRule="exact"/>
        <w:ind w:firstLine="707" w:firstLineChars="221"/>
        <w:rPr>
          <w:rFonts w:ascii="仿宋_GB2312" w:eastAsia="仿宋_GB2312"/>
          <w:sz w:val="32"/>
          <w:szCs w:val="32"/>
        </w:rPr>
      </w:pPr>
    </w:p>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A25C1"/>
    <w:multiLevelType w:val="singleLevel"/>
    <w:tmpl w:val="BF3A25C1"/>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2"/>
      <w:numFmt w:val="japaneseCounting"/>
      <w:lvlText w:val="%1、"/>
      <w:lvlJc w:val="left"/>
      <w:pPr>
        <w:tabs>
          <w:tab w:val="left" w:pos="1342"/>
        </w:tabs>
        <w:ind w:left="134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2"/>
    <w:multiLevelType w:val="singleLevel"/>
    <w:tmpl w:val="00000002"/>
    <w:lvl w:ilvl="0" w:tentative="0">
      <w:start w:val="6"/>
      <w:numFmt w:val="chineseCounting"/>
      <w:suff w:val="nothing"/>
      <w:lvlText w:val="%1、"/>
      <w:lvlJc w:val="left"/>
      <w:rPr>
        <w:rFonts w:hint="eastAsia"/>
      </w:rPr>
    </w:lvl>
  </w:abstractNum>
  <w:abstractNum w:abstractNumId="3">
    <w:nsid w:val="00000003"/>
    <w:multiLevelType w:val="singleLevel"/>
    <w:tmpl w:val="00000003"/>
    <w:lvl w:ilvl="0" w:tentative="0">
      <w:start w:val="2"/>
      <w:numFmt w:val="decimal"/>
      <w:lvlText w:val="%1."/>
      <w:lvlJc w:val="left"/>
      <w:pPr>
        <w:tabs>
          <w:tab w:val="left" w:pos="312"/>
        </w:tabs>
      </w:pPr>
    </w:lvl>
  </w:abstractNum>
  <w:num w:numId="1">
    <w:abstractNumId w:val="1"/>
    <w:lvlOverride w:ilvl="0">
      <w:startOverride w:val="2"/>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A2DB1"/>
    <w:rsid w:val="02A5220F"/>
    <w:rsid w:val="02C434AA"/>
    <w:rsid w:val="037628CB"/>
    <w:rsid w:val="0B677E20"/>
    <w:rsid w:val="0F2A2DB1"/>
    <w:rsid w:val="0FFF3357"/>
    <w:rsid w:val="104478CA"/>
    <w:rsid w:val="11540BA1"/>
    <w:rsid w:val="11615667"/>
    <w:rsid w:val="178B0253"/>
    <w:rsid w:val="1970025C"/>
    <w:rsid w:val="1B8807B8"/>
    <w:rsid w:val="1F353D57"/>
    <w:rsid w:val="1F720318"/>
    <w:rsid w:val="249514A7"/>
    <w:rsid w:val="24DC48C4"/>
    <w:rsid w:val="25B33BBA"/>
    <w:rsid w:val="26AF34E3"/>
    <w:rsid w:val="291822D9"/>
    <w:rsid w:val="29835401"/>
    <w:rsid w:val="29DF52A3"/>
    <w:rsid w:val="2ACC5003"/>
    <w:rsid w:val="2B376014"/>
    <w:rsid w:val="2B8D1C88"/>
    <w:rsid w:val="2BCA202E"/>
    <w:rsid w:val="2CA55443"/>
    <w:rsid w:val="2CB26C4C"/>
    <w:rsid w:val="2CE334FD"/>
    <w:rsid w:val="31AD17EC"/>
    <w:rsid w:val="31C4402C"/>
    <w:rsid w:val="36952CE2"/>
    <w:rsid w:val="36A25BC0"/>
    <w:rsid w:val="36D50005"/>
    <w:rsid w:val="375B576F"/>
    <w:rsid w:val="38B776F1"/>
    <w:rsid w:val="3B4F798F"/>
    <w:rsid w:val="3B9B29F1"/>
    <w:rsid w:val="3BD466DE"/>
    <w:rsid w:val="3CB471D5"/>
    <w:rsid w:val="3DB96CFC"/>
    <w:rsid w:val="3DD95513"/>
    <w:rsid w:val="3E1A2C64"/>
    <w:rsid w:val="3EDA1A11"/>
    <w:rsid w:val="4036013F"/>
    <w:rsid w:val="42075828"/>
    <w:rsid w:val="43145DB9"/>
    <w:rsid w:val="44555690"/>
    <w:rsid w:val="45C25677"/>
    <w:rsid w:val="4BC01BBC"/>
    <w:rsid w:val="4C774C7B"/>
    <w:rsid w:val="4DF66B32"/>
    <w:rsid w:val="5079198C"/>
    <w:rsid w:val="518077FC"/>
    <w:rsid w:val="53F82371"/>
    <w:rsid w:val="55B81076"/>
    <w:rsid w:val="57923591"/>
    <w:rsid w:val="57DB12DC"/>
    <w:rsid w:val="5A6B3E6C"/>
    <w:rsid w:val="5B0E1D3C"/>
    <w:rsid w:val="5BEC52EA"/>
    <w:rsid w:val="5C3C4001"/>
    <w:rsid w:val="5C8F6C2F"/>
    <w:rsid w:val="5DB07835"/>
    <w:rsid w:val="5FCA0E42"/>
    <w:rsid w:val="61904511"/>
    <w:rsid w:val="651B07C6"/>
    <w:rsid w:val="67061A51"/>
    <w:rsid w:val="6D7062B7"/>
    <w:rsid w:val="712A0AE3"/>
    <w:rsid w:val="75405617"/>
    <w:rsid w:val="75DE3606"/>
    <w:rsid w:val="76026878"/>
    <w:rsid w:val="79745A26"/>
    <w:rsid w:val="7AB61168"/>
    <w:rsid w:val="7B2F6EE0"/>
    <w:rsid w:val="7B777969"/>
    <w:rsid w:val="7D81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首行缩进 21"/>
    <w:basedOn w:val="3"/>
    <w:qFormat/>
    <w:uiPriority w:val="99"/>
    <w:pPr>
      <w:spacing w:line="600" w:lineRule="exact"/>
      <w:ind w:firstLine="420" w:firstLineChars="200"/>
      <w:textAlignment w:val="center"/>
    </w:pPr>
    <w:rPr>
      <w:color w:val="FF0000"/>
      <w:sz w:val="28"/>
      <w:szCs w:val="28"/>
    </w:rPr>
  </w:style>
  <w:style w:type="paragraph" w:styleId="3">
    <w:name w:val="Body Text Indent"/>
    <w:basedOn w:val="1"/>
    <w:next w:val="1"/>
    <w:qFormat/>
    <w:uiPriority w:val="0"/>
    <w:pPr>
      <w:ind w:firstLine="570"/>
    </w:pPr>
    <w:rPr>
      <w:rFonts w:ascii="宋体" w:hAnsi="宋体"/>
      <w:sz w:val="32"/>
    </w:rPr>
  </w:style>
  <w:style w:type="character" w:customStyle="1" w:styleId="6">
    <w:name w:val="font31"/>
    <w:basedOn w:val="5"/>
    <w:qFormat/>
    <w:uiPriority w:val="0"/>
    <w:rPr>
      <w:rFonts w:hint="eastAsia" w:ascii="仿宋" w:hAnsi="仿宋" w:eastAsia="仿宋"/>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2023-01-16T09:22:00Z</dcterms:created>
  <dc:creator>王帆</dc:creator>
  <cp:lastModifiedBy>王帆</cp:lastModifiedBy>
  <dcterms:modified xsi:type="dcterms:W3CDTF">2023-01-16T09:24:05Z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1A98BE2C996B4E1495E695F455464F46</vt:lpwstr>
  </property>
</Properties>
</file>