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shd w:val="clear" w:color="auto" w:fill="FFFFFF"/>
        <w:kinsoku/>
        <w:wordWrap/>
        <w:topLinePunct w:val="0"/>
        <w:autoSpaceDE/>
        <w:autoSpaceDN/>
        <w:bidi w:val="0"/>
        <w:spacing w:line="560" w:lineRule="exact"/>
        <w:jc w:val="both"/>
        <w:textAlignment w:val="auto"/>
        <w:rPr>
          <w:rFonts w:hint="default" w:ascii="黑体" w:hAnsi="黑体" w:eastAsia="黑体" w:cs="黑体"/>
          <w:color w:val="auto"/>
          <w:kern w:val="36"/>
          <w:sz w:val="32"/>
          <w:szCs w:val="32"/>
          <w:highlight w:val="none"/>
          <w:lang w:val="en-US" w:eastAsia="zh-CN"/>
        </w:rPr>
      </w:pPr>
      <w:r>
        <w:rPr>
          <w:rFonts w:hint="eastAsia" w:ascii="黑体" w:hAnsi="黑体" w:eastAsia="黑体" w:cs="黑体"/>
          <w:color w:val="auto"/>
          <w:kern w:val="36"/>
          <w:sz w:val="32"/>
          <w:szCs w:val="32"/>
          <w:highlight w:val="none"/>
          <w:lang w:eastAsia="zh-CN"/>
        </w:rPr>
        <w:t>附件</w:t>
      </w:r>
      <w:r>
        <w:rPr>
          <w:rFonts w:hint="eastAsia" w:ascii="黑体" w:hAnsi="黑体" w:eastAsia="黑体" w:cs="黑体"/>
          <w:color w:val="auto"/>
          <w:kern w:val="36"/>
          <w:sz w:val="32"/>
          <w:szCs w:val="32"/>
          <w:highlight w:val="none"/>
          <w:lang w:val="en-US" w:eastAsia="zh-CN"/>
        </w:rPr>
        <w:t>2</w:t>
      </w:r>
    </w:p>
    <w:p>
      <w:pPr>
        <w:keepNext w:val="0"/>
        <w:keepLines w:val="0"/>
        <w:pageBreakBefore w:val="0"/>
        <w:widowControl w:val="0"/>
        <w:tabs>
          <w:tab w:val="left" w:pos="6521"/>
          <w:tab w:val="left" w:pos="7513"/>
          <w:tab w:val="left" w:pos="7923"/>
        </w:tabs>
        <w:kinsoku/>
        <w:wordWrap/>
        <w:overflowPunct w:val="0"/>
        <w:topLinePunct w:val="0"/>
        <w:autoSpaceDE/>
        <w:autoSpaceDN/>
        <w:bidi w:val="0"/>
        <w:snapToGrid w:val="0"/>
        <w:spacing w:line="560" w:lineRule="exact"/>
        <w:ind w:right="-17"/>
        <w:jc w:val="right"/>
        <w:textAlignment w:val="auto"/>
        <w:outlineLvl w:val="9"/>
        <w:rPr>
          <w:rFonts w:hint="eastAsia" w:ascii="仿宋_GB2312" w:hAnsi="仿宋_GB2312" w:eastAsia="仿宋_GB2312"/>
          <w:b w:val="0"/>
          <w:bCs w:val="0"/>
          <w:color w:val="auto"/>
          <w:sz w:val="32"/>
          <w:szCs w:val="32"/>
          <w:highlight w:val="none"/>
        </w:rPr>
      </w:pPr>
      <w:r>
        <w:rPr>
          <w:rFonts w:hint="eastAsia" w:eastAsia="华文宋体"/>
          <w:b/>
          <w:bCs/>
          <w:color w:val="auto"/>
          <w:sz w:val="24"/>
          <w:highlight w:val="none"/>
        </w:rPr>
        <w:t>深龙产发协〔    〕第    号</w:t>
      </w:r>
    </w:p>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ascii="Times New Roman" w:hAnsi="Times New Roman" w:eastAsia="黑体"/>
          <w:b w:val="0"/>
          <w:bCs w:val="0"/>
          <w:color w:val="auto"/>
          <w:highlight w:val="none"/>
        </w:rPr>
      </w:pP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ascii="Times New Roman" w:hAnsi="Times New Roman" w:eastAsia="黑体"/>
          <w:b w:val="0"/>
          <w:bCs w:val="0"/>
          <w:color w:val="auto"/>
          <w:highlight w:val="none"/>
        </w:rPr>
      </w:pP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ascii="Times New Roman" w:hAnsi="Times New Roman" w:eastAsia="黑体"/>
          <w:b w:val="0"/>
          <w:bCs w:val="0"/>
          <w:color w:val="auto"/>
          <w:highlight w:val="none"/>
        </w:rPr>
      </w:pPr>
    </w:p>
    <w:p>
      <w:pPr>
        <w:pStyle w:val="2"/>
        <w:keepNext w:val="0"/>
        <w:keepLines w:val="0"/>
        <w:pageBreakBefore w:val="0"/>
        <w:kinsoku/>
        <w:wordWrap/>
        <w:topLinePunct w:val="0"/>
        <w:autoSpaceDE/>
        <w:autoSpaceDN/>
        <w:bidi w:val="0"/>
        <w:spacing w:line="560" w:lineRule="exact"/>
        <w:ind w:left="0" w:leftChars="0" w:firstLine="0" w:firstLineChars="0"/>
        <w:jc w:val="center"/>
        <w:textAlignment w:val="auto"/>
        <w:rPr>
          <w:rFonts w:hint="eastAsia" w:ascii="黑体" w:hAnsi="黑体" w:eastAsia="黑体" w:cs="黑体"/>
          <w:b/>
          <w:bCs/>
          <w:color w:val="auto"/>
          <w:sz w:val="52"/>
          <w:highlight w:val="none"/>
        </w:rPr>
      </w:pPr>
      <w:r>
        <w:rPr>
          <w:rFonts w:hint="eastAsia" w:ascii="黑体" w:hAnsi="黑体" w:eastAsia="黑体" w:cs="黑体"/>
          <w:b/>
          <w:bCs/>
          <w:color w:val="auto"/>
          <w:sz w:val="52"/>
          <w:highlight w:val="none"/>
        </w:rPr>
        <w:t>深圳市龙华区优质产业空间项目</w:t>
      </w:r>
    </w:p>
    <w:p>
      <w:pPr>
        <w:pStyle w:val="2"/>
        <w:keepNext w:val="0"/>
        <w:keepLines w:val="0"/>
        <w:pageBreakBefore w:val="0"/>
        <w:kinsoku/>
        <w:wordWrap/>
        <w:topLinePunct w:val="0"/>
        <w:autoSpaceDE/>
        <w:autoSpaceDN/>
        <w:bidi w:val="0"/>
        <w:spacing w:line="560" w:lineRule="exact"/>
        <w:ind w:left="0" w:leftChars="0" w:firstLine="0" w:firstLineChars="0"/>
        <w:jc w:val="center"/>
        <w:textAlignment w:val="auto"/>
        <w:rPr>
          <w:color w:val="auto"/>
          <w:highlight w:val="none"/>
        </w:rPr>
      </w:pPr>
      <w:r>
        <w:rPr>
          <w:rFonts w:hint="eastAsia" w:ascii="黑体" w:hAnsi="黑体" w:eastAsia="黑体" w:cs="黑体"/>
          <w:b/>
          <w:bCs/>
          <w:color w:val="auto"/>
          <w:sz w:val="52"/>
          <w:highlight w:val="none"/>
        </w:rPr>
        <w:t>监管协议</w:t>
      </w:r>
    </w:p>
    <w:p>
      <w:pPr>
        <w:keepNext w:val="0"/>
        <w:keepLines w:val="0"/>
        <w:pageBreakBefore w:val="0"/>
        <w:kinsoku/>
        <w:wordWrap/>
        <w:topLinePunct w:val="0"/>
        <w:autoSpaceDE/>
        <w:autoSpaceDN/>
        <w:bidi w:val="0"/>
        <w:snapToGrid w:val="0"/>
        <w:spacing w:line="560" w:lineRule="exact"/>
        <w:jc w:val="both"/>
        <w:textAlignment w:val="auto"/>
        <w:rPr>
          <w:rFonts w:ascii="Times New Roman" w:hAnsi="Times New Roman" w:eastAsia="仿宋_GB2312"/>
          <w:b/>
          <w:bCs/>
          <w:color w:val="auto"/>
          <w:sz w:val="32"/>
          <w:highlight w:val="none"/>
        </w:rPr>
      </w:pPr>
    </w:p>
    <w:p>
      <w:pPr>
        <w:pStyle w:val="2"/>
        <w:rPr>
          <w:color w:val="auto"/>
          <w:highlight w:val="none"/>
        </w:rPr>
      </w:pPr>
    </w:p>
    <w:p>
      <w:pPr>
        <w:keepNext w:val="0"/>
        <w:keepLines w:val="0"/>
        <w:pageBreakBefore w:val="0"/>
        <w:kinsoku/>
        <w:wordWrap/>
        <w:topLinePunct w:val="0"/>
        <w:autoSpaceDE/>
        <w:autoSpaceDN/>
        <w:bidi w:val="0"/>
        <w:snapToGrid w:val="0"/>
        <w:spacing w:line="560" w:lineRule="exact"/>
        <w:jc w:val="center"/>
        <w:textAlignment w:val="auto"/>
        <w:rPr>
          <w:rFonts w:ascii="Times New Roman" w:hAnsi="Times New Roman" w:eastAsia="仿宋_GB2312"/>
          <w:b/>
          <w:bCs/>
          <w:color w:val="auto"/>
          <w:sz w:val="32"/>
          <w:highlight w:val="none"/>
        </w:rPr>
      </w:pPr>
    </w:p>
    <w:p>
      <w:pPr>
        <w:keepNext w:val="0"/>
        <w:keepLines w:val="0"/>
        <w:pageBreakBefore w:val="0"/>
        <w:kinsoku/>
        <w:wordWrap/>
        <w:topLinePunct w:val="0"/>
        <w:autoSpaceDE/>
        <w:autoSpaceDN/>
        <w:bidi w:val="0"/>
        <w:snapToGrid w:val="0"/>
        <w:spacing w:line="560" w:lineRule="exact"/>
        <w:jc w:val="center"/>
        <w:textAlignment w:val="auto"/>
        <w:rPr>
          <w:rFonts w:ascii="Times New Roman" w:hAnsi="Times New Roman" w:eastAsia="仿宋_GB2312"/>
          <w:b/>
          <w:bCs/>
          <w:color w:val="auto"/>
          <w:sz w:val="32"/>
          <w:highlight w:val="none"/>
        </w:rPr>
      </w:pPr>
    </w:p>
    <w:p>
      <w:pPr>
        <w:keepNext w:val="0"/>
        <w:keepLines w:val="0"/>
        <w:pageBreakBefore w:val="0"/>
        <w:kinsoku/>
        <w:wordWrap/>
        <w:topLinePunct w:val="0"/>
        <w:autoSpaceDE/>
        <w:autoSpaceDN/>
        <w:bidi w:val="0"/>
        <w:spacing w:line="560" w:lineRule="exact"/>
        <w:ind w:firstLine="1108" w:firstLineChars="345"/>
        <w:textAlignment w:val="auto"/>
        <w:rPr>
          <w:rFonts w:hint="eastAsia" w:ascii="宋体" w:hAnsi="宋体" w:eastAsia="宋体" w:cs="宋体"/>
          <w:b/>
          <w:bCs/>
          <w:color w:val="auto"/>
          <w:sz w:val="32"/>
          <w:highlight w:val="none"/>
          <w:u w:val="single"/>
        </w:rPr>
      </w:pPr>
      <w:r>
        <w:rPr>
          <w:rFonts w:hint="eastAsia" w:ascii="宋体" w:hAnsi="宋体" w:eastAsia="宋体" w:cs="宋体"/>
          <w:b/>
          <w:bCs/>
          <w:color w:val="auto"/>
          <w:sz w:val="32"/>
          <w:highlight w:val="none"/>
        </w:rPr>
        <w:t>宗地编号：</w:t>
      </w:r>
    </w:p>
    <w:p>
      <w:pPr>
        <w:keepNext w:val="0"/>
        <w:keepLines w:val="0"/>
        <w:pageBreakBefore w:val="0"/>
        <w:kinsoku/>
        <w:wordWrap/>
        <w:topLinePunct w:val="0"/>
        <w:autoSpaceDE/>
        <w:autoSpaceDN/>
        <w:bidi w:val="0"/>
        <w:spacing w:line="560" w:lineRule="exact"/>
        <w:ind w:firstLine="1108" w:firstLineChars="345"/>
        <w:textAlignment w:val="auto"/>
        <w:rPr>
          <w:rFonts w:hint="eastAsia" w:ascii="黑体" w:hAnsi="黑体" w:eastAsia="黑体" w:cs="黑体"/>
          <w:b/>
          <w:bCs/>
          <w:color w:val="auto"/>
          <w:sz w:val="32"/>
          <w:highlight w:val="none"/>
          <w:u w:val="single"/>
        </w:rPr>
      </w:pPr>
      <w:r>
        <w:rPr>
          <w:rFonts w:hint="eastAsia" w:ascii="宋体" w:hAnsi="宋体" w:eastAsia="宋体" w:cs="宋体"/>
          <w:b/>
          <w:bCs/>
          <w:color w:val="auto"/>
          <w:sz w:val="32"/>
          <w:highlight w:val="none"/>
        </w:rPr>
        <w:t>准入产业：</w:t>
      </w:r>
    </w:p>
    <w:p>
      <w:pPr>
        <w:keepNext w:val="0"/>
        <w:keepLines w:val="0"/>
        <w:pageBreakBefore w:val="0"/>
        <w:kinsoku/>
        <w:wordWrap/>
        <w:topLinePunct w:val="0"/>
        <w:autoSpaceDE/>
        <w:autoSpaceDN/>
        <w:bidi w:val="0"/>
        <w:spacing w:line="560" w:lineRule="exact"/>
        <w:ind w:firstLine="1108" w:firstLineChars="345"/>
        <w:textAlignment w:val="auto"/>
        <w:rPr>
          <w:rFonts w:hint="eastAsia" w:ascii="仿宋_GB2312" w:hAnsi="仿宋_GB2312" w:eastAsia="仿宋_GB2312" w:cs="仿宋_GB2312"/>
          <w:b/>
          <w:bCs/>
          <w:color w:val="auto"/>
          <w:sz w:val="32"/>
          <w:highlight w:val="none"/>
          <w:u w:val="single"/>
          <w:lang w:eastAsia="zh-CN"/>
        </w:rPr>
      </w:pPr>
      <w:r>
        <w:rPr>
          <w:rFonts w:hint="eastAsia" w:ascii="宋体" w:hAnsi="宋体" w:eastAsia="宋体" w:cs="宋体"/>
          <w:b/>
          <w:bCs/>
          <w:color w:val="auto"/>
          <w:sz w:val="32"/>
          <w:highlight w:val="none"/>
        </w:rPr>
        <w:t>项目名称：</w:t>
      </w:r>
    </w:p>
    <w:p>
      <w:pPr>
        <w:keepNext w:val="0"/>
        <w:keepLines w:val="0"/>
        <w:pageBreakBefore w:val="0"/>
        <w:kinsoku/>
        <w:wordWrap/>
        <w:topLinePunct w:val="0"/>
        <w:autoSpaceDE/>
        <w:autoSpaceDN/>
        <w:bidi w:val="0"/>
        <w:spacing w:line="560" w:lineRule="exact"/>
        <w:ind w:firstLine="1108" w:firstLineChars="345"/>
        <w:textAlignment w:val="auto"/>
        <w:rPr>
          <w:rFonts w:hint="eastAsia" w:ascii="黑体" w:hAnsi="黑体" w:eastAsia="黑体" w:cs="黑体"/>
          <w:b/>
          <w:bCs/>
          <w:color w:val="auto"/>
          <w:sz w:val="32"/>
          <w:szCs w:val="32"/>
          <w:highlight w:val="none"/>
        </w:rPr>
      </w:pPr>
      <w:r>
        <w:rPr>
          <w:rFonts w:hint="eastAsia" w:ascii="宋体" w:hAnsi="宋体" w:eastAsia="宋体" w:cs="宋体"/>
          <w:b/>
          <w:bCs/>
          <w:color w:val="auto"/>
          <w:sz w:val="32"/>
          <w:szCs w:val="32"/>
          <w:highlight w:val="none"/>
        </w:rPr>
        <w:t>土地出让合同编号：</w:t>
      </w:r>
      <w:r>
        <w:rPr>
          <w:rFonts w:hint="eastAsia" w:ascii="仿宋_GB2312" w:hAnsi="仿宋_GB2312" w:eastAsia="仿宋_GB2312" w:cs="仿宋_GB2312"/>
          <w:b/>
          <w:bCs/>
          <w:color w:val="auto"/>
          <w:sz w:val="32"/>
          <w:szCs w:val="32"/>
          <w:highlight w:val="none"/>
        </w:rPr>
        <w:t>（以土地出让合同为准）</w:t>
      </w:r>
    </w:p>
    <w:p>
      <w:pPr>
        <w:keepNext w:val="0"/>
        <w:keepLines w:val="0"/>
        <w:pageBreakBefore w:val="0"/>
        <w:kinsoku/>
        <w:wordWrap/>
        <w:topLinePunct w:val="0"/>
        <w:autoSpaceDE/>
        <w:autoSpaceDN/>
        <w:bidi w:val="0"/>
        <w:snapToGrid w:val="0"/>
        <w:spacing w:line="560" w:lineRule="exact"/>
        <w:textAlignment w:val="auto"/>
        <w:rPr>
          <w:rFonts w:ascii="Times New Roman" w:hAnsi="Times New Roman" w:eastAsia="黑体"/>
          <w:color w:val="auto"/>
          <w:sz w:val="32"/>
          <w:highlight w:val="none"/>
        </w:rPr>
      </w:pPr>
    </w:p>
    <w:p>
      <w:pPr>
        <w:pStyle w:val="2"/>
        <w:keepNext w:val="0"/>
        <w:keepLines w:val="0"/>
        <w:pageBreakBefore w:val="0"/>
        <w:kinsoku/>
        <w:wordWrap/>
        <w:topLinePunct w:val="0"/>
        <w:autoSpaceDE/>
        <w:autoSpaceDN/>
        <w:bidi w:val="0"/>
        <w:spacing w:line="560" w:lineRule="exact"/>
        <w:ind w:firstLine="0" w:firstLineChars="0"/>
        <w:textAlignment w:val="auto"/>
        <w:rPr>
          <w:rFonts w:ascii="Times New Roman" w:hAnsi="Times New Roman" w:eastAsia="黑体"/>
          <w:color w:val="auto"/>
          <w:sz w:val="32"/>
          <w:highlight w:val="none"/>
        </w:rPr>
      </w:pPr>
    </w:p>
    <w:p>
      <w:pPr>
        <w:pStyle w:val="2"/>
        <w:keepNext w:val="0"/>
        <w:keepLines w:val="0"/>
        <w:pageBreakBefore w:val="0"/>
        <w:kinsoku/>
        <w:wordWrap/>
        <w:topLinePunct w:val="0"/>
        <w:autoSpaceDE/>
        <w:autoSpaceDN/>
        <w:bidi w:val="0"/>
        <w:spacing w:line="560" w:lineRule="exact"/>
        <w:ind w:left="0" w:leftChars="0" w:firstLine="0" w:firstLineChars="0"/>
        <w:textAlignment w:val="auto"/>
        <w:rPr>
          <w:rFonts w:ascii="Times New Roman" w:hAnsi="Times New Roman" w:eastAsia="黑体"/>
          <w:color w:val="auto"/>
          <w:sz w:val="32"/>
          <w:highlight w:val="none"/>
        </w:rPr>
      </w:pPr>
    </w:p>
    <w:p>
      <w:pPr>
        <w:pStyle w:val="2"/>
        <w:keepNext w:val="0"/>
        <w:keepLines w:val="0"/>
        <w:pageBreakBefore w:val="0"/>
        <w:kinsoku/>
        <w:wordWrap/>
        <w:topLinePunct w:val="0"/>
        <w:autoSpaceDE/>
        <w:autoSpaceDN/>
        <w:bidi w:val="0"/>
        <w:spacing w:line="560" w:lineRule="exact"/>
        <w:ind w:left="0" w:leftChars="0" w:firstLine="0" w:firstLineChars="0"/>
        <w:textAlignment w:val="auto"/>
        <w:rPr>
          <w:rFonts w:ascii="Times New Roman" w:hAnsi="Times New Roman" w:eastAsia="黑体"/>
          <w:color w:val="auto"/>
          <w:sz w:val="32"/>
          <w:highlight w:val="none"/>
        </w:rPr>
      </w:pPr>
    </w:p>
    <w:p>
      <w:pPr>
        <w:pStyle w:val="2"/>
        <w:keepNext w:val="0"/>
        <w:keepLines w:val="0"/>
        <w:pageBreakBefore w:val="0"/>
        <w:kinsoku/>
        <w:wordWrap/>
        <w:topLinePunct w:val="0"/>
        <w:autoSpaceDE/>
        <w:autoSpaceDN/>
        <w:bidi w:val="0"/>
        <w:spacing w:line="560" w:lineRule="exact"/>
        <w:ind w:left="0" w:leftChars="0" w:firstLine="0" w:firstLineChars="0"/>
        <w:textAlignment w:val="auto"/>
        <w:rPr>
          <w:rFonts w:ascii="Times New Roman" w:hAnsi="Times New Roman" w:eastAsia="黑体"/>
          <w:color w:val="auto"/>
          <w:sz w:val="32"/>
          <w:highlight w:val="none"/>
        </w:rPr>
      </w:pPr>
    </w:p>
    <w:p>
      <w:pPr>
        <w:pStyle w:val="2"/>
        <w:keepNext w:val="0"/>
        <w:keepLines w:val="0"/>
        <w:pageBreakBefore w:val="0"/>
        <w:kinsoku/>
        <w:wordWrap/>
        <w:topLinePunct w:val="0"/>
        <w:autoSpaceDE/>
        <w:autoSpaceDN/>
        <w:bidi w:val="0"/>
        <w:spacing w:line="560" w:lineRule="exact"/>
        <w:ind w:left="0" w:leftChars="0" w:firstLine="0" w:firstLineChars="0"/>
        <w:textAlignment w:val="auto"/>
        <w:rPr>
          <w:rFonts w:hint="eastAsia"/>
          <w:color w:val="auto"/>
          <w:highlight w:val="none"/>
        </w:rPr>
      </w:pPr>
    </w:p>
    <w:p>
      <w:pPr>
        <w:keepNext w:val="0"/>
        <w:keepLines w:val="0"/>
        <w:pageBreakBefore w:val="0"/>
        <w:widowControl w:val="0"/>
        <w:tabs>
          <w:tab w:val="left" w:pos="6521"/>
          <w:tab w:val="left" w:pos="7513"/>
          <w:tab w:val="left" w:pos="7923"/>
        </w:tabs>
        <w:kinsoku/>
        <w:wordWrap/>
        <w:overflowPunct w:val="0"/>
        <w:topLinePunct w:val="0"/>
        <w:autoSpaceDE/>
        <w:autoSpaceDN/>
        <w:bidi w:val="0"/>
        <w:snapToGrid w:val="0"/>
        <w:spacing w:line="560" w:lineRule="exact"/>
        <w:ind w:right="-17"/>
        <w:jc w:val="center"/>
        <w:textAlignment w:val="auto"/>
        <w:outlineLvl w:val="9"/>
        <w:rPr>
          <w:rFonts w:hint="eastAsia" w:ascii="仿宋_GB2312" w:hAnsi="仿宋_GB2312" w:eastAsia="方正小标宋简体" w:cs="方正小标宋简体"/>
          <w:bCs/>
          <w:color w:val="auto"/>
          <w:sz w:val="44"/>
          <w:szCs w:val="44"/>
          <w:highlight w:val="none"/>
        </w:rPr>
      </w:pPr>
    </w:p>
    <w:p>
      <w:pPr>
        <w:keepNext w:val="0"/>
        <w:keepLines w:val="0"/>
        <w:pageBreakBefore w:val="0"/>
        <w:widowControl w:val="0"/>
        <w:tabs>
          <w:tab w:val="left" w:pos="6521"/>
          <w:tab w:val="left" w:pos="7513"/>
          <w:tab w:val="left" w:pos="7923"/>
        </w:tabs>
        <w:kinsoku/>
        <w:wordWrap/>
        <w:overflowPunct w:val="0"/>
        <w:topLinePunct w:val="0"/>
        <w:autoSpaceDE/>
        <w:autoSpaceDN/>
        <w:bidi w:val="0"/>
        <w:snapToGrid w:val="0"/>
        <w:spacing w:line="560" w:lineRule="exact"/>
        <w:ind w:right="-17"/>
        <w:jc w:val="center"/>
        <w:textAlignment w:val="auto"/>
        <w:outlineLvl w:val="9"/>
        <w:rPr>
          <w:rFonts w:hint="eastAsia" w:ascii="仿宋_GB2312" w:hAnsi="仿宋_GB2312" w:eastAsia="方正小标宋简体" w:cs="方正小标宋简体"/>
          <w:bCs/>
          <w:color w:val="auto"/>
          <w:sz w:val="44"/>
          <w:szCs w:val="44"/>
          <w:highlight w:val="none"/>
        </w:rPr>
      </w:pPr>
      <w:r>
        <w:rPr>
          <w:rFonts w:hint="eastAsia" w:ascii="仿宋_GB2312" w:hAnsi="仿宋_GB2312" w:eastAsia="方正小标宋简体" w:cs="方正小标宋简体"/>
          <w:bCs/>
          <w:color w:val="auto"/>
          <w:sz w:val="44"/>
          <w:szCs w:val="44"/>
          <w:highlight w:val="none"/>
        </w:rPr>
        <w:t>深圳市龙华区优质产业空间项目</w:t>
      </w:r>
    </w:p>
    <w:p>
      <w:pPr>
        <w:keepNext w:val="0"/>
        <w:keepLines w:val="0"/>
        <w:pageBreakBefore w:val="0"/>
        <w:widowControl w:val="0"/>
        <w:tabs>
          <w:tab w:val="left" w:pos="6521"/>
          <w:tab w:val="left" w:pos="7513"/>
          <w:tab w:val="left" w:pos="7923"/>
        </w:tabs>
        <w:kinsoku/>
        <w:wordWrap/>
        <w:overflowPunct w:val="0"/>
        <w:topLinePunct w:val="0"/>
        <w:autoSpaceDE/>
        <w:autoSpaceDN/>
        <w:bidi w:val="0"/>
        <w:snapToGrid w:val="0"/>
        <w:spacing w:line="560" w:lineRule="exact"/>
        <w:ind w:right="-17"/>
        <w:jc w:val="center"/>
        <w:textAlignment w:val="auto"/>
        <w:outlineLvl w:val="9"/>
        <w:rPr>
          <w:rFonts w:hint="eastAsia" w:ascii="仿宋_GB2312" w:hAnsi="仿宋_GB2312" w:eastAsia="方正小标宋简体" w:cs="方正小标宋简体"/>
          <w:bCs/>
          <w:color w:val="auto"/>
          <w:sz w:val="44"/>
          <w:szCs w:val="44"/>
          <w:highlight w:val="none"/>
        </w:rPr>
      </w:pPr>
      <w:r>
        <w:rPr>
          <w:rFonts w:hint="eastAsia" w:ascii="仿宋_GB2312" w:hAnsi="仿宋_GB2312" w:eastAsia="方正小标宋简体" w:cs="方正小标宋简体"/>
          <w:bCs/>
          <w:color w:val="auto"/>
          <w:sz w:val="44"/>
          <w:szCs w:val="44"/>
          <w:highlight w:val="none"/>
        </w:rPr>
        <w:t>监管协议</w:t>
      </w:r>
    </w:p>
    <w:p>
      <w:pPr>
        <w:keepNext w:val="0"/>
        <w:keepLines w:val="0"/>
        <w:pageBreakBefore w:val="0"/>
        <w:widowControl w:val="0"/>
        <w:tabs>
          <w:tab w:val="left" w:pos="6521"/>
          <w:tab w:val="left" w:pos="7513"/>
          <w:tab w:val="left" w:pos="7923"/>
        </w:tabs>
        <w:kinsoku/>
        <w:wordWrap/>
        <w:overflowPunct w:val="0"/>
        <w:topLinePunct w:val="0"/>
        <w:autoSpaceDE/>
        <w:autoSpaceDN/>
        <w:bidi w:val="0"/>
        <w:snapToGrid w:val="0"/>
        <w:spacing w:line="560" w:lineRule="exact"/>
        <w:ind w:right="-17"/>
        <w:jc w:val="center"/>
        <w:textAlignment w:val="auto"/>
        <w:outlineLvl w:val="9"/>
        <w:rPr>
          <w:rFonts w:hint="eastAsia" w:ascii="仿宋_GB2312" w:hAnsi="仿宋_GB2312" w:eastAsia="仿宋_GB2312"/>
          <w:bCs/>
          <w:color w:val="auto"/>
          <w:sz w:val="32"/>
          <w:szCs w:val="32"/>
          <w:highlight w:val="none"/>
        </w:rPr>
      </w:pPr>
      <w:r>
        <w:rPr>
          <w:rFonts w:hint="eastAsia" w:ascii="仿宋_GB2312" w:hAnsi="仿宋_GB2312" w:eastAsia="仿宋_GB2312"/>
          <w:bCs/>
          <w:color w:val="auto"/>
          <w:sz w:val="32"/>
          <w:szCs w:val="32"/>
          <w:highlight w:val="none"/>
        </w:rPr>
        <w:t>深龙产发协〔    〕第    号</w:t>
      </w:r>
    </w:p>
    <w:p>
      <w:pPr>
        <w:keepNext w:val="0"/>
        <w:keepLines w:val="0"/>
        <w:pageBreakBefore w:val="0"/>
        <w:kinsoku/>
        <w:wordWrap/>
        <w:topLinePunct w:val="0"/>
        <w:autoSpaceDE/>
        <w:autoSpaceDN/>
        <w:bidi w:val="0"/>
        <w:snapToGrid w:val="0"/>
        <w:spacing w:line="560" w:lineRule="exact"/>
        <w:textAlignment w:val="auto"/>
        <w:rPr>
          <w:rFonts w:ascii="仿宋_GB2312" w:hAnsi="仿宋_GB2312" w:eastAsia="黑体"/>
          <w:b/>
          <w:bCs/>
          <w:color w:val="auto"/>
          <w:sz w:val="30"/>
          <w:szCs w:val="30"/>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甲方：</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地址：</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法定代表人：                身份证号码：</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职务：                      联系电话：</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 w:cs="仿宋"/>
          <w:color w:val="auto"/>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乙方（土地竞得人/土地竞买申请人）：</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地址：</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统一社会信用代码：</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法定代表人：                 身份证号码：</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32"/>
          <w:szCs w:val="32"/>
          <w:highlight w:val="none"/>
        </w:rPr>
        <w:t>职务：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联系电话：</w:t>
      </w:r>
    </w:p>
    <w:p>
      <w:pPr>
        <w:pStyle w:val="5"/>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Cs w:val="32"/>
          <w:highlight w:val="none"/>
        </w:rPr>
      </w:pPr>
    </w:p>
    <w:p>
      <w:pPr>
        <w:pStyle w:val="5"/>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为保障龙华区产业发展用地，切实履行《深圳市土地使用权出让公告》（深土交告</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 xml:space="preserve">    </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 xml:space="preserve">  号）要求，根据《深圳市优质产业空间供给试点改革方案》的有关规定及已公示的《      项目遴选方案》，甲方作为龙华区产业行政主管部门，经甲乙双方同意，订立此协议。</w:t>
      </w:r>
    </w:p>
    <w:p>
      <w:pPr>
        <w:keepNext w:val="0"/>
        <w:keepLines w:val="0"/>
        <w:pageBreakBefore w:val="0"/>
        <w:widowControl w:val="0"/>
        <w:numPr>
          <w:ilvl w:val="-1"/>
          <w:numId w:val="0"/>
        </w:numPr>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黑体"/>
          <w:bCs/>
          <w:color w:val="auto"/>
          <w:sz w:val="32"/>
          <w:szCs w:val="32"/>
          <w:highlight w:val="none"/>
        </w:rPr>
      </w:pPr>
      <w:r>
        <w:rPr>
          <w:rFonts w:hint="eastAsia" w:ascii="仿宋_GB2312" w:hAnsi="仿宋_GB2312" w:eastAsia="黑体"/>
          <w:bCs/>
          <w:color w:val="auto"/>
          <w:sz w:val="32"/>
          <w:szCs w:val="32"/>
          <w:highlight w:val="none"/>
          <w:lang w:eastAsia="zh-CN"/>
        </w:rPr>
        <w:t>一、</w:t>
      </w:r>
      <w:r>
        <w:rPr>
          <w:rFonts w:hint="eastAsia" w:ascii="仿宋_GB2312" w:hAnsi="仿宋_GB2312" w:eastAsia="黑体"/>
          <w:bCs/>
          <w:color w:val="auto"/>
          <w:sz w:val="32"/>
          <w:szCs w:val="32"/>
          <w:highlight w:val="none"/>
        </w:rPr>
        <w:t>地块及项目基本情况</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宗地编号： </w:t>
      </w:r>
      <w:r>
        <w:rPr>
          <w:rFonts w:hint="eastAsia" w:ascii="仿宋_GB2312" w:hAnsi="仿宋_GB2312" w:eastAsia="仿宋_GB2312" w:cs="仿宋_GB2312"/>
          <w:bCs/>
          <w:color w:val="auto"/>
          <w:sz w:val="32"/>
          <w:szCs w:val="32"/>
          <w:highlight w:val="none"/>
        </w:rPr>
        <w:tab/>
      </w:r>
      <w:r>
        <w:rPr>
          <w:rFonts w:hint="eastAsia" w:ascii="仿宋_GB2312" w:hAnsi="仿宋_GB2312" w:eastAsia="仿宋_GB2312" w:cs="仿宋_GB2312"/>
          <w:bCs/>
          <w:color w:val="auto"/>
          <w:sz w:val="32"/>
          <w:szCs w:val="32"/>
          <w:highlight w:val="none"/>
        </w:rPr>
        <w:tab/>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土地位置： </w:t>
      </w:r>
      <w:r>
        <w:rPr>
          <w:rFonts w:hint="eastAsia" w:ascii="仿宋_GB2312" w:hAnsi="仿宋_GB2312" w:eastAsia="仿宋_GB2312" w:cs="仿宋_GB2312"/>
          <w:bCs/>
          <w:color w:val="auto"/>
          <w:sz w:val="32"/>
          <w:szCs w:val="32"/>
          <w:highlight w:val="none"/>
        </w:rPr>
        <w:tab/>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土地用途： </w:t>
      </w:r>
      <w:r>
        <w:rPr>
          <w:rFonts w:hint="eastAsia" w:ascii="仿宋_GB2312" w:hAnsi="仿宋_GB2312" w:eastAsia="仿宋_GB2312" w:cs="仿宋_GB2312"/>
          <w:bCs/>
          <w:color w:val="auto"/>
          <w:sz w:val="32"/>
          <w:szCs w:val="32"/>
          <w:highlight w:val="none"/>
        </w:rPr>
        <w:tab/>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总用地面积（平方米）：                        </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容积率：</w:t>
      </w:r>
      <w:r>
        <w:rPr>
          <w:rFonts w:hint="eastAsia" w:ascii="仿宋_GB2312" w:hAnsi="仿宋_GB2312" w:eastAsia="仿宋_GB2312" w:cs="仿宋_GB2312"/>
          <w:bCs/>
          <w:color w:val="auto"/>
          <w:sz w:val="32"/>
          <w:szCs w:val="32"/>
          <w:highlight w:val="none"/>
        </w:rPr>
        <w:tab/>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总建筑面积（平方米）：                        </w:t>
      </w:r>
      <w:r>
        <w:rPr>
          <w:rFonts w:hint="eastAsia" w:ascii="仿宋_GB2312" w:hAnsi="仿宋_GB2312" w:eastAsia="仿宋_GB2312" w:cs="仿宋_GB2312"/>
          <w:bCs/>
          <w:color w:val="auto"/>
          <w:sz w:val="32"/>
          <w:szCs w:val="32"/>
          <w:highlight w:val="none"/>
        </w:rPr>
        <w:tab/>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color w:val="auto"/>
          <w:sz w:val="32"/>
          <w:szCs w:val="32"/>
          <w:highlight w:val="none"/>
          <w:u w:val="single"/>
          <w:lang w:eastAsia="zh-CN"/>
        </w:rPr>
        <w:t>龙华区观澜地块优质产业空间供给试点项目</w:t>
      </w:r>
      <w:r>
        <w:rPr>
          <w:rFonts w:hint="eastAsia" w:ascii="仿宋_GB2312" w:hAnsi="仿宋_GB2312" w:eastAsia="仿宋_GB2312" w:cs="仿宋_GB2312"/>
          <w:bCs/>
          <w:color w:val="auto"/>
          <w:sz w:val="32"/>
          <w:szCs w:val="32"/>
          <w:highlight w:val="none"/>
        </w:rPr>
        <w:t xml:space="preserve">                                   </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土地使用年期（年）：</w:t>
      </w:r>
    </w:p>
    <w:p>
      <w:pPr>
        <w:widowControl w:val="0"/>
        <w:overflowPunct w:val="0"/>
        <w:spacing w:line="560" w:lineRule="exact"/>
        <w:ind w:firstLine="640" w:firstLineChars="200"/>
        <w:outlineLvl w:val="9"/>
        <w:rPr>
          <w:rFonts w:hint="eastAsia"/>
          <w:color w:val="auto"/>
          <w:highlight w:val="none"/>
        </w:rPr>
      </w:pPr>
      <w:r>
        <w:rPr>
          <w:rFonts w:hint="eastAsia" w:ascii="仿宋_GB2312" w:hAnsi="仿宋_GB2312" w:eastAsia="仿宋_GB2312" w:cs="仿宋_GB2312"/>
          <w:bCs/>
          <w:color w:val="auto"/>
          <w:sz w:val="32"/>
          <w:szCs w:val="32"/>
          <w:highlight w:val="none"/>
          <w:lang w:eastAsia="zh-CN"/>
        </w:rPr>
        <w:t>（上述情况以土地出让合同及其补充协议约定内容为准）</w:t>
      </w:r>
    </w:p>
    <w:p>
      <w:pPr>
        <w:pStyle w:val="5"/>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黑体"/>
          <w:color w:val="auto"/>
          <w:szCs w:val="32"/>
          <w:highlight w:val="none"/>
        </w:rPr>
      </w:pPr>
      <w:r>
        <w:rPr>
          <w:rFonts w:hint="eastAsia" w:ascii="仿宋_GB2312" w:hAnsi="仿宋_GB2312" w:eastAsia="黑体"/>
          <w:color w:val="auto"/>
          <w:szCs w:val="32"/>
          <w:highlight w:val="none"/>
          <w:lang w:eastAsia="zh-CN"/>
        </w:rPr>
        <w:t>二、</w:t>
      </w:r>
      <w:r>
        <w:rPr>
          <w:rFonts w:hint="eastAsia" w:ascii="仿宋_GB2312" w:hAnsi="仿宋_GB2312" w:eastAsia="黑体"/>
          <w:color w:val="auto"/>
          <w:szCs w:val="32"/>
          <w:highlight w:val="none"/>
        </w:rPr>
        <w:t>甲方权利和义务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楷体_GB2312"/>
          <w:color w:val="auto"/>
          <w:sz w:val="32"/>
          <w:szCs w:val="32"/>
          <w:highlight w:val="none"/>
        </w:rPr>
        <w:t>（一）</w:t>
      </w:r>
      <w:r>
        <w:rPr>
          <w:rFonts w:hint="eastAsia" w:ascii="仿宋_GB2312" w:hAnsi="仿宋_GB2312" w:eastAsia="仿宋_GB2312" w:cs="仿宋_GB2312"/>
          <w:color w:val="auto"/>
          <w:sz w:val="32"/>
          <w:szCs w:val="32"/>
          <w:highlight w:val="none"/>
          <w:u w:val="none"/>
        </w:rPr>
        <w:t>甲方应根据深圳市和龙华区产业政策和发展要求，为产业用地项目提供指导性服务。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楷体_GB2312"/>
          <w:color w:val="auto"/>
          <w:sz w:val="32"/>
          <w:szCs w:val="32"/>
          <w:highlight w:val="none"/>
        </w:rPr>
        <w:t>（二）</w:t>
      </w:r>
      <w:r>
        <w:rPr>
          <w:rFonts w:hint="eastAsia" w:ascii="仿宋_GB2312" w:hAnsi="仿宋_GB2312" w:eastAsia="仿宋_GB2312" w:cs="仿宋_GB2312"/>
          <w:color w:val="auto"/>
          <w:sz w:val="32"/>
          <w:szCs w:val="32"/>
          <w:highlight w:val="none"/>
          <w:u w:val="none"/>
        </w:rPr>
        <w:t>工业及其他产业用地实行“全方位、全年限”和多部门联动的监管机制。甲方应当对协议约定事项的履行情况</w:t>
      </w:r>
      <w:r>
        <w:rPr>
          <w:rFonts w:hint="eastAsia" w:ascii="仿宋_GB2312" w:hAnsi="仿宋_GB2312" w:eastAsia="仿宋_GB2312" w:cs="仿宋_GB2312"/>
          <w:color w:val="auto"/>
          <w:sz w:val="32"/>
          <w:szCs w:val="32"/>
          <w:highlight w:val="none"/>
          <w:u w:val="none"/>
          <w:lang w:eastAsia="zh-CN"/>
        </w:rPr>
        <w:t>进行阶段性核查，即在</w:t>
      </w:r>
      <w:r>
        <w:rPr>
          <w:rFonts w:hint="eastAsia" w:ascii="仿宋_GB2312" w:hAnsi="仿宋_GB2312" w:eastAsia="仿宋_GB2312" w:cs="仿宋_GB2312"/>
          <w:color w:val="auto"/>
          <w:sz w:val="32"/>
          <w:szCs w:val="32"/>
          <w:highlight w:val="none"/>
          <w:u w:val="none"/>
        </w:rPr>
        <w:t>项目建成</w:t>
      </w:r>
      <w:r>
        <w:rPr>
          <w:rFonts w:hint="eastAsia" w:ascii="仿宋_GB2312" w:hAnsi="仿宋_GB2312" w:eastAsia="仿宋_GB2312" w:cs="仿宋_GB2312"/>
          <w:color w:val="auto"/>
          <w:sz w:val="32"/>
          <w:szCs w:val="32"/>
          <w:highlight w:val="none"/>
          <w:u w:val="none"/>
          <w:lang w:eastAsia="zh-CN"/>
        </w:rPr>
        <w:t>当年</w:t>
      </w:r>
      <w:r>
        <w:rPr>
          <w:rFonts w:hint="eastAsia" w:ascii="仿宋_GB2312" w:hAnsi="仿宋_GB2312" w:eastAsia="仿宋_GB2312" w:cs="仿宋_GB2312"/>
          <w:color w:val="auto"/>
          <w:sz w:val="32"/>
          <w:szCs w:val="32"/>
          <w:highlight w:val="none"/>
          <w:u w:val="none"/>
        </w:rPr>
        <w:t>、每5年</w:t>
      </w:r>
      <w:r>
        <w:rPr>
          <w:rFonts w:hint="eastAsia" w:ascii="仿宋_GB2312" w:hAnsi="仿宋_GB2312" w:eastAsia="仿宋_GB2312" w:cs="仿宋_GB2312"/>
          <w:b w:val="0"/>
          <w:bCs w:val="0"/>
          <w:color w:val="auto"/>
          <w:kern w:val="0"/>
          <w:sz w:val="32"/>
          <w:szCs w:val="32"/>
          <w:highlight w:val="none"/>
          <w:lang w:eastAsia="zh-CN"/>
        </w:rPr>
        <w:t>（含建成当年）</w:t>
      </w:r>
      <w:r>
        <w:rPr>
          <w:rFonts w:hint="eastAsia" w:ascii="仿宋_GB2312" w:hAnsi="仿宋_GB2312" w:eastAsia="仿宋_GB2312" w:cs="仿宋_GB2312"/>
          <w:color w:val="auto"/>
          <w:sz w:val="32"/>
          <w:szCs w:val="32"/>
          <w:highlight w:val="none"/>
          <w:u w:val="none"/>
        </w:rPr>
        <w:t>及出让年期届满前</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eastAsia="zh-CN"/>
        </w:rPr>
        <w:t>进行核查</w:t>
      </w:r>
      <w:r>
        <w:rPr>
          <w:rFonts w:hint="eastAsia" w:ascii="仿宋_GB2312" w:hAnsi="仿宋_GB2312" w:eastAsia="仿宋_GB2312" w:cs="仿宋_GB2312"/>
          <w:color w:val="auto"/>
          <w:sz w:val="32"/>
          <w:szCs w:val="32"/>
          <w:highlight w:val="none"/>
          <w:u w:val="none"/>
        </w:rPr>
        <w:t>。甲方</w:t>
      </w:r>
      <w:r>
        <w:rPr>
          <w:rFonts w:hint="eastAsia" w:ascii="仿宋_GB2312" w:hAnsi="仿宋_GB2312" w:eastAsia="仿宋_GB2312" w:cs="仿宋_GB2312"/>
          <w:color w:val="auto"/>
          <w:sz w:val="32"/>
          <w:szCs w:val="32"/>
          <w:highlight w:val="none"/>
          <w:u w:val="none"/>
          <w:lang w:eastAsia="zh-CN"/>
        </w:rPr>
        <w:t>可以</w:t>
      </w:r>
      <w:r>
        <w:rPr>
          <w:rFonts w:hint="eastAsia" w:ascii="仿宋_GB2312" w:hAnsi="仿宋_GB2312" w:eastAsia="仿宋_GB2312" w:cs="仿宋_GB2312"/>
          <w:color w:val="auto"/>
          <w:sz w:val="32"/>
          <w:szCs w:val="32"/>
          <w:highlight w:val="none"/>
          <w:u w:val="none"/>
        </w:rPr>
        <w:t>根据项目情况，</w:t>
      </w:r>
      <w:r>
        <w:rPr>
          <w:rFonts w:hint="eastAsia" w:ascii="仿宋_GB2312" w:hAnsi="仿宋_GB2312" w:eastAsia="仿宋_GB2312" w:cs="仿宋_GB2312"/>
          <w:color w:val="auto"/>
          <w:sz w:val="32"/>
          <w:szCs w:val="32"/>
          <w:highlight w:val="none"/>
          <w:u w:val="none"/>
          <w:lang w:eastAsia="zh-CN"/>
        </w:rPr>
        <w:t>不定期</w:t>
      </w:r>
      <w:r>
        <w:rPr>
          <w:rFonts w:hint="eastAsia" w:ascii="仿宋_GB2312" w:hAnsi="仿宋_GB2312" w:eastAsia="仿宋_GB2312" w:cs="仿宋_GB2312"/>
          <w:color w:val="auto"/>
          <w:sz w:val="32"/>
          <w:szCs w:val="32"/>
          <w:highlight w:val="none"/>
          <w:u w:val="none"/>
        </w:rPr>
        <w:t>核查乙方履行本协议约定事项的情况。经核查，乙方未能达到本协议书所约定事项要求的，甲方可</w:t>
      </w:r>
      <w:r>
        <w:rPr>
          <w:rFonts w:hint="eastAsia" w:ascii="仿宋_GB2312" w:hAnsi="仿宋_GB2312" w:eastAsia="仿宋_GB2312" w:cs="仿宋_GB2312"/>
          <w:color w:val="auto"/>
          <w:sz w:val="32"/>
          <w:szCs w:val="32"/>
          <w:highlight w:val="none"/>
          <w:u w:val="none"/>
          <w:lang w:eastAsia="zh-CN"/>
        </w:rPr>
        <w:t>责令乙方限期改正或</w:t>
      </w:r>
      <w:r>
        <w:rPr>
          <w:rFonts w:hint="eastAsia" w:ascii="仿宋_GB2312" w:hAnsi="仿宋_GB2312" w:eastAsia="仿宋_GB2312" w:cs="仿宋_GB2312"/>
          <w:color w:val="auto"/>
          <w:sz w:val="32"/>
          <w:szCs w:val="32"/>
          <w:highlight w:val="none"/>
          <w:u w:val="none"/>
        </w:rPr>
        <w:t>按照本协议书违约责任的约定进行责任追究。</w:t>
      </w:r>
      <w:r>
        <w:rPr>
          <w:rFonts w:hint="eastAsia" w:ascii="仿宋_GB2312" w:hAnsi="仿宋_GB2312" w:eastAsia="仿宋_GB2312" w:cs="仿宋_GB2312"/>
          <w:color w:val="auto"/>
          <w:kern w:val="2"/>
          <w:sz w:val="32"/>
          <w:szCs w:val="32"/>
          <w:highlight w:val="none"/>
          <w:lang w:val="en-US" w:eastAsia="zh-CN"/>
        </w:rPr>
        <w:t>甲方可委托相关专业机构代为主张权利或履行义务。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5" w:firstLineChars="0"/>
        <w:jc w:val="lef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olor w:val="auto"/>
          <w:sz w:val="32"/>
          <w:szCs w:val="32"/>
          <w:highlight w:val="none"/>
        </w:rPr>
        <w:t>（</w:t>
      </w:r>
      <w:r>
        <w:rPr>
          <w:rFonts w:hint="eastAsia" w:ascii="仿宋_GB2312" w:hAnsi="仿宋_GB2312" w:eastAsia="楷体_GB2312"/>
          <w:color w:val="auto"/>
          <w:sz w:val="32"/>
          <w:szCs w:val="32"/>
          <w:highlight w:val="none"/>
        </w:rPr>
        <w:t>三）</w:t>
      </w:r>
      <w:r>
        <w:rPr>
          <w:rFonts w:ascii="Times New Roman" w:hAnsi="Times New Roman" w:eastAsia="仿宋_GB2312"/>
          <w:color w:val="auto"/>
          <w:sz w:val="32"/>
          <w:szCs w:val="32"/>
          <w:highlight w:val="none"/>
        </w:rPr>
        <w:t>乙方因人民法院强制执行拍卖或者变卖建设用地使用权的，次受让人应当符合原</w:t>
      </w:r>
      <w:r>
        <w:rPr>
          <w:rFonts w:hint="eastAsia" w:ascii="Times New Roman" w:hAnsi="Times New Roman" w:eastAsia="仿宋_GB2312"/>
          <w:color w:val="auto"/>
          <w:sz w:val="32"/>
          <w:szCs w:val="32"/>
          <w:highlight w:val="none"/>
          <w:lang w:eastAsia="zh-CN"/>
        </w:rPr>
        <w:t>土地出让合同</w:t>
      </w:r>
      <w:r>
        <w:rPr>
          <w:rFonts w:ascii="Times New Roman" w:hAnsi="Times New Roman" w:eastAsia="仿宋_GB2312"/>
          <w:color w:val="auto"/>
          <w:sz w:val="32"/>
          <w:szCs w:val="32"/>
          <w:highlight w:val="none"/>
        </w:rPr>
        <w:t>中限定的受让人资格条件，并应当承接原国有建设用地使用权出让合同及本协议规定的受让人责任及义务。人民法院强制执行又无符合条件的次受让人的，其建设用地使用权及地上建（构）筑物可由龙</w:t>
      </w:r>
      <w:r>
        <w:rPr>
          <w:rFonts w:hint="eastAsia" w:ascii="Times New Roman" w:hAnsi="Times New Roman" w:eastAsia="仿宋_GB2312"/>
          <w:color w:val="auto"/>
          <w:sz w:val="32"/>
          <w:szCs w:val="32"/>
          <w:highlight w:val="none"/>
          <w:lang w:eastAsia="zh-CN"/>
        </w:rPr>
        <w:t>华</w:t>
      </w:r>
      <w:r>
        <w:rPr>
          <w:rFonts w:ascii="Times New Roman" w:hAnsi="Times New Roman" w:eastAsia="仿宋_GB2312"/>
          <w:color w:val="auto"/>
          <w:sz w:val="32"/>
          <w:szCs w:val="32"/>
          <w:highlight w:val="none"/>
        </w:rPr>
        <w:t>区政府优先回购</w:t>
      </w:r>
      <w:r>
        <w:rPr>
          <w:rFonts w:hint="eastAsia" w:ascii="Times New Roman" w:hAnsi="Times New Roman" w:eastAsia="仿宋_GB2312"/>
          <w:color w:val="auto"/>
          <w:sz w:val="32"/>
          <w:szCs w:val="32"/>
          <w:highlight w:val="none"/>
          <w:lang w:eastAsia="zh-CN"/>
        </w:rPr>
        <w:t>，回购价不高于土地剩余年期残值与</w:t>
      </w:r>
      <w:r>
        <w:rPr>
          <w:rFonts w:ascii="Times New Roman" w:hAnsi="Times New Roman" w:eastAsia="仿宋_GB2312"/>
          <w:color w:val="auto"/>
          <w:sz w:val="32"/>
          <w:szCs w:val="32"/>
          <w:highlight w:val="none"/>
        </w:rPr>
        <w:t>地上建（构）筑物</w:t>
      </w:r>
      <w:r>
        <w:rPr>
          <w:rFonts w:hint="eastAsia" w:ascii="Times New Roman" w:hAnsi="Times New Roman" w:eastAsia="仿宋_GB2312"/>
          <w:color w:val="auto"/>
          <w:sz w:val="32"/>
          <w:szCs w:val="32"/>
          <w:highlight w:val="none"/>
          <w:lang w:eastAsia="zh-CN"/>
        </w:rPr>
        <w:t>评估价之和。</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黑体"/>
          <w:bCs/>
          <w:color w:val="auto"/>
          <w:sz w:val="32"/>
          <w:szCs w:val="32"/>
          <w:highlight w:val="none"/>
        </w:rPr>
      </w:pPr>
      <w:r>
        <w:rPr>
          <w:rFonts w:hint="eastAsia" w:ascii="仿宋_GB2312" w:hAnsi="仿宋_GB2312" w:eastAsia="黑体"/>
          <w:bCs/>
          <w:color w:val="auto"/>
          <w:sz w:val="32"/>
          <w:szCs w:val="32"/>
          <w:highlight w:val="none"/>
          <w:lang w:eastAsia="zh-CN"/>
        </w:rPr>
        <w:t>三、</w:t>
      </w:r>
      <w:r>
        <w:rPr>
          <w:rFonts w:hint="eastAsia" w:ascii="仿宋_GB2312" w:hAnsi="仿宋_GB2312" w:eastAsia="黑体"/>
          <w:bCs/>
          <w:color w:val="auto"/>
          <w:sz w:val="32"/>
          <w:szCs w:val="32"/>
          <w:highlight w:val="none"/>
        </w:rPr>
        <w:t>乙方权利和义务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楷体_GB2312"/>
          <w:color w:val="auto"/>
          <w:sz w:val="32"/>
          <w:szCs w:val="32"/>
          <w:highlight w:val="none"/>
          <w:u w:val="none"/>
        </w:rPr>
        <w:t>（一）</w:t>
      </w:r>
      <w:r>
        <w:rPr>
          <w:rFonts w:hint="eastAsia" w:ascii="仿宋_GB2312" w:hAnsi="仿宋_GB2312" w:eastAsia="仿宋_GB2312" w:cs="仿宋_GB2312"/>
          <w:color w:val="auto"/>
          <w:sz w:val="32"/>
          <w:szCs w:val="32"/>
          <w:highlight w:val="none"/>
          <w:u w:val="none"/>
        </w:rPr>
        <w:t>乙方应当按期全面履行本协议承诺和有关约定，积极推进</w:t>
      </w:r>
      <w:r>
        <w:rPr>
          <w:rFonts w:hint="eastAsia" w:ascii="仿宋_GB2312" w:hAnsi="仿宋_GB2312" w:eastAsia="仿宋_GB2312" w:cs="仿宋_GB2312"/>
          <w:color w:val="auto"/>
          <w:sz w:val="32"/>
          <w:szCs w:val="32"/>
          <w:highlight w:val="none"/>
          <w:u w:val="single"/>
          <w:lang w:eastAsia="zh-CN"/>
        </w:rPr>
        <w:t>龙华区观澜地块优质产业空间供给试点项目</w:t>
      </w:r>
      <w:r>
        <w:rPr>
          <w:rFonts w:hint="eastAsia" w:ascii="仿宋_GB2312" w:hAnsi="仿宋_GB2312" w:eastAsia="仿宋_GB2312" w:cs="仿宋_GB2312"/>
          <w:color w:val="auto"/>
          <w:sz w:val="32"/>
          <w:szCs w:val="32"/>
          <w:highlight w:val="none"/>
          <w:u w:val="none"/>
        </w:rPr>
        <w:t>的投资建设。</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楷体_GB2312"/>
          <w:color w:val="auto"/>
          <w:sz w:val="32"/>
          <w:szCs w:val="32"/>
          <w:highlight w:val="none"/>
          <w:u w:val="none"/>
        </w:rPr>
        <w:t>（二）</w:t>
      </w:r>
      <w:r>
        <w:rPr>
          <w:rFonts w:hint="eastAsia" w:ascii="仿宋_GB2312" w:hAnsi="仿宋_GB2312" w:eastAsia="仿宋_GB2312" w:cs="仿宋_GB2312"/>
          <w:color w:val="auto"/>
          <w:sz w:val="32"/>
          <w:szCs w:val="32"/>
          <w:highlight w:val="none"/>
          <w:u w:val="none"/>
        </w:rPr>
        <w:t>乙方竞买取得的上述地块只能用于</w:t>
      </w:r>
      <w:r>
        <w:rPr>
          <w:rFonts w:hint="eastAsia" w:ascii="仿宋_GB2312" w:hAnsi="仿宋_GB2312" w:eastAsia="仿宋_GB2312" w:cs="仿宋_GB2312"/>
          <w:color w:val="auto"/>
          <w:sz w:val="32"/>
          <w:szCs w:val="32"/>
          <w:highlight w:val="none"/>
          <w:u w:val="single"/>
          <w:lang w:eastAsia="zh-CN"/>
        </w:rPr>
        <w:t>龙华区观澜地块优质产业空间供给试点项目</w:t>
      </w:r>
      <w:r>
        <w:rPr>
          <w:rFonts w:hint="eastAsia" w:ascii="仿宋_GB2312" w:hAnsi="仿宋_GB2312" w:eastAsia="仿宋_GB2312" w:cs="仿宋_GB2312"/>
          <w:color w:val="auto"/>
          <w:sz w:val="32"/>
          <w:szCs w:val="32"/>
          <w:highlight w:val="none"/>
          <w:u w:val="none"/>
        </w:rPr>
        <w:t>建设。</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楷体_GB2312"/>
          <w:color w:val="auto"/>
          <w:sz w:val="32"/>
          <w:szCs w:val="32"/>
          <w:highlight w:val="none"/>
          <w:u w:val="none"/>
          <w:lang w:eastAsia="zh-CN"/>
        </w:rPr>
      </w:pPr>
      <w:r>
        <w:rPr>
          <w:rFonts w:hint="eastAsia" w:ascii="仿宋_GB2312" w:hAnsi="仿宋_GB2312" w:eastAsia="楷体_GB2312"/>
          <w:color w:val="auto"/>
          <w:sz w:val="32"/>
          <w:szCs w:val="32"/>
          <w:highlight w:val="none"/>
          <w:u w:val="none"/>
        </w:rPr>
        <w:t>（</w:t>
      </w:r>
      <w:r>
        <w:rPr>
          <w:rFonts w:hint="eastAsia" w:ascii="仿宋_GB2312" w:hAnsi="仿宋_GB2312" w:eastAsia="楷体_GB2312"/>
          <w:color w:val="auto"/>
          <w:sz w:val="32"/>
          <w:szCs w:val="32"/>
          <w:highlight w:val="none"/>
          <w:u w:val="none"/>
          <w:lang w:eastAsia="zh-CN"/>
        </w:rPr>
        <w:t>三</w:t>
      </w:r>
      <w:r>
        <w:rPr>
          <w:rFonts w:hint="eastAsia" w:ascii="仿宋_GB2312" w:hAnsi="仿宋_GB2312" w:eastAsia="楷体_GB2312"/>
          <w:color w:val="auto"/>
          <w:sz w:val="32"/>
          <w:szCs w:val="32"/>
          <w:highlight w:val="none"/>
          <w:u w:val="none"/>
        </w:rPr>
        <w:t>）乙方承诺</w:t>
      </w:r>
      <w:r>
        <w:rPr>
          <w:rFonts w:hint="eastAsia" w:ascii="仿宋_GB2312" w:hAnsi="仿宋_GB2312" w:eastAsia="楷体_GB2312"/>
          <w:color w:val="auto"/>
          <w:sz w:val="32"/>
          <w:szCs w:val="32"/>
          <w:highlight w:val="none"/>
          <w:u w:val="none"/>
          <w:lang w:eastAsia="zh-CN"/>
        </w:rPr>
        <w:t>：</w:t>
      </w:r>
    </w:p>
    <w:p>
      <w:pPr>
        <w:pStyle w:val="14"/>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rPr>
        <w:t>1</w:t>
      </w:r>
      <w:r>
        <w:rPr>
          <w:rFonts w:hint="eastAsia" w:ascii="仿宋_GB2312" w:hAnsi="仿宋_GB2312" w:eastAsia="仿宋_GB2312" w:cs="仿宋_GB2312"/>
          <w:b w:val="0"/>
          <w:bCs w:val="0"/>
          <w:color w:val="auto"/>
          <w:sz w:val="32"/>
          <w:szCs w:val="32"/>
          <w:highlight w:val="none"/>
          <w:u w:val="none"/>
          <w:lang w:val="en-US" w:eastAsia="zh-CN"/>
        </w:rPr>
        <w:t>.乙方在</w:t>
      </w:r>
      <w:r>
        <w:rPr>
          <w:rFonts w:hint="eastAsia" w:ascii="仿宋_GB2312" w:hAnsi="仿宋_GB2312" w:eastAsia="仿宋_GB2312" w:cs="仿宋_GB2312"/>
          <w:b w:val="0"/>
          <w:bCs w:val="0"/>
          <w:color w:val="auto"/>
          <w:sz w:val="32"/>
          <w:szCs w:val="32"/>
          <w:highlight w:val="none"/>
          <w:u w:val="none"/>
        </w:rPr>
        <w:t>竞得用地后1年内开工建设，</w:t>
      </w:r>
      <w:r>
        <w:rPr>
          <w:rFonts w:hint="eastAsia" w:ascii="仿宋_GB2312" w:hAnsi="仿宋_GB2312" w:eastAsia="仿宋_GB2312" w:cs="仿宋_GB2312"/>
          <w:b w:val="0"/>
          <w:bCs w:val="0"/>
          <w:color w:val="auto"/>
          <w:sz w:val="32"/>
          <w:szCs w:val="32"/>
          <w:highlight w:val="none"/>
          <w:u w:val="single"/>
          <w:lang w:val="en-US" w:eastAsia="zh-CN"/>
        </w:rPr>
        <w:t>4</w:t>
      </w:r>
      <w:r>
        <w:rPr>
          <w:rFonts w:hint="eastAsia" w:ascii="仿宋_GB2312" w:hAnsi="仿宋_GB2312" w:eastAsia="仿宋_GB2312" w:cs="仿宋_GB2312"/>
          <w:b w:val="0"/>
          <w:bCs w:val="0"/>
          <w:color w:val="auto"/>
          <w:sz w:val="32"/>
          <w:szCs w:val="32"/>
          <w:highlight w:val="none"/>
          <w:u w:val="none"/>
        </w:rPr>
        <w:t>年内全部建成</w:t>
      </w:r>
      <w:r>
        <w:rPr>
          <w:rFonts w:hint="eastAsia" w:ascii="仿宋_GB2312" w:hAnsi="仿宋_GB2312" w:eastAsia="仿宋_GB2312" w:cs="仿宋_GB2312"/>
          <w:b w:val="0"/>
          <w:bCs w:val="0"/>
          <w:color w:val="auto"/>
          <w:sz w:val="32"/>
          <w:szCs w:val="32"/>
          <w:highlight w:val="none"/>
          <w:u w:val="none"/>
          <w:lang w:eastAsia="zh-CN"/>
        </w:rPr>
        <w:t>验收。</w:t>
      </w:r>
    </w:p>
    <w:p>
      <w:pPr>
        <w:pStyle w:val="14"/>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乙方上述</w:t>
      </w:r>
      <w:r>
        <w:rPr>
          <w:rFonts w:hint="eastAsia" w:ascii="仿宋_GB2312" w:hAnsi="仿宋_GB2312" w:eastAsia="仿宋_GB2312" w:cs="仿宋_GB2312"/>
          <w:b w:val="0"/>
          <w:bCs w:val="0"/>
          <w:color w:val="auto"/>
          <w:sz w:val="32"/>
          <w:szCs w:val="32"/>
          <w:highlight w:val="none"/>
        </w:rPr>
        <w:t>项目总投资额不低于</w:t>
      </w:r>
      <w:r>
        <w:rPr>
          <w:rFonts w:hint="eastAsia" w:ascii="仿宋_GB2312" w:hAnsi="仿宋_GB2312" w:eastAsia="仿宋_GB2312" w:cs="仿宋_GB2312"/>
          <w:b w:val="0"/>
          <w:bCs w:val="0"/>
          <w:color w:val="auto"/>
          <w:sz w:val="32"/>
          <w:szCs w:val="32"/>
          <w:highlight w:val="none"/>
          <w:u w:val="single"/>
          <w:lang w:val="en-US" w:eastAsia="zh-CN"/>
        </w:rPr>
        <w:t>35000</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固定资产投资强度（</w:t>
      </w:r>
      <w:r>
        <w:rPr>
          <w:rFonts w:hint="eastAsia" w:ascii="仿宋_GB2312" w:hAnsi="仿宋_GB2312" w:eastAsia="仿宋_GB2312" w:cs="仿宋_GB2312"/>
          <w:color w:val="auto"/>
          <w:sz w:val="32"/>
          <w:szCs w:val="32"/>
          <w:highlight w:val="none"/>
        </w:rPr>
        <w:t>项目用地范围内单位土地面积</w:t>
      </w:r>
      <w:r>
        <w:rPr>
          <w:rFonts w:hint="eastAsia" w:ascii="仿宋_GB2312" w:hAnsi="仿宋_GB2312" w:eastAsia="仿宋_GB2312" w:cs="仿宋_GB2312"/>
          <w:color w:val="auto"/>
          <w:sz w:val="32"/>
          <w:szCs w:val="32"/>
          <w:highlight w:val="none"/>
          <w:lang w:eastAsia="zh-CN"/>
        </w:rPr>
        <w:t>纳统</w:t>
      </w:r>
      <w:r>
        <w:rPr>
          <w:rFonts w:hint="eastAsia" w:ascii="仿宋_GB2312" w:hAnsi="仿宋_GB2312" w:eastAsia="仿宋_GB2312" w:cs="仿宋_GB2312"/>
          <w:color w:val="auto"/>
          <w:sz w:val="32"/>
          <w:szCs w:val="32"/>
          <w:highlight w:val="none"/>
        </w:rPr>
        <w:t>固定资产</w:t>
      </w:r>
      <w:r>
        <w:rPr>
          <w:rFonts w:hint="eastAsia" w:ascii="仿宋_GB2312" w:hAnsi="仿宋_GB2312" w:eastAsia="仿宋_GB2312" w:cs="仿宋_GB2312"/>
          <w:color w:val="auto"/>
          <w:sz w:val="32"/>
          <w:szCs w:val="32"/>
          <w:highlight w:val="none"/>
          <w:lang w:eastAsia="zh-CN"/>
        </w:rPr>
        <w:t>投资</w:t>
      </w:r>
      <w:r>
        <w:rPr>
          <w:rFonts w:hint="eastAsia" w:ascii="仿宋_GB2312" w:hAnsi="仿宋_GB2312" w:eastAsia="仿宋_GB2312" w:cs="仿宋_GB2312"/>
          <w:color w:val="auto"/>
          <w:sz w:val="32"/>
          <w:szCs w:val="32"/>
          <w:highlight w:val="none"/>
        </w:rPr>
        <w:t>额，包括园区建设工程成本、设备和地价款</w:t>
      </w:r>
      <w:r>
        <w:rPr>
          <w:rFonts w:hint="eastAsia" w:ascii="仿宋_GB2312" w:hAnsi="仿宋_GB2312" w:eastAsia="仿宋_GB2312" w:cs="仿宋_GB2312"/>
          <w:b w:val="0"/>
          <w:bCs w:val="0"/>
          <w:color w:val="auto"/>
          <w:sz w:val="32"/>
          <w:szCs w:val="32"/>
          <w:highlight w:val="none"/>
        </w:rPr>
        <w:t>）不低于</w:t>
      </w:r>
      <w:r>
        <w:rPr>
          <w:rFonts w:hint="eastAsia" w:ascii="仿宋_GB2312" w:hAnsi="仿宋_GB2312" w:eastAsia="仿宋_GB2312" w:cs="仿宋_GB2312"/>
          <w:b w:val="0"/>
          <w:bCs w:val="0"/>
          <w:color w:val="auto"/>
          <w:sz w:val="32"/>
          <w:szCs w:val="32"/>
          <w:highlight w:val="none"/>
          <w:u w:val="single"/>
          <w:lang w:val="en-US" w:eastAsia="zh-CN"/>
        </w:rPr>
        <w:t>15000</w:t>
      </w:r>
      <w:r>
        <w:rPr>
          <w:rFonts w:hint="eastAsia" w:ascii="仿宋_GB2312" w:hAnsi="仿宋_GB2312" w:eastAsia="仿宋_GB2312" w:cs="仿宋_GB2312"/>
          <w:b w:val="0"/>
          <w:bCs w:val="0"/>
          <w:color w:val="auto"/>
          <w:sz w:val="32"/>
          <w:szCs w:val="32"/>
          <w:highlight w:val="none"/>
        </w:rPr>
        <w:t>元/</w:t>
      </w:r>
      <w:r>
        <w:rPr>
          <w:rFonts w:hint="eastAsia" w:ascii="仿宋_GB2312" w:hAnsi="仿宋_GB2312" w:eastAsia="仿宋_GB2312" w:cs="仿宋_GB2312"/>
          <w:b w:val="0"/>
          <w:bCs w:val="0"/>
          <w:color w:val="auto"/>
          <w:sz w:val="32"/>
          <w:szCs w:val="32"/>
          <w:highlight w:val="none"/>
          <w:lang w:eastAsia="zh-CN"/>
        </w:rPr>
        <w:t>平方米，其中建设工程成本（单位占地面积）不低于人民币</w:t>
      </w:r>
      <w:r>
        <w:rPr>
          <w:rFonts w:hint="eastAsia" w:ascii="仿宋_GB2312" w:hAnsi="仿宋_GB2312" w:eastAsia="仿宋_GB2312" w:cs="仿宋_GB2312"/>
          <w:b w:val="0"/>
          <w:bCs w:val="0"/>
          <w:color w:val="auto"/>
          <w:sz w:val="32"/>
          <w:szCs w:val="32"/>
          <w:highlight w:val="none"/>
          <w:lang w:val="en-US" w:eastAsia="zh-CN"/>
        </w:rPr>
        <w:t>3500</w:t>
      </w:r>
      <w:r>
        <w:rPr>
          <w:rFonts w:hint="eastAsia" w:ascii="仿宋_GB2312" w:hAnsi="仿宋_GB2312" w:eastAsia="仿宋_GB2312" w:cs="仿宋_GB2312"/>
          <w:b w:val="0"/>
          <w:bCs w:val="0"/>
          <w:color w:val="auto"/>
          <w:sz w:val="32"/>
          <w:szCs w:val="32"/>
          <w:highlight w:val="none"/>
          <w:lang w:eastAsia="zh-CN"/>
        </w:rPr>
        <w:t>元/平方米。</w:t>
      </w:r>
    </w:p>
    <w:p>
      <w:pPr>
        <w:pStyle w:val="14"/>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trike/>
          <w:dstrike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lang w:eastAsia="zh-CN"/>
        </w:rPr>
        <w:t>以上所称“建设工程成本”，包括：项目设计费（含流转税）、建安工程费、装修工程费（含流转税）、工程建设其他费，其中，建安工程费的计算公式参照深圳市建设工程造价管理站最新发布的《深圳市建设工程计价规程》的要求执行。</w:t>
      </w:r>
    </w:p>
    <w:p>
      <w:pPr>
        <w:pStyle w:val="14"/>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u w:val="none"/>
        </w:rPr>
        <w:t>乙方</w:t>
      </w:r>
      <w:r>
        <w:rPr>
          <w:rFonts w:hint="eastAsia" w:ascii="仿宋_GB2312" w:hAnsi="仿宋_GB2312" w:eastAsia="仿宋_GB2312" w:cs="仿宋_GB2312"/>
          <w:b w:val="0"/>
          <w:bCs w:val="0"/>
          <w:color w:val="auto"/>
          <w:sz w:val="32"/>
          <w:szCs w:val="32"/>
          <w:highlight w:val="none"/>
          <w:u w:val="none"/>
          <w:lang w:eastAsia="zh-CN"/>
        </w:rPr>
        <w:t>自</w:t>
      </w:r>
      <w:r>
        <w:rPr>
          <w:rFonts w:hint="eastAsia" w:ascii="仿宋_GB2312" w:hAnsi="仿宋_GB2312" w:eastAsia="仿宋_GB2312" w:cs="仿宋_GB2312"/>
          <w:b w:val="0"/>
          <w:bCs w:val="0"/>
          <w:color w:val="auto"/>
          <w:sz w:val="32"/>
          <w:szCs w:val="32"/>
          <w:highlight w:val="none"/>
          <w:u w:val="none"/>
        </w:rPr>
        <w:t>签署</w:t>
      </w:r>
      <w:r>
        <w:rPr>
          <w:rFonts w:hint="eastAsia" w:ascii="仿宋_GB2312" w:hAnsi="仿宋_GB2312" w:eastAsia="仿宋_GB2312" w:cs="仿宋_GB2312"/>
          <w:b w:val="0"/>
          <w:bCs w:val="0"/>
          <w:color w:val="auto"/>
          <w:sz w:val="32"/>
          <w:szCs w:val="32"/>
          <w:highlight w:val="none"/>
          <w:u w:val="none"/>
          <w:lang w:eastAsia="zh-CN"/>
        </w:rPr>
        <w:t>土地出让合同之日起</w:t>
      </w:r>
      <w:r>
        <w:rPr>
          <w:rFonts w:hint="eastAsia" w:ascii="仿宋_GB2312" w:hAnsi="仿宋_GB2312" w:eastAsia="仿宋_GB2312" w:cs="仿宋_GB2312"/>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lang w:eastAsia="zh-CN"/>
        </w:rPr>
        <w:t>年内（含签署当年），即</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none"/>
          <w:lang w:eastAsia="zh-CN"/>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none"/>
          <w:lang w:eastAsia="zh-CN"/>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none"/>
          <w:lang w:eastAsia="zh-CN"/>
        </w:rPr>
        <w:t>日至</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none"/>
          <w:lang w:eastAsia="zh-CN"/>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none"/>
          <w:lang w:eastAsia="zh-CN"/>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none"/>
          <w:lang w:eastAsia="zh-CN"/>
        </w:rPr>
        <w:t>日（以下简称“承诺期”）</w:t>
      </w:r>
      <w:r>
        <w:rPr>
          <w:rFonts w:hint="eastAsia" w:ascii="仿宋_GB2312" w:hAnsi="仿宋_GB2312" w:eastAsia="仿宋_GB2312" w:cs="仿宋_GB2312"/>
          <w:b w:val="0"/>
          <w:bCs w:val="0"/>
          <w:color w:val="auto"/>
          <w:sz w:val="32"/>
          <w:szCs w:val="32"/>
          <w:highlight w:val="none"/>
          <w:u w:val="none"/>
          <w:lang w:eastAsia="zh-CN"/>
        </w:rPr>
        <w:t>在龙华区累计纳税不低于</w:t>
      </w:r>
      <w:r>
        <w:rPr>
          <w:rFonts w:hint="eastAsia" w:ascii="仿宋_GB2312" w:hAnsi="仿宋_GB2312" w:eastAsia="仿宋_GB2312" w:cs="仿宋_GB2312"/>
          <w:b w:val="0"/>
          <w:bCs w:val="0"/>
          <w:color w:val="auto"/>
          <w:sz w:val="32"/>
          <w:szCs w:val="32"/>
          <w:highlight w:val="none"/>
          <w:u w:val="single"/>
          <w:lang w:val="en-US" w:eastAsia="zh-CN"/>
        </w:rPr>
        <w:t>0.25</w:t>
      </w:r>
      <w:r>
        <w:rPr>
          <w:rFonts w:hint="eastAsia" w:ascii="仿宋_GB2312" w:hAnsi="仿宋_GB2312" w:eastAsia="仿宋_GB2312" w:cs="仿宋_GB2312"/>
          <w:b w:val="0"/>
          <w:bCs w:val="0"/>
          <w:color w:val="auto"/>
          <w:sz w:val="32"/>
          <w:szCs w:val="32"/>
          <w:highlight w:val="none"/>
          <w:u w:val="none"/>
          <w:lang w:eastAsia="zh-CN"/>
        </w:rPr>
        <w:t>亿元</w:t>
      </w:r>
      <w:r>
        <w:rPr>
          <w:rFonts w:hint="eastAsia" w:ascii="仿宋_GB2312" w:hAnsi="仿宋_GB2312" w:eastAsia="仿宋_GB2312" w:cs="仿宋_GB2312"/>
          <w:b w:val="0"/>
          <w:bCs w:val="0"/>
          <w:color w:val="auto"/>
          <w:sz w:val="32"/>
          <w:szCs w:val="32"/>
          <w:highlight w:val="none"/>
          <w:u w:val="none"/>
        </w:rPr>
        <w:t>。</w:t>
      </w:r>
    </w:p>
    <w:p>
      <w:pPr>
        <w:pStyle w:val="14"/>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楷体_GB2312" w:cs="Times New Roman"/>
          <w:color w:val="auto"/>
          <w:kern w:val="2"/>
          <w:sz w:val="32"/>
          <w:szCs w:val="32"/>
          <w:highlight w:val="none"/>
          <w:u w:val="none"/>
          <w:lang w:val="en-US" w:eastAsia="zh-CN" w:bidi="ar-SA"/>
        </w:rPr>
        <w:t>（四）</w:t>
      </w:r>
      <w:r>
        <w:rPr>
          <w:rFonts w:hint="eastAsia" w:ascii="仿宋_GB2312" w:hAnsi="仿宋_GB2312" w:eastAsia="仿宋_GB2312" w:cs="仿宋_GB2312"/>
          <w:b w:val="0"/>
          <w:bCs w:val="0"/>
          <w:color w:val="auto"/>
          <w:sz w:val="32"/>
          <w:szCs w:val="32"/>
          <w:highlight w:val="none"/>
          <w:u w:val="none"/>
          <w:lang w:val="en-US" w:eastAsia="zh-CN"/>
        </w:rPr>
        <w:t>本项目的</w:t>
      </w:r>
      <w:r>
        <w:rPr>
          <w:rFonts w:hint="eastAsia" w:ascii="仿宋_GB2312" w:hAnsi="仿宋_GB2312" w:eastAsia="仿宋_GB2312" w:cs="仿宋_GB2312"/>
          <w:b w:val="0"/>
          <w:bCs w:val="0"/>
          <w:color w:val="auto"/>
          <w:sz w:val="32"/>
          <w:szCs w:val="32"/>
          <w:highlight w:val="none"/>
          <w:u w:val="none"/>
        </w:rPr>
        <w:t>建设标准及园区设计</w:t>
      </w:r>
      <w:r>
        <w:rPr>
          <w:rFonts w:hint="eastAsia" w:ascii="仿宋_GB2312" w:hAnsi="仿宋_GB2312" w:eastAsia="仿宋_GB2312" w:cs="仿宋_GB2312"/>
          <w:b w:val="0"/>
          <w:bCs w:val="0"/>
          <w:color w:val="auto"/>
          <w:sz w:val="32"/>
          <w:szCs w:val="32"/>
          <w:highlight w:val="none"/>
          <w:u w:val="none"/>
          <w:lang w:val="en-US" w:eastAsia="zh-CN"/>
        </w:rPr>
        <w:t>须符合《绿色工业建筑评价标准》GB/T50878及深圳市绿色建筑促进办法等</w:t>
      </w:r>
      <w:r>
        <w:rPr>
          <w:rFonts w:hint="eastAsia" w:ascii="仿宋_GB2312" w:hAnsi="仿宋_GB2312" w:eastAsia="仿宋_GB2312" w:cs="仿宋_GB2312"/>
          <w:b w:val="0"/>
          <w:bCs w:val="0"/>
          <w:color w:val="auto"/>
          <w:sz w:val="32"/>
          <w:szCs w:val="32"/>
          <w:highlight w:val="none"/>
          <w:u w:val="none"/>
        </w:rPr>
        <w:t>深圳市建设类</w:t>
      </w:r>
      <w:r>
        <w:rPr>
          <w:rFonts w:hint="eastAsia" w:ascii="仿宋_GB2312" w:hAnsi="仿宋_GB2312" w:eastAsia="仿宋_GB2312" w:cs="仿宋_GB2312"/>
          <w:b w:val="0"/>
          <w:bCs w:val="0"/>
          <w:color w:val="auto"/>
          <w:sz w:val="32"/>
          <w:szCs w:val="32"/>
          <w:highlight w:val="none"/>
          <w:u w:val="none"/>
          <w:lang w:val="en-US" w:eastAsia="zh-CN"/>
        </w:rPr>
        <w:t>规范、标准，</w:t>
      </w:r>
      <w:r>
        <w:rPr>
          <w:rFonts w:hint="eastAsia" w:ascii="仿宋_GB2312" w:hAnsi="仿宋_GB2312" w:eastAsia="仿宋_GB2312" w:cs="仿宋_GB2312"/>
          <w:b w:val="0"/>
          <w:bCs w:val="0"/>
          <w:color w:val="auto"/>
          <w:sz w:val="32"/>
          <w:szCs w:val="32"/>
          <w:highlight w:val="none"/>
          <w:u w:val="none"/>
          <w:lang w:eastAsia="zh-CN"/>
        </w:rPr>
        <w:t>并</w:t>
      </w:r>
      <w:r>
        <w:rPr>
          <w:rFonts w:hint="eastAsia" w:ascii="仿宋_GB2312" w:hAnsi="仿宋_GB2312" w:eastAsia="仿宋_GB2312" w:cs="仿宋_GB2312"/>
          <w:b w:val="0"/>
          <w:bCs w:val="0"/>
          <w:color w:val="auto"/>
          <w:sz w:val="32"/>
          <w:szCs w:val="32"/>
          <w:highlight w:val="none"/>
          <w:u w:val="none"/>
        </w:rPr>
        <w:t>满足《深圳市工业区块线管理办法》的相关标准要求</w:t>
      </w:r>
      <w:r>
        <w:rPr>
          <w:rFonts w:hint="eastAsia" w:ascii="仿宋_GB2312" w:hAnsi="仿宋_GB2312" w:eastAsia="仿宋_GB2312" w:cs="仿宋_GB2312"/>
          <w:b w:val="0"/>
          <w:bCs w:val="0"/>
          <w:color w:val="auto"/>
          <w:sz w:val="32"/>
          <w:szCs w:val="32"/>
          <w:highlight w:val="none"/>
          <w:u w:val="none"/>
          <w:lang w:eastAsia="zh-CN"/>
        </w:rPr>
        <w:t>。</w:t>
      </w:r>
    </w:p>
    <w:p>
      <w:pPr>
        <w:pStyle w:val="14"/>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楷体_GB2312" w:cs="Times New Roman"/>
          <w:color w:val="auto"/>
          <w:kern w:val="2"/>
          <w:sz w:val="32"/>
          <w:szCs w:val="32"/>
          <w:highlight w:val="none"/>
          <w:u w:val="none"/>
          <w:lang w:val="en-US" w:eastAsia="zh-CN" w:bidi="ar-SA"/>
        </w:rPr>
        <w:t>（五）</w:t>
      </w:r>
      <w:r>
        <w:rPr>
          <w:rFonts w:hint="eastAsia" w:ascii="仿宋_GB2312" w:hAnsi="仿宋_GB2312" w:eastAsia="仿宋_GB2312" w:cs="仿宋_GB2312"/>
          <w:b w:val="0"/>
          <w:bCs w:val="0"/>
          <w:color w:val="auto"/>
          <w:sz w:val="32"/>
          <w:szCs w:val="32"/>
          <w:highlight w:val="none"/>
          <w:u w:val="none"/>
          <w:lang w:val="en-US" w:eastAsia="zh-CN"/>
        </w:rPr>
        <w:t>如存在物业移交情况，乙方应在本宗地建设项目竣工验收前与区政府或其指定部门签订相关物业的移交协议。</w:t>
      </w:r>
    </w:p>
    <w:p>
      <w:pPr>
        <w:pStyle w:val="14"/>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楷体_GB2312" w:cs="Times New Roman"/>
          <w:color w:val="auto"/>
          <w:kern w:val="2"/>
          <w:sz w:val="32"/>
          <w:szCs w:val="32"/>
          <w:highlight w:val="none"/>
          <w:u w:val="none"/>
          <w:lang w:val="en-US" w:eastAsia="zh-CN" w:bidi="ar-SA"/>
        </w:rPr>
        <w:t>（六）</w:t>
      </w:r>
      <w:r>
        <w:rPr>
          <w:rFonts w:hint="eastAsia" w:ascii="仿宋_GB2312" w:hAnsi="仿宋_GB2312" w:eastAsia="仿宋_GB2312" w:cs="仿宋_GB2312"/>
          <w:b w:val="0"/>
          <w:bCs w:val="0"/>
          <w:color w:val="auto"/>
          <w:sz w:val="32"/>
          <w:szCs w:val="32"/>
          <w:highlight w:val="none"/>
          <w:u w:val="none"/>
        </w:rPr>
        <w:t>本项目产业用房及配套宿舍的基准销售价格按照“总成本+微利”原则确定，其中，总成本包括土地成本、</w:t>
      </w:r>
      <w:r>
        <w:rPr>
          <w:rFonts w:hint="eastAsia" w:ascii="仿宋_GB2312" w:hAnsi="仿宋_GB2312" w:eastAsia="仿宋_GB2312" w:cs="仿宋_GB2312"/>
          <w:b w:val="0"/>
          <w:bCs w:val="0"/>
          <w:color w:val="auto"/>
          <w:sz w:val="32"/>
          <w:szCs w:val="32"/>
          <w:highlight w:val="none"/>
          <w:u w:val="none"/>
          <w:lang w:eastAsia="zh-CN"/>
        </w:rPr>
        <w:t>建设工程</w:t>
      </w:r>
      <w:r>
        <w:rPr>
          <w:rFonts w:hint="eastAsia" w:ascii="仿宋_GB2312" w:hAnsi="仿宋_GB2312" w:eastAsia="仿宋_GB2312" w:cs="仿宋_GB2312"/>
          <w:b w:val="0"/>
          <w:bCs w:val="0"/>
          <w:color w:val="auto"/>
          <w:sz w:val="32"/>
          <w:szCs w:val="32"/>
          <w:highlight w:val="none"/>
          <w:u w:val="none"/>
        </w:rPr>
        <w:t>成本、期间费用（财务费用、管理费用）、相关税费等；微利以总成本为基数，按8%计算。</w:t>
      </w:r>
      <w:r>
        <w:rPr>
          <w:rFonts w:hint="eastAsia" w:ascii="仿宋_GB2312" w:hAnsi="仿宋_GB2312" w:eastAsia="仿宋_GB2312" w:cs="仿宋_GB2312"/>
          <w:b w:val="0"/>
          <w:bCs w:val="0"/>
          <w:color w:val="auto"/>
          <w:sz w:val="32"/>
          <w:szCs w:val="32"/>
          <w:highlight w:val="none"/>
          <w:u w:val="none"/>
          <w:lang w:eastAsia="zh-CN"/>
        </w:rPr>
        <w:t>单套产业用房与单套宿舍的售价根据基准销售价格结合楼层、朝向等因素拟定，除配套宿舍以外的其他配套用房的销售价格参考市场评估价确定。（</w:t>
      </w:r>
      <w:r>
        <w:rPr>
          <w:rFonts w:hint="eastAsia" w:ascii="仿宋_GB2312" w:hAnsi="仿宋_GB2312" w:eastAsia="仿宋_GB2312" w:cs="仿宋_GB2312"/>
          <w:b w:val="0"/>
          <w:bCs w:val="0"/>
          <w:color w:val="auto"/>
          <w:sz w:val="32"/>
          <w:szCs w:val="32"/>
          <w:highlight w:val="none"/>
          <w:u w:val="none"/>
        </w:rPr>
        <w:t>最终销售价格由区政府指定部门认定</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Cs w:val="32"/>
          <w:highlight w:val="none"/>
        </w:rPr>
      </w:pPr>
      <w:r>
        <w:rPr>
          <w:rFonts w:hint="eastAsia" w:ascii="仿宋_GB2312" w:hAnsi="仿宋_GB2312" w:eastAsia="楷体_GB2312"/>
          <w:b w:val="0"/>
          <w:bCs w:val="0"/>
          <w:color w:val="auto"/>
          <w:szCs w:val="32"/>
          <w:highlight w:val="none"/>
        </w:rPr>
        <w:t>（</w:t>
      </w:r>
      <w:r>
        <w:rPr>
          <w:rFonts w:hint="eastAsia" w:ascii="仿宋_GB2312" w:hAnsi="仿宋_GB2312" w:eastAsia="楷体_GB2312"/>
          <w:b w:val="0"/>
          <w:bCs w:val="0"/>
          <w:color w:val="auto"/>
          <w:szCs w:val="32"/>
          <w:highlight w:val="none"/>
          <w:lang w:eastAsia="zh-CN"/>
        </w:rPr>
        <w:t>七</w:t>
      </w:r>
      <w:r>
        <w:rPr>
          <w:rFonts w:hint="eastAsia" w:ascii="仿宋_GB2312" w:hAnsi="仿宋_GB2312" w:eastAsia="楷体_GB2312"/>
          <w:b w:val="0"/>
          <w:bCs w:val="0"/>
          <w:color w:val="auto"/>
          <w:szCs w:val="32"/>
          <w:highlight w:val="none"/>
        </w:rPr>
        <w:t>）</w:t>
      </w:r>
      <w:r>
        <w:rPr>
          <w:rFonts w:hint="eastAsia" w:ascii="仿宋_GB2312" w:hAnsi="仿宋_GB2312" w:eastAsia="仿宋_GB2312" w:cs="仿宋_GB2312"/>
          <w:b w:val="0"/>
          <w:bCs w:val="0"/>
          <w:color w:val="auto"/>
          <w:szCs w:val="32"/>
          <w:highlight w:val="none"/>
          <w:u w:val="none"/>
        </w:rPr>
        <w:t>乙方在签订土地出让合同后，应按季度向甲方书面报告项目进展情况（包括主体及附属建筑工程进度、固定资产投资完成情况、总投资完成情况等），直至项目建成</w:t>
      </w:r>
      <w:r>
        <w:rPr>
          <w:rFonts w:hint="eastAsia" w:ascii="仿宋_GB2312" w:hAnsi="仿宋_GB2312" w:eastAsia="仿宋_GB2312" w:cs="仿宋_GB2312"/>
          <w:b w:val="0"/>
          <w:bCs w:val="0"/>
          <w:color w:val="auto"/>
          <w:szCs w:val="32"/>
          <w:highlight w:val="none"/>
          <w:u w:val="none"/>
          <w:lang w:eastAsia="zh-CN"/>
        </w:rPr>
        <w:t>验收。乙方应在本协议</w:t>
      </w:r>
      <w:r>
        <w:rPr>
          <w:rFonts w:hint="eastAsia" w:ascii="仿宋_GB2312" w:hAnsi="仿宋_GB2312" w:eastAsia="仿宋_GB2312" w:cs="仿宋_GB2312"/>
          <w:color w:val="auto"/>
          <w:kern w:val="0"/>
          <w:sz w:val="32"/>
          <w:szCs w:val="32"/>
          <w:highlight w:val="none"/>
          <w:lang w:val="en-US" w:eastAsia="zh-CN"/>
        </w:rPr>
        <w:t>第四条</w:t>
      </w:r>
      <w:r>
        <w:rPr>
          <w:rFonts w:hint="eastAsia" w:ascii="仿宋_GB2312" w:hAnsi="仿宋_GB2312" w:eastAsia="仿宋_GB2312" w:cs="仿宋_GB2312"/>
          <w:color w:val="auto"/>
          <w:kern w:val="0"/>
          <w:sz w:val="32"/>
          <w:szCs w:val="32"/>
          <w:highlight w:val="none"/>
        </w:rPr>
        <w:t>第（三）款</w:t>
      </w:r>
      <w:r>
        <w:rPr>
          <w:rFonts w:hint="eastAsia" w:ascii="仿宋_GB2312" w:hAnsi="仿宋_GB2312" w:eastAsia="仿宋_GB2312" w:cs="仿宋_GB2312"/>
          <w:b w:val="0"/>
          <w:bCs w:val="0"/>
          <w:color w:val="auto"/>
          <w:szCs w:val="32"/>
          <w:highlight w:val="none"/>
          <w:u w:val="none"/>
          <w:lang w:eastAsia="zh-CN"/>
        </w:rPr>
        <w:t>约定时间内建成验收，并在验收后</w:t>
      </w:r>
      <w:r>
        <w:rPr>
          <w:rFonts w:hint="eastAsia" w:ascii="仿宋_GB2312" w:hAnsi="仿宋_GB2312" w:eastAsia="仿宋_GB2312" w:cs="仿宋_GB2312"/>
          <w:b w:val="0"/>
          <w:bCs w:val="0"/>
          <w:color w:val="auto"/>
          <w:szCs w:val="32"/>
          <w:highlight w:val="none"/>
          <w:u w:val="none"/>
          <w:lang w:val="en-US" w:eastAsia="zh-CN"/>
        </w:rPr>
        <w:t>30</w:t>
      </w:r>
      <w:r>
        <w:rPr>
          <w:rFonts w:hint="eastAsia" w:ascii="仿宋_GB2312" w:hAnsi="仿宋_GB2312" w:eastAsia="仿宋_GB2312" w:cs="仿宋_GB2312"/>
          <w:b w:val="0"/>
          <w:bCs w:val="0"/>
          <w:color w:val="auto"/>
          <w:kern w:val="0"/>
          <w:sz w:val="32"/>
          <w:szCs w:val="32"/>
          <w:highlight w:val="none"/>
          <w:lang w:eastAsia="zh-CN"/>
        </w:rPr>
        <w:t>个自然日</w:t>
      </w:r>
      <w:r>
        <w:rPr>
          <w:rFonts w:hint="eastAsia" w:ascii="仿宋_GB2312" w:hAnsi="仿宋_GB2312" w:eastAsia="仿宋_GB2312" w:cs="仿宋_GB2312"/>
          <w:b w:val="0"/>
          <w:bCs w:val="0"/>
          <w:color w:val="auto"/>
          <w:szCs w:val="32"/>
          <w:highlight w:val="none"/>
          <w:u w:val="none"/>
          <w:lang w:val="en-US" w:eastAsia="zh-CN"/>
        </w:rPr>
        <w:t>内向甲方备案。</w:t>
      </w:r>
    </w:p>
    <w:p>
      <w:pPr>
        <w:pStyle w:val="5"/>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Cs w:val="32"/>
          <w:highlight w:val="none"/>
        </w:rPr>
      </w:pPr>
      <w:r>
        <w:rPr>
          <w:rFonts w:hint="eastAsia" w:ascii="仿宋_GB2312" w:hAnsi="仿宋_GB2312" w:eastAsia="楷体_GB2312"/>
          <w:b w:val="0"/>
          <w:bCs w:val="0"/>
          <w:color w:val="auto"/>
          <w:kern w:val="2"/>
          <w:szCs w:val="32"/>
          <w:highlight w:val="none"/>
        </w:rPr>
        <w:t>（</w:t>
      </w:r>
      <w:r>
        <w:rPr>
          <w:rFonts w:hint="eastAsia" w:ascii="仿宋_GB2312" w:hAnsi="仿宋_GB2312" w:eastAsia="楷体_GB2312"/>
          <w:b w:val="0"/>
          <w:bCs w:val="0"/>
          <w:color w:val="auto"/>
          <w:kern w:val="2"/>
          <w:szCs w:val="32"/>
          <w:highlight w:val="none"/>
          <w:lang w:eastAsia="zh-CN"/>
        </w:rPr>
        <w:t>八</w:t>
      </w:r>
      <w:r>
        <w:rPr>
          <w:rFonts w:hint="eastAsia" w:ascii="仿宋_GB2312" w:hAnsi="仿宋_GB2312" w:eastAsia="楷体_GB2312"/>
          <w:b w:val="0"/>
          <w:bCs w:val="0"/>
          <w:color w:val="auto"/>
          <w:kern w:val="2"/>
          <w:szCs w:val="32"/>
          <w:highlight w:val="none"/>
        </w:rPr>
        <w:t>）</w:t>
      </w:r>
      <w:r>
        <w:rPr>
          <w:rFonts w:hint="eastAsia" w:ascii="仿宋_GB2312" w:hAnsi="仿宋_GB2312" w:eastAsia="仿宋_GB2312" w:cs="仿宋_GB2312"/>
          <w:b w:val="0"/>
          <w:bCs w:val="0"/>
          <w:color w:val="auto"/>
          <w:kern w:val="0"/>
          <w:szCs w:val="32"/>
          <w:highlight w:val="none"/>
        </w:rPr>
        <w:t>乙方在项目</w:t>
      </w:r>
      <w:r>
        <w:rPr>
          <w:rFonts w:hint="eastAsia" w:ascii="仿宋_GB2312" w:hAnsi="仿宋_GB2312" w:eastAsia="仿宋_GB2312" w:cs="仿宋_GB2312"/>
          <w:b w:val="0"/>
          <w:bCs w:val="0"/>
          <w:color w:val="auto"/>
          <w:kern w:val="0"/>
          <w:szCs w:val="32"/>
          <w:highlight w:val="none"/>
          <w:lang w:eastAsia="zh-CN"/>
        </w:rPr>
        <w:t>建成当年</w:t>
      </w:r>
      <w:r>
        <w:rPr>
          <w:rFonts w:hint="eastAsia" w:ascii="仿宋_GB2312" w:hAnsi="仿宋_GB2312" w:eastAsia="仿宋_GB2312" w:cs="仿宋_GB2312"/>
          <w:b w:val="0"/>
          <w:bCs w:val="0"/>
          <w:color w:val="auto"/>
          <w:kern w:val="0"/>
          <w:szCs w:val="32"/>
          <w:highlight w:val="none"/>
          <w:lang w:eastAsia="zh-CN"/>
        </w:rPr>
        <w:t>后的</w:t>
      </w:r>
      <w:r>
        <w:rPr>
          <w:rFonts w:hint="eastAsia" w:ascii="仿宋_GB2312" w:hAnsi="仿宋_GB2312" w:eastAsia="仿宋_GB2312" w:cs="仿宋_GB2312"/>
          <w:b w:val="0"/>
          <w:bCs w:val="0"/>
          <w:color w:val="auto"/>
          <w:kern w:val="0"/>
          <w:sz w:val="32"/>
          <w:szCs w:val="32"/>
          <w:highlight w:val="none"/>
        </w:rPr>
        <w:t>30</w:t>
      </w:r>
      <w:r>
        <w:rPr>
          <w:rFonts w:hint="eastAsia" w:ascii="仿宋_GB2312" w:hAnsi="仿宋_GB2312" w:eastAsia="仿宋_GB2312" w:cs="仿宋_GB2312"/>
          <w:b w:val="0"/>
          <w:bCs w:val="0"/>
          <w:color w:val="auto"/>
          <w:kern w:val="0"/>
          <w:sz w:val="32"/>
          <w:szCs w:val="32"/>
          <w:highlight w:val="none"/>
          <w:lang w:eastAsia="zh-CN"/>
        </w:rPr>
        <w:t>个自然日</w:t>
      </w:r>
      <w:r>
        <w:rPr>
          <w:rFonts w:hint="eastAsia" w:ascii="仿宋_GB2312" w:hAnsi="仿宋_GB2312" w:eastAsia="仿宋_GB2312" w:cs="仿宋_GB2312"/>
          <w:b w:val="0"/>
          <w:bCs w:val="0"/>
          <w:color w:val="auto"/>
          <w:kern w:val="0"/>
          <w:sz w:val="32"/>
          <w:szCs w:val="32"/>
          <w:highlight w:val="none"/>
        </w:rPr>
        <w:t>内</w:t>
      </w:r>
      <w:r>
        <w:rPr>
          <w:rFonts w:hint="eastAsia" w:ascii="仿宋_GB2312" w:hAnsi="仿宋_GB2312" w:eastAsia="仿宋_GB2312" w:cs="仿宋_GB2312"/>
          <w:b w:val="0"/>
          <w:bCs w:val="0"/>
          <w:color w:val="auto"/>
          <w:kern w:val="0"/>
          <w:szCs w:val="32"/>
          <w:highlight w:val="none"/>
        </w:rPr>
        <w:t>，应就项目</w:t>
      </w:r>
      <w:r>
        <w:rPr>
          <w:rFonts w:hint="eastAsia" w:ascii="仿宋_GB2312" w:hAnsi="仿宋_GB2312" w:eastAsia="仿宋_GB2312" w:cs="仿宋_GB2312"/>
          <w:b w:val="0"/>
          <w:bCs w:val="0"/>
          <w:color w:val="auto"/>
          <w:kern w:val="0"/>
          <w:szCs w:val="32"/>
          <w:highlight w:val="none"/>
          <w:lang w:eastAsia="zh-CN"/>
        </w:rPr>
        <w:t>总投资额、</w:t>
      </w:r>
      <w:r>
        <w:rPr>
          <w:rFonts w:hint="eastAsia" w:ascii="仿宋_GB2312" w:hAnsi="仿宋_GB2312" w:eastAsia="仿宋_GB2312" w:cs="仿宋_GB2312"/>
          <w:b w:val="0"/>
          <w:bCs w:val="0"/>
          <w:color w:val="auto"/>
          <w:kern w:val="0"/>
          <w:szCs w:val="32"/>
          <w:highlight w:val="none"/>
        </w:rPr>
        <w:t>投资强度履约情况向甲方提出</w:t>
      </w:r>
      <w:r>
        <w:rPr>
          <w:rFonts w:hint="eastAsia" w:ascii="仿宋_GB2312" w:hAnsi="仿宋_GB2312" w:eastAsia="仿宋_GB2312" w:cs="仿宋_GB2312"/>
          <w:b w:val="0"/>
          <w:bCs w:val="0"/>
          <w:color w:val="auto"/>
          <w:kern w:val="0"/>
          <w:szCs w:val="32"/>
          <w:highlight w:val="none"/>
          <w:lang w:eastAsia="zh-CN"/>
        </w:rPr>
        <w:t>阶段性</w:t>
      </w:r>
      <w:r>
        <w:rPr>
          <w:rFonts w:hint="eastAsia" w:ascii="仿宋_GB2312" w:hAnsi="仿宋_GB2312" w:eastAsia="仿宋_GB2312" w:cs="仿宋_GB2312"/>
          <w:b w:val="0"/>
          <w:bCs w:val="0"/>
          <w:color w:val="auto"/>
          <w:kern w:val="0"/>
          <w:szCs w:val="32"/>
          <w:highlight w:val="none"/>
        </w:rPr>
        <w:t>核查申请，并向甲方提交项目投资</w:t>
      </w:r>
      <w:r>
        <w:rPr>
          <w:rFonts w:hint="eastAsia" w:ascii="仿宋_GB2312" w:hAnsi="仿宋_GB2312" w:eastAsia="仿宋_GB2312" w:cs="仿宋_GB2312"/>
          <w:b w:val="0"/>
          <w:bCs w:val="0"/>
          <w:color w:val="auto"/>
          <w:kern w:val="0"/>
          <w:szCs w:val="32"/>
          <w:highlight w:val="none"/>
          <w:lang w:eastAsia="zh-CN"/>
        </w:rPr>
        <w:t>相关</w:t>
      </w:r>
      <w:r>
        <w:rPr>
          <w:rFonts w:hint="eastAsia" w:ascii="仿宋_GB2312" w:hAnsi="仿宋_GB2312" w:eastAsia="仿宋_GB2312" w:cs="仿宋_GB2312"/>
          <w:b w:val="0"/>
          <w:bCs w:val="0"/>
          <w:color w:val="auto"/>
          <w:kern w:val="0"/>
          <w:szCs w:val="32"/>
          <w:highlight w:val="none"/>
        </w:rPr>
        <w:t>证明材料。</w:t>
      </w:r>
    </w:p>
    <w:p>
      <w:pPr>
        <w:pStyle w:val="5"/>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Cs w:val="32"/>
          <w:highlight w:val="none"/>
        </w:rPr>
      </w:pPr>
      <w:r>
        <w:rPr>
          <w:rFonts w:hint="eastAsia" w:ascii="仿宋_GB2312" w:hAnsi="仿宋_GB2312" w:eastAsia="楷体_GB2312"/>
          <w:b w:val="0"/>
          <w:bCs w:val="0"/>
          <w:color w:val="auto"/>
          <w:kern w:val="2"/>
          <w:szCs w:val="32"/>
          <w:highlight w:val="none"/>
        </w:rPr>
        <w:t>（</w:t>
      </w:r>
      <w:r>
        <w:rPr>
          <w:rFonts w:hint="eastAsia" w:ascii="仿宋_GB2312" w:hAnsi="仿宋_GB2312" w:eastAsia="楷体_GB2312"/>
          <w:b w:val="0"/>
          <w:bCs w:val="0"/>
          <w:color w:val="auto"/>
          <w:kern w:val="2"/>
          <w:szCs w:val="32"/>
          <w:highlight w:val="none"/>
          <w:lang w:eastAsia="zh-CN"/>
        </w:rPr>
        <w:t>九</w:t>
      </w:r>
      <w:r>
        <w:rPr>
          <w:rFonts w:hint="eastAsia" w:ascii="仿宋_GB2312" w:hAnsi="仿宋_GB2312" w:eastAsia="楷体_GB2312"/>
          <w:b w:val="0"/>
          <w:bCs w:val="0"/>
          <w:color w:val="auto"/>
          <w:kern w:val="2"/>
          <w:szCs w:val="32"/>
          <w:highlight w:val="none"/>
        </w:rPr>
        <w:t>）</w:t>
      </w:r>
      <w:r>
        <w:rPr>
          <w:rFonts w:hint="eastAsia" w:ascii="仿宋_GB2312" w:hAnsi="仿宋_GB2312" w:eastAsia="仿宋_GB2312" w:cs="仿宋_GB2312"/>
          <w:b w:val="0"/>
          <w:bCs w:val="0"/>
          <w:color w:val="auto"/>
          <w:kern w:val="0"/>
          <w:szCs w:val="32"/>
          <w:highlight w:val="none"/>
        </w:rPr>
        <w:t>乙方在</w:t>
      </w:r>
      <w:r>
        <w:rPr>
          <w:rFonts w:hint="eastAsia" w:ascii="仿宋_GB2312" w:hAnsi="仿宋_GB2312" w:eastAsia="仿宋_GB2312" w:cs="仿宋_GB2312"/>
          <w:b w:val="0"/>
          <w:bCs w:val="0"/>
          <w:color w:val="auto"/>
          <w:kern w:val="0"/>
          <w:szCs w:val="32"/>
          <w:highlight w:val="none"/>
          <w:lang w:eastAsia="zh-CN"/>
        </w:rPr>
        <w:t>承诺期届满当年</w:t>
      </w:r>
      <w:r>
        <w:rPr>
          <w:rFonts w:hint="eastAsia" w:ascii="仿宋_GB2312" w:hAnsi="仿宋_GB2312" w:eastAsia="仿宋_GB2312" w:cs="仿宋_GB2312"/>
          <w:b w:val="0"/>
          <w:bCs w:val="0"/>
          <w:color w:val="auto"/>
          <w:kern w:val="0"/>
          <w:szCs w:val="32"/>
          <w:highlight w:val="none"/>
          <w:lang w:eastAsia="zh-CN"/>
        </w:rPr>
        <w:t>后的</w:t>
      </w:r>
      <w:r>
        <w:rPr>
          <w:rFonts w:hint="eastAsia" w:ascii="仿宋_GB2312" w:hAnsi="仿宋_GB2312" w:eastAsia="仿宋_GB2312" w:cs="仿宋_GB2312"/>
          <w:b w:val="0"/>
          <w:bCs w:val="0"/>
          <w:color w:val="auto"/>
          <w:kern w:val="0"/>
          <w:sz w:val="32"/>
          <w:szCs w:val="32"/>
          <w:highlight w:val="none"/>
        </w:rPr>
        <w:t>30</w:t>
      </w:r>
      <w:r>
        <w:rPr>
          <w:rFonts w:hint="eastAsia" w:ascii="仿宋_GB2312" w:hAnsi="仿宋_GB2312" w:eastAsia="仿宋_GB2312" w:cs="仿宋_GB2312"/>
          <w:b w:val="0"/>
          <w:bCs w:val="0"/>
          <w:color w:val="auto"/>
          <w:kern w:val="0"/>
          <w:sz w:val="32"/>
          <w:szCs w:val="32"/>
          <w:highlight w:val="none"/>
          <w:lang w:eastAsia="zh-CN"/>
        </w:rPr>
        <w:t>个自然日</w:t>
      </w:r>
      <w:r>
        <w:rPr>
          <w:rFonts w:hint="eastAsia" w:ascii="仿宋_GB2312" w:hAnsi="仿宋_GB2312" w:eastAsia="仿宋_GB2312" w:cs="仿宋_GB2312"/>
          <w:b w:val="0"/>
          <w:bCs w:val="0"/>
          <w:color w:val="auto"/>
          <w:kern w:val="0"/>
          <w:sz w:val="32"/>
          <w:szCs w:val="32"/>
          <w:highlight w:val="none"/>
        </w:rPr>
        <w:t>内</w:t>
      </w:r>
      <w:r>
        <w:rPr>
          <w:rFonts w:hint="eastAsia" w:ascii="仿宋_GB2312" w:hAnsi="仿宋_GB2312" w:eastAsia="仿宋_GB2312" w:cs="仿宋_GB2312"/>
          <w:b w:val="0"/>
          <w:bCs w:val="0"/>
          <w:color w:val="auto"/>
          <w:kern w:val="0"/>
          <w:szCs w:val="32"/>
          <w:highlight w:val="none"/>
        </w:rPr>
        <w:t>，应就</w:t>
      </w:r>
      <w:r>
        <w:rPr>
          <w:rFonts w:hint="eastAsia" w:ascii="仿宋_GB2312" w:hAnsi="仿宋_GB2312" w:eastAsia="仿宋_GB2312" w:cs="仿宋_GB2312"/>
          <w:b w:val="0"/>
          <w:bCs w:val="0"/>
          <w:color w:val="auto"/>
          <w:kern w:val="0"/>
          <w:szCs w:val="32"/>
          <w:highlight w:val="none"/>
          <w:lang w:eastAsia="zh-CN"/>
        </w:rPr>
        <w:t>纳税</w:t>
      </w:r>
      <w:r>
        <w:rPr>
          <w:rFonts w:hint="eastAsia" w:ascii="仿宋_GB2312" w:hAnsi="仿宋_GB2312" w:eastAsia="仿宋_GB2312" w:cs="仿宋_GB2312"/>
          <w:b w:val="0"/>
          <w:bCs w:val="0"/>
          <w:color w:val="auto"/>
          <w:kern w:val="0"/>
          <w:szCs w:val="32"/>
          <w:highlight w:val="none"/>
        </w:rPr>
        <w:t>履约情况向甲方提出</w:t>
      </w:r>
      <w:r>
        <w:rPr>
          <w:rFonts w:hint="eastAsia" w:ascii="仿宋_GB2312" w:hAnsi="仿宋_GB2312" w:eastAsia="仿宋_GB2312" w:cs="仿宋_GB2312"/>
          <w:b w:val="0"/>
          <w:bCs w:val="0"/>
          <w:color w:val="auto"/>
          <w:kern w:val="0"/>
          <w:szCs w:val="32"/>
          <w:highlight w:val="none"/>
          <w:lang w:eastAsia="zh-CN"/>
        </w:rPr>
        <w:t>阶段性</w:t>
      </w:r>
      <w:r>
        <w:rPr>
          <w:rFonts w:hint="eastAsia" w:ascii="仿宋_GB2312" w:hAnsi="仿宋_GB2312" w:eastAsia="仿宋_GB2312" w:cs="仿宋_GB2312"/>
          <w:b w:val="0"/>
          <w:bCs w:val="0"/>
          <w:color w:val="auto"/>
          <w:kern w:val="0"/>
          <w:szCs w:val="32"/>
          <w:highlight w:val="none"/>
        </w:rPr>
        <w:t>核查申请，并向甲方提交</w:t>
      </w:r>
      <w:r>
        <w:rPr>
          <w:rFonts w:hint="eastAsia" w:ascii="仿宋_GB2312" w:hAnsi="仿宋_GB2312" w:eastAsia="仿宋_GB2312" w:cs="仿宋_GB2312"/>
          <w:b w:val="0"/>
          <w:bCs w:val="0"/>
          <w:color w:val="auto"/>
          <w:kern w:val="0"/>
          <w:szCs w:val="32"/>
          <w:highlight w:val="none"/>
          <w:lang w:eastAsia="zh-CN"/>
        </w:rPr>
        <w:t>纳税相关</w:t>
      </w:r>
      <w:r>
        <w:rPr>
          <w:rFonts w:hint="eastAsia" w:ascii="仿宋_GB2312" w:hAnsi="仿宋_GB2312" w:eastAsia="仿宋_GB2312" w:cs="仿宋_GB2312"/>
          <w:b w:val="0"/>
          <w:bCs w:val="0"/>
          <w:color w:val="auto"/>
          <w:kern w:val="0"/>
          <w:szCs w:val="32"/>
          <w:highlight w:val="none"/>
        </w:rPr>
        <w:t>证明材料。</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u w:val="none"/>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十</w:t>
      </w:r>
      <w:r>
        <w:rPr>
          <w:rFonts w:hint="eastAsia" w:ascii="仿宋_GB2312" w:hAnsi="仿宋_GB2312" w:eastAsia="楷体_GB2312"/>
          <w:b w:val="0"/>
          <w:bCs w:val="0"/>
          <w:color w:val="auto"/>
          <w:sz w:val="32"/>
          <w:szCs w:val="32"/>
          <w:highlight w:val="none"/>
          <w:u w:val="none"/>
        </w:rPr>
        <w:t>）</w:t>
      </w:r>
      <w:r>
        <w:rPr>
          <w:rFonts w:hint="eastAsia" w:ascii="仿宋_GB2312" w:hAnsi="仿宋_GB2312" w:eastAsia="仿宋_GB2312" w:cs="仿宋_GB2312"/>
          <w:b w:val="0"/>
          <w:bCs w:val="0"/>
          <w:color w:val="auto"/>
          <w:kern w:val="0"/>
          <w:sz w:val="32"/>
          <w:szCs w:val="32"/>
          <w:highlight w:val="none"/>
          <w:u w:val="none"/>
        </w:rPr>
        <w:t>乙方可对本宗项目产业用房及配套宿舍进行分割销售，但销售对象从龙华区优质产业空间遴选企业库中按程序选取，经区相关议事机构审定后确定。</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u w:val="none"/>
          <w:lang w:eastAsia="zh-CN"/>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十一</w:t>
      </w:r>
      <w:r>
        <w:rPr>
          <w:rFonts w:hint="eastAsia" w:ascii="仿宋_GB2312" w:hAnsi="仿宋_GB2312" w:eastAsia="楷体_GB2312"/>
          <w:b w:val="0"/>
          <w:bCs w:val="0"/>
          <w:color w:val="auto"/>
          <w:sz w:val="32"/>
          <w:szCs w:val="32"/>
          <w:highlight w:val="none"/>
          <w:u w:val="none"/>
        </w:rPr>
        <w:t>）</w:t>
      </w:r>
      <w:r>
        <w:rPr>
          <w:rFonts w:hint="eastAsia" w:ascii="仿宋_GB2312" w:hAnsi="仿宋_GB2312" w:eastAsia="仿宋_GB2312" w:cs="仿宋_GB2312"/>
          <w:b w:val="0"/>
          <w:bCs w:val="0"/>
          <w:color w:val="auto"/>
          <w:kern w:val="0"/>
          <w:sz w:val="32"/>
          <w:szCs w:val="32"/>
          <w:highlight w:val="none"/>
          <w:u w:val="none"/>
        </w:rPr>
        <w:t>乙方在对本宗项目产业用房及配套宿舍进行分割销售时，需与产业主管部门、购房企业签订三方《产业发展监管协议书》</w:t>
      </w:r>
      <w:r>
        <w:rPr>
          <w:rFonts w:hint="eastAsia" w:ascii="仿宋_GB2312" w:hAnsi="仿宋_GB2312" w:eastAsia="仿宋_GB2312" w:cs="仿宋_GB2312"/>
          <w:b w:val="0"/>
          <w:bCs w:val="0"/>
          <w:color w:val="auto"/>
          <w:kern w:val="0"/>
          <w:sz w:val="32"/>
          <w:szCs w:val="32"/>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 w:cs="仿宋"/>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十二</w:t>
      </w:r>
      <w:r>
        <w:rPr>
          <w:rFonts w:hint="eastAsia" w:ascii="仿宋_GB2312" w:hAnsi="仿宋_GB2312" w:eastAsia="楷体_GB2312"/>
          <w:b w:val="0"/>
          <w:bCs w:val="0"/>
          <w:color w:val="auto"/>
          <w:sz w:val="32"/>
          <w:szCs w:val="32"/>
          <w:highlight w:val="none"/>
          <w:u w:val="none"/>
        </w:rPr>
        <w:t>）</w:t>
      </w:r>
      <w:r>
        <w:rPr>
          <w:rFonts w:hint="eastAsia" w:ascii="仿宋_GB2312" w:hAnsi="仿宋_GB2312" w:eastAsia="仿宋_GB2312" w:cs="仿宋_GB2312"/>
          <w:b w:val="0"/>
          <w:bCs w:val="0"/>
          <w:color w:val="auto"/>
          <w:kern w:val="0"/>
          <w:sz w:val="32"/>
          <w:szCs w:val="32"/>
          <w:highlight w:val="none"/>
          <w:u w:val="none"/>
        </w:rPr>
        <w:t>乙方在项目建设运营过程中，应满足甲方及政府有关部门或法律法规关于轨道规划建设、区域集中供冷、建筑环保、节能减排等具体要求，项目粉尘、废气、废水、废渣、磁辐射污染、噪声等的排放和产生符合国家、省、市环保政策和法律法规的标准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color w:val="auto"/>
          <w:kern w:val="0"/>
          <w:sz w:val="32"/>
          <w:szCs w:val="32"/>
          <w:highlight w:val="none"/>
          <w:u w:val="none"/>
          <w:lang w:eastAsia="zh-CN"/>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十三</w:t>
      </w:r>
      <w:r>
        <w:rPr>
          <w:rFonts w:hint="eastAsia" w:ascii="仿宋_GB2312" w:hAnsi="仿宋_GB2312" w:eastAsia="楷体_GB2312"/>
          <w:b w:val="0"/>
          <w:bCs w:val="0"/>
          <w:color w:val="auto"/>
          <w:sz w:val="32"/>
          <w:szCs w:val="32"/>
          <w:highlight w:val="none"/>
          <w:u w:val="none"/>
        </w:rPr>
        <w:t>）</w:t>
      </w:r>
      <w:r>
        <w:rPr>
          <w:rFonts w:hint="eastAsia" w:eastAsia="仿宋_GB2312" w:cs="仿宋_GB2312"/>
          <w:color w:val="auto"/>
          <w:kern w:val="0"/>
          <w:sz w:val="32"/>
          <w:szCs w:val="32"/>
          <w:highlight w:val="none"/>
          <w:u w:val="none"/>
          <w:lang w:eastAsia="zh-CN"/>
        </w:rPr>
        <w:t>乙方在竞得该宗地后，应在龙华区依法注册设立全资子公司作为本项目的运营主体，通过签订本项目监管协议补充协议，由乙方、全资子公司同时作为本项目监管协议的当事方，且乙方对全资子公司相关协议义务承担连带责任，之后再通过签订土地使用权出让合同补充协议，将土地使用权变更至全资子公司名下。土地使用年期内，该全资子公司注册住所、</w:t>
      </w:r>
      <w:r>
        <w:rPr>
          <w:rFonts w:hint="eastAsia" w:eastAsia="仿宋_GB2312" w:cs="仿宋_GB2312"/>
          <w:color w:val="auto"/>
          <w:kern w:val="0"/>
          <w:sz w:val="32"/>
          <w:szCs w:val="32"/>
          <w:highlight w:val="none"/>
          <w:u w:val="none"/>
          <w:lang w:val="en-US" w:eastAsia="zh-CN"/>
        </w:rPr>
        <w:t>实际经营地、</w:t>
      </w:r>
      <w:r>
        <w:rPr>
          <w:rFonts w:hint="eastAsia" w:eastAsia="仿宋_GB2312" w:cs="仿宋_GB2312"/>
          <w:color w:val="auto"/>
          <w:kern w:val="0"/>
          <w:sz w:val="32"/>
          <w:szCs w:val="32"/>
          <w:highlight w:val="none"/>
          <w:u w:val="none"/>
          <w:lang w:eastAsia="zh-CN"/>
        </w:rPr>
        <w:t>工商税务登记、统计关系不迁出龙华区。</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bCs/>
          <w:color w:val="auto"/>
          <w:sz w:val="32"/>
          <w:szCs w:val="32"/>
          <w:highlight w:val="none"/>
          <w:u w:val="none"/>
          <w:lang w:eastAsia="zh-CN"/>
        </w:rPr>
      </w:pPr>
      <w:r>
        <w:rPr>
          <w:rFonts w:hint="eastAsia" w:ascii="楷体_GB2312" w:hAnsi="楷体_GB2312" w:eastAsia="楷体_GB2312" w:cs="楷体_GB2312"/>
          <w:bCs/>
          <w:color w:val="auto"/>
          <w:sz w:val="32"/>
          <w:szCs w:val="32"/>
          <w:highlight w:val="none"/>
          <w:u w:val="none"/>
          <w:lang w:eastAsia="zh-CN"/>
        </w:rPr>
        <w:t>（十四）</w:t>
      </w:r>
      <w:r>
        <w:rPr>
          <w:rFonts w:hint="eastAsia" w:ascii="仿宋_GB2312" w:hAnsi="仿宋_GB2312" w:eastAsia="仿宋_GB2312" w:cs="仿宋_GB2312"/>
          <w:bCs/>
          <w:color w:val="auto"/>
          <w:sz w:val="32"/>
          <w:szCs w:val="32"/>
          <w:highlight w:val="none"/>
          <w:u w:val="none"/>
          <w:lang w:eastAsia="zh-CN"/>
        </w:rPr>
        <w:t>乙方应在本项目内开展产业服务及园区运营相关工作，打造数字化、智能化、绿色化的产业空间；应在园区设计中突出产业服务属性，根据本项目产业定位及产业特点配建相应的公共技术服务平台、检验检测认证中心、废弃物处理系统等。</w:t>
      </w:r>
    </w:p>
    <w:p>
      <w:pPr>
        <w:pStyle w:val="2"/>
        <w:ind w:firstLine="640" w:firstLineChars="200"/>
        <w:rPr>
          <w:rFonts w:hint="eastAsia" w:ascii="仿宋_GB2312" w:hAnsi="仿宋_GB2312" w:eastAsia="仿宋_GB2312" w:cs="仿宋_GB2312"/>
          <w:bCs/>
          <w:color w:val="auto"/>
          <w:sz w:val="32"/>
          <w:szCs w:val="32"/>
          <w:highlight w:val="none"/>
          <w:lang w:eastAsia="zh-CN"/>
        </w:rPr>
      </w:pPr>
      <w:r>
        <w:rPr>
          <w:rFonts w:hint="eastAsia" w:ascii="楷体_GB2312" w:hAnsi="楷体_GB2312" w:eastAsia="楷体_GB2312" w:cs="楷体_GB2312"/>
          <w:bCs/>
          <w:color w:val="auto"/>
          <w:sz w:val="32"/>
          <w:szCs w:val="32"/>
          <w:highlight w:val="none"/>
          <w:u w:val="none"/>
          <w:lang w:eastAsia="zh-CN"/>
        </w:rPr>
        <w:t>（十五）</w:t>
      </w:r>
      <w:r>
        <w:rPr>
          <w:rFonts w:hint="eastAsia" w:ascii="仿宋_GB2312" w:hAnsi="仿宋_GB2312" w:eastAsia="仿宋_GB2312" w:cs="仿宋_GB2312"/>
          <w:bCs/>
          <w:color w:val="auto"/>
          <w:sz w:val="32"/>
          <w:szCs w:val="32"/>
          <w:highlight w:val="none"/>
          <w:lang w:eastAsia="zh-CN"/>
        </w:rPr>
        <w:t>在本项目达到预售条件后，乙方应拟定产业用房与配套宿舍定价方案，报区政府备案后按预售管理流程规定申请办理预售。乙方在签订土地出让合同后，可组织经遴选确定的意向销售企业与其签订《产业用房定制协议书》，约定产业用房需求面积、建设标准及双方应尽的权利义务等。</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黑体"/>
          <w:b w:val="0"/>
          <w:bCs w:val="0"/>
          <w:color w:val="auto"/>
          <w:sz w:val="32"/>
          <w:szCs w:val="32"/>
          <w:highlight w:val="none"/>
          <w:u w:val="none"/>
        </w:rPr>
      </w:pPr>
      <w:r>
        <w:rPr>
          <w:rFonts w:hint="eastAsia" w:ascii="仿宋_GB2312" w:hAnsi="仿宋_GB2312" w:eastAsia="黑体"/>
          <w:b w:val="0"/>
          <w:bCs w:val="0"/>
          <w:color w:val="auto"/>
          <w:sz w:val="32"/>
          <w:szCs w:val="32"/>
          <w:highlight w:val="none"/>
          <w:u w:val="none"/>
          <w:lang w:eastAsia="zh-CN"/>
        </w:rPr>
        <w:t>四、</w:t>
      </w:r>
      <w:r>
        <w:rPr>
          <w:rFonts w:hint="eastAsia" w:ascii="仿宋_GB2312" w:hAnsi="仿宋_GB2312" w:eastAsia="黑体"/>
          <w:b w:val="0"/>
          <w:bCs w:val="0"/>
          <w:color w:val="auto"/>
          <w:sz w:val="32"/>
          <w:szCs w:val="32"/>
          <w:highlight w:val="none"/>
          <w:u w:val="none"/>
        </w:rPr>
        <w:t>违约责任</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楷体_GB2312"/>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lang w:eastAsia="zh-CN"/>
        </w:rPr>
        <w:t>（一）</w:t>
      </w:r>
      <w:r>
        <w:rPr>
          <w:rFonts w:hint="eastAsia" w:ascii="仿宋_GB2312" w:hAnsi="仿宋_GB2312" w:eastAsia="楷体_GB2312"/>
          <w:b w:val="0"/>
          <w:bCs w:val="0"/>
          <w:color w:val="auto"/>
          <w:sz w:val="32"/>
          <w:szCs w:val="32"/>
          <w:highlight w:val="none"/>
          <w:u w:val="none"/>
        </w:rPr>
        <w:t>违反建成时间的违约责任</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u w:val="none"/>
        </w:rPr>
      </w:pPr>
      <w:r>
        <w:rPr>
          <w:rFonts w:hint="eastAsia" w:ascii="仿宋_GB2312" w:hAnsi="仿宋_GB2312" w:eastAsia="仿宋_GB2312" w:cs="仿宋_GB2312"/>
          <w:b w:val="0"/>
          <w:bCs w:val="0"/>
          <w:color w:val="auto"/>
          <w:kern w:val="0"/>
          <w:sz w:val="32"/>
          <w:szCs w:val="32"/>
          <w:highlight w:val="none"/>
          <w:u w:val="none"/>
        </w:rPr>
        <w:t>经甲方核查，乙方未按照本协议第四条第（</w:t>
      </w:r>
      <w:r>
        <w:rPr>
          <w:rFonts w:hint="eastAsia" w:ascii="仿宋_GB2312" w:hAnsi="仿宋_GB2312" w:eastAsia="仿宋_GB2312" w:cs="仿宋_GB2312"/>
          <w:b w:val="0"/>
          <w:bCs w:val="0"/>
          <w:color w:val="auto"/>
          <w:kern w:val="0"/>
          <w:sz w:val="32"/>
          <w:szCs w:val="32"/>
          <w:highlight w:val="none"/>
          <w:u w:val="none"/>
          <w:lang w:eastAsia="zh-CN"/>
        </w:rPr>
        <w:t>三</w:t>
      </w:r>
      <w:r>
        <w:rPr>
          <w:rFonts w:hint="eastAsia" w:ascii="仿宋_GB2312" w:hAnsi="仿宋_GB2312" w:eastAsia="仿宋_GB2312" w:cs="仿宋_GB2312"/>
          <w:b w:val="0"/>
          <w:bCs w:val="0"/>
          <w:color w:val="auto"/>
          <w:kern w:val="0"/>
          <w:sz w:val="32"/>
          <w:szCs w:val="32"/>
          <w:highlight w:val="none"/>
          <w:u w:val="none"/>
        </w:rPr>
        <w:t>）款约定建成</w:t>
      </w:r>
      <w:r>
        <w:rPr>
          <w:rFonts w:hint="eastAsia" w:ascii="仿宋_GB2312" w:hAnsi="仿宋_GB2312" w:eastAsia="仿宋_GB2312" w:cs="仿宋_GB2312"/>
          <w:b w:val="0"/>
          <w:bCs w:val="0"/>
          <w:color w:val="auto"/>
          <w:kern w:val="0"/>
          <w:sz w:val="32"/>
          <w:szCs w:val="32"/>
          <w:highlight w:val="none"/>
          <w:u w:val="none"/>
          <w:lang w:eastAsia="zh-CN"/>
        </w:rPr>
        <w:t>验收</w:t>
      </w:r>
      <w:r>
        <w:rPr>
          <w:rFonts w:hint="eastAsia" w:ascii="仿宋_GB2312" w:hAnsi="仿宋_GB2312" w:eastAsia="仿宋_GB2312" w:cs="仿宋_GB2312"/>
          <w:b w:val="0"/>
          <w:bCs w:val="0"/>
          <w:color w:val="auto"/>
          <w:kern w:val="0"/>
          <w:sz w:val="32"/>
          <w:szCs w:val="32"/>
          <w:highlight w:val="none"/>
          <w:u w:val="none"/>
        </w:rPr>
        <w:t>，甲方有权要求乙方加快建设进度，逾期1个月支付固定资产投资额</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乙方承诺固定资产投资强度×</w:t>
      </w:r>
      <w:r>
        <w:rPr>
          <w:rFonts w:hint="eastAsia" w:ascii="仿宋_GB2312" w:hAnsi="仿宋_GB2312" w:eastAsia="仿宋_GB2312" w:cs="仿宋_GB2312"/>
          <w:color w:val="auto"/>
          <w:kern w:val="0"/>
          <w:sz w:val="32"/>
          <w:szCs w:val="32"/>
          <w:highlight w:val="none"/>
          <w:lang w:eastAsia="zh-CN"/>
        </w:rPr>
        <w:t>总</w:t>
      </w:r>
      <w:r>
        <w:rPr>
          <w:rFonts w:hint="eastAsia" w:ascii="仿宋_GB2312" w:hAnsi="仿宋_GB2312" w:eastAsia="仿宋_GB2312" w:cs="仿宋_GB2312"/>
          <w:color w:val="auto"/>
          <w:kern w:val="0"/>
          <w:sz w:val="32"/>
          <w:szCs w:val="32"/>
          <w:highlight w:val="none"/>
          <w:lang w:val="en-US" w:eastAsia="zh-CN"/>
        </w:rPr>
        <w:t>用地面积</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u w:val="none"/>
        </w:rPr>
        <w:t>的1%作为违约金，违约金累计计算，直至该项目建成</w:t>
      </w:r>
      <w:r>
        <w:rPr>
          <w:rFonts w:hint="eastAsia" w:ascii="仿宋_GB2312" w:hAnsi="仿宋_GB2312" w:eastAsia="仿宋_GB2312" w:cs="仿宋_GB2312"/>
          <w:b w:val="0"/>
          <w:bCs w:val="0"/>
          <w:color w:val="auto"/>
          <w:kern w:val="0"/>
          <w:sz w:val="32"/>
          <w:szCs w:val="32"/>
          <w:highlight w:val="none"/>
          <w:u w:val="none"/>
          <w:lang w:eastAsia="zh-CN"/>
        </w:rPr>
        <w:t>验收，不足一个月的按一个月计算</w:t>
      </w:r>
      <w:r>
        <w:rPr>
          <w:rFonts w:hint="eastAsia" w:ascii="仿宋_GB2312" w:hAnsi="仿宋_GB2312" w:eastAsia="仿宋_GB2312" w:cs="仿宋_GB2312"/>
          <w:b w:val="0"/>
          <w:bCs w:val="0"/>
          <w:color w:val="auto"/>
          <w:kern w:val="0"/>
          <w:sz w:val="32"/>
          <w:szCs w:val="32"/>
          <w:highlight w:val="none"/>
          <w:u w:val="none"/>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楷体_GB2312"/>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lang w:eastAsia="zh-CN"/>
        </w:rPr>
        <w:t>（二）</w:t>
      </w:r>
      <w:r>
        <w:rPr>
          <w:rFonts w:hint="eastAsia" w:ascii="仿宋_GB2312" w:hAnsi="仿宋_GB2312" w:eastAsia="楷体_GB2312"/>
          <w:b w:val="0"/>
          <w:bCs w:val="0"/>
          <w:color w:val="auto"/>
          <w:sz w:val="32"/>
          <w:szCs w:val="32"/>
          <w:highlight w:val="none"/>
          <w:u w:val="none"/>
        </w:rPr>
        <w:t>违反投资强度的违约责任</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1.项目建成后，经甲方核查，乙方投资强度未达到</w:t>
      </w:r>
      <w:r>
        <w:rPr>
          <w:rFonts w:hint="eastAsia" w:ascii="仿宋_GB2312" w:hAnsi="仿宋_GB2312" w:eastAsia="仿宋_GB2312" w:cs="仿宋_GB2312"/>
          <w:b w:val="0"/>
          <w:bCs w:val="0"/>
          <w:color w:val="auto"/>
          <w:kern w:val="0"/>
          <w:sz w:val="32"/>
          <w:szCs w:val="32"/>
          <w:highlight w:val="none"/>
          <w:u w:val="none"/>
        </w:rPr>
        <w:t>本协议第四条第（</w:t>
      </w:r>
      <w:r>
        <w:rPr>
          <w:rFonts w:hint="eastAsia" w:ascii="仿宋_GB2312" w:hAnsi="仿宋_GB2312" w:eastAsia="仿宋_GB2312" w:cs="仿宋_GB2312"/>
          <w:b w:val="0"/>
          <w:bCs w:val="0"/>
          <w:color w:val="auto"/>
          <w:kern w:val="0"/>
          <w:sz w:val="32"/>
          <w:szCs w:val="32"/>
          <w:highlight w:val="none"/>
          <w:u w:val="none"/>
          <w:lang w:eastAsia="zh-CN"/>
        </w:rPr>
        <w:t>三</w:t>
      </w:r>
      <w:r>
        <w:rPr>
          <w:rFonts w:hint="eastAsia" w:ascii="仿宋_GB2312" w:hAnsi="仿宋_GB2312" w:eastAsia="仿宋_GB2312" w:cs="仿宋_GB2312"/>
          <w:b w:val="0"/>
          <w:bCs w:val="0"/>
          <w:color w:val="auto"/>
          <w:kern w:val="0"/>
          <w:sz w:val="32"/>
          <w:szCs w:val="32"/>
          <w:highlight w:val="none"/>
          <w:u w:val="none"/>
        </w:rPr>
        <w:t>）款</w:t>
      </w:r>
      <w:r>
        <w:rPr>
          <w:rFonts w:hint="eastAsia" w:ascii="仿宋_GB2312" w:hAnsi="仿宋_GB2312" w:eastAsia="仿宋_GB2312" w:cs="仿宋_GB2312"/>
          <w:b w:val="0"/>
          <w:bCs w:val="0"/>
          <w:color w:val="auto"/>
          <w:sz w:val="32"/>
          <w:szCs w:val="32"/>
          <w:highlight w:val="none"/>
          <w:u w:val="none"/>
        </w:rPr>
        <w:t>要求的，甲方有权要求乙方</w:t>
      </w:r>
      <w:r>
        <w:rPr>
          <w:rFonts w:hint="eastAsia" w:ascii="仿宋_GB2312" w:hAnsi="仿宋_GB2312" w:eastAsia="仿宋_GB2312" w:cs="仿宋_GB2312"/>
          <w:b w:val="0"/>
          <w:bCs w:val="0"/>
          <w:color w:val="auto"/>
          <w:sz w:val="32"/>
          <w:szCs w:val="32"/>
          <w:highlight w:val="none"/>
          <w:u w:val="none"/>
          <w:lang w:eastAsia="zh-CN"/>
        </w:rPr>
        <w:t>在核查不合格一年内</w:t>
      </w:r>
      <w:r>
        <w:rPr>
          <w:rFonts w:hint="eastAsia" w:ascii="仿宋_GB2312" w:hAnsi="仿宋_GB2312" w:eastAsia="仿宋_GB2312" w:cs="仿宋_GB2312"/>
          <w:b w:val="0"/>
          <w:bCs w:val="0"/>
          <w:color w:val="auto"/>
          <w:sz w:val="32"/>
          <w:szCs w:val="32"/>
          <w:highlight w:val="none"/>
          <w:u w:val="none"/>
        </w:rPr>
        <w:t>补足投资额，并支付固定资产投资不足部分的5%作为违约金，即违约金=（乙方承诺固定资产投资强度-实际固定资产投资强度）×总用地面积×5%。</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2.核查不合格满一年经再次核查仍不合格的，甲方有权要求乙方支付固定资产投资不足部分的10%作为违约金，直至经核查投资强度达到约定要求为止。</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楷体_GB2312"/>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三</w:t>
      </w:r>
      <w:r>
        <w:rPr>
          <w:rFonts w:hint="eastAsia" w:ascii="仿宋_GB2312" w:hAnsi="仿宋_GB2312" w:eastAsia="楷体_GB2312"/>
          <w:b w:val="0"/>
          <w:bCs w:val="0"/>
          <w:color w:val="auto"/>
          <w:sz w:val="32"/>
          <w:szCs w:val="32"/>
          <w:highlight w:val="none"/>
          <w:u w:val="none"/>
        </w:rPr>
        <w:t>）违反</w:t>
      </w:r>
      <w:r>
        <w:rPr>
          <w:rFonts w:hint="eastAsia" w:ascii="仿宋_GB2312" w:hAnsi="仿宋_GB2312" w:eastAsia="楷体_GB2312"/>
          <w:b w:val="0"/>
          <w:bCs w:val="0"/>
          <w:color w:val="auto"/>
          <w:sz w:val="32"/>
          <w:szCs w:val="32"/>
          <w:highlight w:val="none"/>
          <w:u w:val="none"/>
          <w:lang w:eastAsia="zh-CN"/>
        </w:rPr>
        <w:t>纳税额</w:t>
      </w:r>
      <w:r>
        <w:rPr>
          <w:rFonts w:hint="eastAsia" w:ascii="仿宋_GB2312" w:hAnsi="仿宋_GB2312" w:eastAsia="楷体_GB2312"/>
          <w:b w:val="0"/>
          <w:bCs w:val="0"/>
          <w:color w:val="auto"/>
          <w:sz w:val="32"/>
          <w:szCs w:val="32"/>
          <w:highlight w:val="none"/>
          <w:u w:val="none"/>
        </w:rPr>
        <w:t>承诺的违约责任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color w:val="auto"/>
          <w:kern w:val="0"/>
          <w:sz w:val="32"/>
          <w:szCs w:val="32"/>
          <w:highlight w:val="none"/>
          <w:u w:val="none"/>
        </w:rPr>
        <w:t>经甲方核查，乙方在</w:t>
      </w:r>
      <w:r>
        <w:rPr>
          <w:rFonts w:hint="eastAsia" w:ascii="仿宋_GB2312" w:hAnsi="仿宋_GB2312" w:eastAsia="仿宋_GB2312" w:cs="仿宋_GB2312"/>
          <w:color w:val="auto"/>
          <w:kern w:val="0"/>
          <w:sz w:val="32"/>
          <w:szCs w:val="32"/>
          <w:highlight w:val="none"/>
          <w:u w:val="none"/>
          <w:lang w:eastAsia="zh-CN"/>
        </w:rPr>
        <w:t>龙华区</w:t>
      </w:r>
      <w:r>
        <w:rPr>
          <w:rFonts w:hint="eastAsia" w:ascii="仿宋_GB2312" w:hAnsi="仿宋_GB2312" w:eastAsia="仿宋_GB2312" w:cs="仿宋_GB2312"/>
          <w:color w:val="auto"/>
          <w:kern w:val="0"/>
          <w:sz w:val="32"/>
          <w:szCs w:val="32"/>
          <w:highlight w:val="none"/>
          <w:u w:val="none"/>
        </w:rPr>
        <w:t>纳税额达不到本协议第四条第（</w:t>
      </w:r>
      <w:r>
        <w:rPr>
          <w:rFonts w:hint="eastAsia" w:ascii="仿宋_GB2312" w:hAnsi="仿宋_GB2312" w:eastAsia="仿宋_GB2312" w:cs="仿宋_GB2312"/>
          <w:color w:val="auto"/>
          <w:kern w:val="0"/>
          <w:sz w:val="32"/>
          <w:szCs w:val="32"/>
          <w:highlight w:val="none"/>
          <w:u w:val="none"/>
          <w:lang w:eastAsia="zh-CN"/>
        </w:rPr>
        <w:t>三</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款</w:t>
      </w:r>
      <w:r>
        <w:rPr>
          <w:rFonts w:hint="eastAsia" w:ascii="仿宋_GB2312" w:hAnsi="仿宋_GB2312" w:eastAsia="仿宋_GB2312" w:cs="仿宋_GB2312"/>
          <w:color w:val="auto"/>
          <w:kern w:val="0"/>
          <w:sz w:val="32"/>
          <w:szCs w:val="32"/>
          <w:highlight w:val="none"/>
          <w:u w:val="none"/>
        </w:rPr>
        <w:t>约定要求的，自甲方出具核查不合格通知书之日起20</w:t>
      </w:r>
      <w:r>
        <w:rPr>
          <w:rFonts w:hint="eastAsia" w:ascii="仿宋_GB2312" w:hAnsi="仿宋_GB2312" w:eastAsia="仿宋_GB2312" w:cs="仿宋_GB2312"/>
          <w:color w:val="auto"/>
          <w:kern w:val="0"/>
          <w:sz w:val="32"/>
          <w:szCs w:val="32"/>
          <w:highlight w:val="none"/>
          <w:u w:val="none"/>
          <w:lang w:eastAsia="zh-CN"/>
        </w:rPr>
        <w:t>个自然日</w:t>
      </w:r>
      <w:r>
        <w:rPr>
          <w:rFonts w:hint="eastAsia" w:ascii="仿宋_GB2312" w:hAnsi="仿宋_GB2312" w:eastAsia="仿宋_GB2312" w:cs="仿宋_GB2312"/>
          <w:color w:val="auto"/>
          <w:kern w:val="0"/>
          <w:sz w:val="32"/>
          <w:szCs w:val="32"/>
          <w:highlight w:val="none"/>
          <w:u w:val="none"/>
        </w:rPr>
        <w:t>内，乙方应向甲方一次性支付纳税总额不足部分，即（约定纳税总额</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rPr>
        <w:t>实际纳税总额）作为阶段</w:t>
      </w:r>
      <w:r>
        <w:rPr>
          <w:rFonts w:hint="eastAsia" w:ascii="仿宋_GB2312" w:hAnsi="仿宋_GB2312" w:eastAsia="仿宋_GB2312" w:cs="仿宋_GB2312"/>
          <w:color w:val="auto"/>
          <w:kern w:val="0"/>
          <w:sz w:val="32"/>
          <w:szCs w:val="32"/>
          <w:highlight w:val="none"/>
          <w:u w:val="none"/>
          <w:lang w:eastAsia="zh-CN"/>
        </w:rPr>
        <w:t>性</w:t>
      </w:r>
      <w:r>
        <w:rPr>
          <w:rFonts w:hint="eastAsia" w:ascii="仿宋_GB2312" w:hAnsi="仿宋_GB2312" w:eastAsia="仿宋_GB2312" w:cs="仿宋_GB2312"/>
          <w:color w:val="auto"/>
          <w:kern w:val="0"/>
          <w:sz w:val="32"/>
          <w:szCs w:val="32"/>
          <w:highlight w:val="none"/>
          <w:u w:val="none"/>
        </w:rPr>
        <w:t>核查不合格违约金。</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u w:val="none"/>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四</w:t>
      </w:r>
      <w:r>
        <w:rPr>
          <w:rFonts w:hint="eastAsia" w:ascii="仿宋_GB2312" w:hAnsi="仿宋_GB2312" w:eastAsia="楷体_GB2312"/>
          <w:b w:val="0"/>
          <w:bCs w:val="0"/>
          <w:color w:val="auto"/>
          <w:sz w:val="32"/>
          <w:szCs w:val="32"/>
          <w:highlight w:val="none"/>
          <w:u w:val="none"/>
        </w:rPr>
        <w:t>）违反园区设计要求、房屋建设标准、产业配套服务与园区运营管理</w:t>
      </w:r>
      <w:r>
        <w:rPr>
          <w:rFonts w:hint="eastAsia" w:ascii="仿宋_GB2312" w:hAnsi="仿宋_GB2312" w:eastAsia="楷体_GB2312"/>
          <w:b w:val="0"/>
          <w:bCs w:val="0"/>
          <w:color w:val="auto"/>
          <w:sz w:val="32"/>
          <w:szCs w:val="32"/>
          <w:highlight w:val="none"/>
          <w:u w:val="none"/>
          <w:lang w:eastAsia="zh-CN"/>
        </w:rPr>
        <w:t>等承诺的</w:t>
      </w:r>
      <w:r>
        <w:rPr>
          <w:rFonts w:hint="eastAsia" w:ascii="仿宋_GB2312" w:hAnsi="仿宋_GB2312" w:eastAsia="楷体_GB2312"/>
          <w:b w:val="0"/>
          <w:bCs w:val="0"/>
          <w:color w:val="auto"/>
          <w:sz w:val="32"/>
          <w:szCs w:val="32"/>
          <w:highlight w:val="none"/>
          <w:u w:val="none"/>
        </w:rPr>
        <w:t>违约责任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u w:val="none"/>
        </w:rPr>
      </w:pPr>
      <w:r>
        <w:rPr>
          <w:rFonts w:hint="eastAsia" w:ascii="仿宋_GB2312" w:hAnsi="仿宋_GB2312" w:eastAsia="仿宋_GB2312" w:cs="仿宋_GB2312"/>
          <w:b w:val="0"/>
          <w:bCs w:val="0"/>
          <w:color w:val="auto"/>
          <w:kern w:val="0"/>
          <w:sz w:val="32"/>
          <w:szCs w:val="32"/>
          <w:highlight w:val="none"/>
          <w:u w:val="none"/>
        </w:rPr>
        <w:t>经甲方核查，乙方未达到本协议第四条第（</w:t>
      </w:r>
      <w:r>
        <w:rPr>
          <w:rFonts w:hint="eastAsia" w:ascii="仿宋_GB2312" w:hAnsi="仿宋_GB2312" w:eastAsia="仿宋_GB2312" w:cs="仿宋_GB2312"/>
          <w:b w:val="0"/>
          <w:bCs w:val="0"/>
          <w:color w:val="auto"/>
          <w:kern w:val="0"/>
          <w:sz w:val="32"/>
          <w:szCs w:val="32"/>
          <w:highlight w:val="none"/>
          <w:u w:val="none"/>
          <w:lang w:eastAsia="zh-CN"/>
        </w:rPr>
        <w:t>四</w:t>
      </w:r>
      <w:r>
        <w:rPr>
          <w:rFonts w:hint="eastAsia" w:ascii="仿宋_GB2312" w:hAnsi="仿宋_GB2312" w:eastAsia="仿宋_GB2312" w:cs="仿宋_GB2312"/>
          <w:b w:val="0"/>
          <w:bCs w:val="0"/>
          <w:color w:val="auto"/>
          <w:kern w:val="0"/>
          <w:sz w:val="32"/>
          <w:szCs w:val="32"/>
          <w:highlight w:val="none"/>
          <w:u w:val="none"/>
        </w:rPr>
        <w:t>）</w:t>
      </w:r>
      <w:r>
        <w:rPr>
          <w:rFonts w:hint="eastAsia" w:ascii="仿宋_GB2312" w:hAnsi="仿宋_GB2312" w:eastAsia="仿宋_GB2312" w:cs="仿宋_GB2312"/>
          <w:b w:val="0"/>
          <w:bCs w:val="0"/>
          <w:color w:val="auto"/>
          <w:kern w:val="0"/>
          <w:sz w:val="32"/>
          <w:szCs w:val="32"/>
          <w:highlight w:val="none"/>
          <w:u w:val="none"/>
          <w:lang w:eastAsia="zh-CN"/>
        </w:rPr>
        <w:t>、（五）、（六）、（十）、（十一）、（十四）、（十五）款</w:t>
      </w:r>
      <w:r>
        <w:rPr>
          <w:rFonts w:hint="eastAsia" w:ascii="仿宋_GB2312" w:hAnsi="仿宋_GB2312" w:eastAsia="仿宋_GB2312" w:cs="仿宋_GB2312"/>
          <w:b w:val="0"/>
          <w:bCs w:val="0"/>
          <w:color w:val="auto"/>
          <w:kern w:val="0"/>
          <w:sz w:val="32"/>
          <w:szCs w:val="32"/>
          <w:highlight w:val="none"/>
          <w:u w:val="none"/>
        </w:rPr>
        <w:t>要求的，甲方有权要求乙方限期改正，整改期限为1年；限期内拒不改正或改正后仍不符合本协议约定要求的，乙方按产权面积比例的地块出让价款的3%向甲方缴纳违约金。</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五</w:t>
      </w: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其他</w:t>
      </w:r>
      <w:r>
        <w:rPr>
          <w:rFonts w:hint="eastAsia" w:ascii="仿宋_GB2312" w:hAnsi="仿宋_GB2312" w:eastAsia="楷体_GB2312"/>
          <w:b w:val="0"/>
          <w:bCs w:val="0"/>
          <w:color w:val="auto"/>
          <w:sz w:val="32"/>
          <w:szCs w:val="32"/>
          <w:highlight w:val="none"/>
          <w:u w:val="none"/>
        </w:rPr>
        <w:t>违约责任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乙方有以下情形之一的，</w:t>
      </w:r>
      <w:r>
        <w:rPr>
          <w:rFonts w:hint="eastAsia" w:ascii="仿宋_GB2312" w:hAnsi="仿宋_GB2312" w:eastAsia="仿宋_GB2312" w:cs="仿宋_GB2312"/>
          <w:b w:val="0"/>
          <w:bCs w:val="0"/>
          <w:color w:val="auto"/>
          <w:sz w:val="32"/>
          <w:szCs w:val="32"/>
          <w:highlight w:val="none"/>
          <w:u w:val="none"/>
        </w:rPr>
        <w:t>甲方有权要求乙方限期改正</w:t>
      </w:r>
      <w:r>
        <w:rPr>
          <w:rFonts w:hint="eastAsia" w:ascii="仿宋_GB2312" w:hAnsi="仿宋_GB2312" w:eastAsia="仿宋_GB2312" w:cs="仿宋_GB2312"/>
          <w:b w:val="0"/>
          <w:bCs w:val="0"/>
          <w:color w:val="auto"/>
          <w:sz w:val="32"/>
          <w:szCs w:val="32"/>
          <w:highlight w:val="none"/>
          <w:u w:val="none"/>
          <w:lang w:eastAsia="zh-CN"/>
        </w:rPr>
        <w:t>，乙方按</w:t>
      </w:r>
      <w:r>
        <w:rPr>
          <w:rFonts w:hint="eastAsia" w:ascii="仿宋_GB2312" w:hAnsi="仿宋_GB2312" w:eastAsia="仿宋_GB2312" w:cs="仿宋_GB2312"/>
          <w:b w:val="0"/>
          <w:bCs w:val="0"/>
          <w:color w:val="auto"/>
          <w:sz w:val="32"/>
          <w:szCs w:val="32"/>
          <w:highlight w:val="none"/>
          <w:u w:val="none"/>
        </w:rPr>
        <w:t>该地块出让价款</w:t>
      </w:r>
      <w:r>
        <w:rPr>
          <w:rFonts w:hint="eastAsia" w:ascii="仿宋_GB2312" w:hAnsi="仿宋_GB2312" w:eastAsia="仿宋_GB2312" w:cs="仿宋_GB2312"/>
          <w:b w:val="0"/>
          <w:bCs w:val="0"/>
          <w:color w:val="auto"/>
          <w:sz w:val="32"/>
          <w:szCs w:val="32"/>
          <w:highlight w:val="none"/>
          <w:u w:val="none"/>
          <w:lang w:eastAsia="zh-CN"/>
        </w:rPr>
        <w:t>的3%向甲方</w:t>
      </w:r>
      <w:r>
        <w:rPr>
          <w:rFonts w:hint="eastAsia" w:ascii="仿宋_GB2312" w:hAnsi="仿宋_GB2312" w:eastAsia="仿宋_GB2312" w:cs="仿宋_GB2312"/>
          <w:b w:val="0"/>
          <w:bCs w:val="0"/>
          <w:color w:val="auto"/>
          <w:sz w:val="32"/>
          <w:szCs w:val="32"/>
          <w:highlight w:val="none"/>
          <w:u w:val="none"/>
        </w:rPr>
        <w:t>缴</w:t>
      </w:r>
      <w:r>
        <w:rPr>
          <w:rFonts w:hint="eastAsia" w:ascii="仿宋_GB2312" w:hAnsi="仿宋_GB2312" w:eastAsia="仿宋_GB2312" w:cs="仿宋_GB2312"/>
          <w:b w:val="0"/>
          <w:bCs w:val="0"/>
          <w:color w:val="auto"/>
          <w:sz w:val="32"/>
          <w:szCs w:val="32"/>
          <w:highlight w:val="none"/>
          <w:u w:val="none"/>
          <w:lang w:eastAsia="zh-CN"/>
        </w:rPr>
        <w:t>纳违约金</w:t>
      </w:r>
      <w:r>
        <w:rPr>
          <w:rFonts w:hint="eastAsia" w:ascii="仿宋_GB2312" w:hAnsi="仿宋_GB2312" w:eastAsia="仿宋_GB2312" w:cs="仿宋_GB2312"/>
          <w:b w:val="0"/>
          <w:bCs w:val="0"/>
          <w:color w:val="auto"/>
          <w:sz w:val="32"/>
          <w:szCs w:val="32"/>
          <w:highlight w:val="none"/>
          <w:u w:val="none"/>
        </w:rPr>
        <w:t>；拒不改正的，甲方可提请土地行政主管部门解除土地出让合同，无偿收回土地使用权，</w:t>
      </w:r>
      <w:r>
        <w:rPr>
          <w:rFonts w:hint="eastAsia" w:ascii="仿宋_GB2312" w:hAnsi="仿宋_GB2312" w:eastAsia="仿宋_GB2312" w:cs="仿宋_GB2312"/>
          <w:b w:val="0"/>
          <w:bCs w:val="0"/>
          <w:color w:val="auto"/>
          <w:sz w:val="32"/>
          <w:szCs w:val="32"/>
          <w:highlight w:val="none"/>
          <w:u w:val="none"/>
          <w:lang w:eastAsia="zh-CN"/>
        </w:rPr>
        <w:t>地上建（构）筑物及其附属设施</w:t>
      </w:r>
      <w:r>
        <w:rPr>
          <w:rFonts w:hint="eastAsia" w:ascii="仿宋_GB2312" w:hAnsi="仿宋_GB2312" w:eastAsia="仿宋_GB2312" w:cs="仿宋_GB2312"/>
          <w:b w:val="0"/>
          <w:bCs w:val="0"/>
          <w:color w:val="auto"/>
          <w:sz w:val="32"/>
          <w:szCs w:val="32"/>
          <w:highlight w:val="none"/>
          <w:u w:val="none"/>
        </w:rPr>
        <w:t>不予补偿：</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1.</w:t>
      </w:r>
      <w:r>
        <w:rPr>
          <w:rFonts w:hint="eastAsia" w:ascii="仿宋_GB2312" w:hAnsi="仿宋_GB2312" w:eastAsia="仿宋_GB2312" w:cs="仿宋_GB2312"/>
          <w:b w:val="0"/>
          <w:bCs w:val="0"/>
          <w:color w:val="auto"/>
          <w:sz w:val="32"/>
          <w:szCs w:val="32"/>
          <w:highlight w:val="none"/>
          <w:u w:val="none"/>
        </w:rPr>
        <w:t>擅自改变上述产业用地的土地用途的；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u w:val="none"/>
        </w:rPr>
        <w:t>.未经甲方同意，擅自改变产业项目的；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highlight w:val="none"/>
          <w:u w:val="none"/>
        </w:rPr>
        <w:t>.</w:t>
      </w:r>
      <w:r>
        <w:rPr>
          <w:rFonts w:hint="eastAsia" w:eastAsia="仿宋_GB2312" w:cs="仿宋_GB2312"/>
          <w:color w:val="auto"/>
          <w:kern w:val="0"/>
          <w:sz w:val="32"/>
          <w:szCs w:val="32"/>
          <w:highlight w:val="none"/>
          <w:u w:val="none"/>
          <w:lang w:eastAsia="zh-CN"/>
        </w:rPr>
        <w:t>乙方在竞得该宗地后，未在龙华区依法注册设立全资子公司作为本项目的运营主体,并通过签订土地使用权出让合同补充协议,将土地使用权变更至全资子公司名下的；土地使用年期内，该全资子公司注册住所、</w:t>
      </w:r>
      <w:r>
        <w:rPr>
          <w:rFonts w:hint="eastAsia" w:eastAsia="仿宋_GB2312" w:cs="仿宋_GB2312"/>
          <w:color w:val="auto"/>
          <w:kern w:val="0"/>
          <w:sz w:val="32"/>
          <w:szCs w:val="32"/>
          <w:highlight w:val="none"/>
          <w:u w:val="none"/>
          <w:lang w:val="en-US" w:eastAsia="zh-CN"/>
        </w:rPr>
        <w:t>实际经营地、</w:t>
      </w:r>
      <w:r>
        <w:rPr>
          <w:rFonts w:hint="eastAsia" w:eastAsia="仿宋_GB2312" w:cs="仿宋_GB2312"/>
          <w:color w:val="auto"/>
          <w:kern w:val="0"/>
          <w:sz w:val="32"/>
          <w:szCs w:val="32"/>
          <w:highlight w:val="none"/>
          <w:u w:val="none"/>
          <w:lang w:eastAsia="zh-CN"/>
        </w:rPr>
        <w:t>工商税务登记、统计关系迁出龙华区的；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u w:val="none"/>
        </w:rPr>
        <w:t>.在</w:t>
      </w:r>
      <w:r>
        <w:rPr>
          <w:rFonts w:hint="eastAsia" w:ascii="仿宋_GB2312" w:hAnsi="仿宋_GB2312" w:eastAsia="仿宋_GB2312" w:cs="仿宋_GB2312"/>
          <w:b w:val="0"/>
          <w:bCs w:val="0"/>
          <w:color w:val="auto"/>
          <w:kern w:val="0"/>
          <w:sz w:val="32"/>
          <w:szCs w:val="32"/>
          <w:highlight w:val="none"/>
          <w:u w:val="none"/>
        </w:rPr>
        <w:t>项目建设运营过程</w:t>
      </w:r>
      <w:r>
        <w:rPr>
          <w:rFonts w:hint="eastAsia" w:ascii="仿宋_GB2312" w:hAnsi="仿宋_GB2312" w:eastAsia="仿宋_GB2312" w:cs="仿宋_GB2312"/>
          <w:b w:val="0"/>
          <w:bCs w:val="0"/>
          <w:color w:val="auto"/>
          <w:sz w:val="32"/>
          <w:szCs w:val="32"/>
          <w:highlight w:val="none"/>
          <w:u w:val="none"/>
        </w:rPr>
        <w:t>中严重违反环保政策或法规标准和要求，并拒不改正或整改后未达标的；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rPr>
        <w:t>.其他未按约定的土地使用条件开发利用土地的行为。</w:t>
      </w:r>
    </w:p>
    <w:p>
      <w:pPr>
        <w:pStyle w:val="2"/>
        <w:keepNext w:val="0"/>
        <w:keepLines w:val="0"/>
        <w:pageBreakBefore w:val="0"/>
        <w:numPr>
          <w:ilvl w:val="0"/>
          <w:numId w:val="0"/>
        </w:numPr>
        <w:kinsoku/>
        <w:wordWrap/>
        <w:topLinePunct w:val="0"/>
        <w:autoSpaceDE/>
        <w:autoSpaceDN/>
        <w:bidi w:val="0"/>
        <w:spacing w:line="560" w:lineRule="exact"/>
        <w:ind w:firstLine="640" w:firstLineChars="200"/>
        <w:textAlignment w:val="auto"/>
        <w:rPr>
          <w:rFonts w:hint="eastAsia" w:ascii="仿宋_GB2312" w:hAnsi="仿宋_GB2312" w:eastAsia="楷体_GB2312"/>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六</w:t>
      </w:r>
      <w:r>
        <w:rPr>
          <w:rFonts w:hint="eastAsia" w:ascii="仿宋_GB2312" w:hAnsi="仿宋_GB2312" w:eastAsia="楷体_GB2312"/>
          <w:b w:val="0"/>
          <w:bCs w:val="0"/>
          <w:color w:val="auto"/>
          <w:sz w:val="32"/>
          <w:szCs w:val="32"/>
          <w:highlight w:val="none"/>
          <w:u w:val="none"/>
        </w:rPr>
        <w:t>）</w:t>
      </w:r>
      <w:r>
        <w:rPr>
          <w:rFonts w:hint="eastAsia" w:ascii="仿宋_GB2312" w:hAnsi="仿宋_GB2312" w:eastAsia="仿宋_GB2312" w:cs="仿宋_GB2312"/>
          <w:b w:val="0"/>
          <w:bCs w:val="0"/>
          <w:color w:val="auto"/>
          <w:kern w:val="0"/>
          <w:sz w:val="32"/>
          <w:szCs w:val="32"/>
          <w:highlight w:val="none"/>
          <w:u w:val="none"/>
        </w:rPr>
        <w:t>乙方不按本协议约定规定向甲方提出核查申请</w:t>
      </w:r>
      <w:r>
        <w:rPr>
          <w:rFonts w:hint="eastAsia" w:ascii="仿宋_GB2312" w:hAnsi="仿宋_GB2312" w:eastAsia="仿宋_GB2312" w:cs="仿宋_GB2312"/>
          <w:b w:val="0"/>
          <w:bCs w:val="0"/>
          <w:color w:val="auto"/>
          <w:kern w:val="0"/>
          <w:sz w:val="32"/>
          <w:szCs w:val="32"/>
          <w:highlight w:val="none"/>
          <w:u w:val="none"/>
          <w:lang w:eastAsia="zh-CN"/>
        </w:rPr>
        <w:t>的</w:t>
      </w:r>
      <w:r>
        <w:rPr>
          <w:rFonts w:hint="eastAsia" w:ascii="仿宋_GB2312" w:hAnsi="仿宋_GB2312" w:eastAsia="仿宋_GB2312" w:cs="仿宋_GB2312"/>
          <w:b w:val="0"/>
          <w:bCs w:val="0"/>
          <w:color w:val="auto"/>
          <w:kern w:val="0"/>
          <w:sz w:val="32"/>
          <w:szCs w:val="32"/>
          <w:highlight w:val="none"/>
          <w:u w:val="none"/>
        </w:rPr>
        <w:t>，</w:t>
      </w:r>
      <w:r>
        <w:rPr>
          <w:rFonts w:hint="eastAsia" w:ascii="仿宋_GB2312" w:hAnsi="仿宋_GB2312" w:eastAsia="仿宋_GB2312" w:cs="仿宋_GB2312"/>
          <w:b w:val="0"/>
          <w:bCs w:val="0"/>
          <w:color w:val="auto"/>
          <w:kern w:val="0"/>
          <w:sz w:val="32"/>
          <w:szCs w:val="32"/>
          <w:highlight w:val="none"/>
          <w:u w:val="none"/>
          <w:lang w:eastAsia="zh-CN"/>
        </w:rPr>
        <w:t>甲方有权要求其限期改正，限期未改正的，视为乙方违约，</w:t>
      </w:r>
      <w:r>
        <w:rPr>
          <w:rFonts w:hint="eastAsia" w:ascii="仿宋_GB2312" w:hAnsi="仿宋_GB2312" w:eastAsia="仿宋_GB2312" w:cs="仿宋_GB2312"/>
          <w:b w:val="0"/>
          <w:bCs w:val="0"/>
          <w:color w:val="auto"/>
          <w:kern w:val="0"/>
          <w:sz w:val="32"/>
          <w:szCs w:val="32"/>
          <w:highlight w:val="none"/>
          <w:u w:val="none"/>
        </w:rPr>
        <w:t>自甲方发出缴款通知书之日起20</w:t>
      </w:r>
      <w:r>
        <w:rPr>
          <w:rFonts w:hint="eastAsia" w:ascii="仿宋_GB2312" w:hAnsi="仿宋_GB2312" w:eastAsia="仿宋_GB2312" w:cs="仿宋_GB2312"/>
          <w:b w:val="0"/>
          <w:bCs w:val="0"/>
          <w:color w:val="auto"/>
          <w:kern w:val="0"/>
          <w:sz w:val="32"/>
          <w:szCs w:val="32"/>
          <w:highlight w:val="none"/>
          <w:u w:val="none"/>
          <w:lang w:eastAsia="zh-CN"/>
        </w:rPr>
        <w:t>个自然日</w:t>
      </w:r>
      <w:r>
        <w:rPr>
          <w:rFonts w:hint="eastAsia" w:ascii="仿宋_GB2312" w:hAnsi="仿宋_GB2312" w:eastAsia="仿宋_GB2312" w:cs="仿宋_GB2312"/>
          <w:b w:val="0"/>
          <w:bCs w:val="0"/>
          <w:color w:val="auto"/>
          <w:kern w:val="0"/>
          <w:sz w:val="32"/>
          <w:szCs w:val="32"/>
          <w:highlight w:val="none"/>
          <w:u w:val="none"/>
        </w:rPr>
        <w:t>内，乙方应向甲方</w:t>
      </w:r>
      <w:r>
        <w:rPr>
          <w:rFonts w:hint="eastAsia" w:ascii="仿宋_GB2312" w:hAnsi="仿宋_GB2312" w:eastAsia="仿宋_GB2312" w:cs="仿宋_GB2312"/>
          <w:b w:val="0"/>
          <w:bCs w:val="0"/>
          <w:color w:val="auto"/>
          <w:kern w:val="0"/>
          <w:sz w:val="32"/>
          <w:szCs w:val="32"/>
          <w:highlight w:val="none"/>
          <w:u w:val="none"/>
          <w:lang w:eastAsia="zh-CN"/>
        </w:rPr>
        <w:t>缴纳</w:t>
      </w:r>
      <w:r>
        <w:rPr>
          <w:rFonts w:hint="eastAsia" w:ascii="仿宋_GB2312" w:hAnsi="仿宋_GB2312" w:eastAsia="仿宋_GB2312" w:cs="仿宋_GB2312"/>
          <w:b w:val="0"/>
          <w:bCs w:val="0"/>
          <w:color w:val="auto"/>
          <w:kern w:val="0"/>
          <w:sz w:val="32"/>
          <w:szCs w:val="32"/>
          <w:highlight w:val="none"/>
          <w:u w:val="none"/>
        </w:rPr>
        <w:t>5万元违约金，且不因此解除乙方的相关义务；乙方不配合甲方核查的，自甲方发出缴款通知书之日起20</w:t>
      </w:r>
      <w:r>
        <w:rPr>
          <w:rFonts w:hint="eastAsia" w:ascii="仿宋_GB2312" w:hAnsi="仿宋_GB2312" w:eastAsia="仿宋_GB2312" w:cs="仿宋_GB2312"/>
          <w:b w:val="0"/>
          <w:bCs w:val="0"/>
          <w:color w:val="auto"/>
          <w:kern w:val="0"/>
          <w:sz w:val="32"/>
          <w:szCs w:val="32"/>
          <w:highlight w:val="none"/>
          <w:u w:val="none"/>
          <w:lang w:eastAsia="zh-CN"/>
        </w:rPr>
        <w:t>个自然日</w:t>
      </w:r>
      <w:r>
        <w:rPr>
          <w:rFonts w:hint="eastAsia" w:ascii="仿宋_GB2312" w:hAnsi="仿宋_GB2312" w:eastAsia="仿宋_GB2312" w:cs="仿宋_GB2312"/>
          <w:b w:val="0"/>
          <w:bCs w:val="0"/>
          <w:color w:val="auto"/>
          <w:kern w:val="0"/>
          <w:sz w:val="32"/>
          <w:szCs w:val="32"/>
          <w:highlight w:val="none"/>
          <w:u w:val="none"/>
        </w:rPr>
        <w:t>内，乙方应向甲方</w:t>
      </w:r>
      <w:r>
        <w:rPr>
          <w:rFonts w:hint="eastAsia" w:ascii="仿宋_GB2312" w:hAnsi="仿宋_GB2312" w:eastAsia="仿宋_GB2312" w:cs="仿宋_GB2312"/>
          <w:b w:val="0"/>
          <w:bCs w:val="0"/>
          <w:color w:val="auto"/>
          <w:kern w:val="0"/>
          <w:sz w:val="32"/>
          <w:szCs w:val="32"/>
          <w:highlight w:val="none"/>
          <w:u w:val="none"/>
          <w:lang w:eastAsia="zh-CN"/>
        </w:rPr>
        <w:t>缴纳</w:t>
      </w:r>
      <w:r>
        <w:rPr>
          <w:rFonts w:hint="eastAsia" w:ascii="仿宋_GB2312" w:hAnsi="仿宋_GB2312" w:eastAsia="仿宋_GB2312" w:cs="仿宋_GB2312"/>
          <w:b w:val="0"/>
          <w:bCs w:val="0"/>
          <w:color w:val="auto"/>
          <w:kern w:val="0"/>
          <w:sz w:val="32"/>
          <w:szCs w:val="32"/>
          <w:highlight w:val="none"/>
          <w:u w:val="none"/>
        </w:rPr>
        <w:t>5万元违约金，且不因此解除乙方的相关义务。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七</w:t>
      </w:r>
      <w:r>
        <w:rPr>
          <w:rFonts w:hint="eastAsia" w:ascii="仿宋_GB2312" w:hAnsi="仿宋_GB2312" w:eastAsia="楷体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rPr>
        <w:t>如乙方存在上述违约行为，乙方应在甲方出具通知书20</w:t>
      </w:r>
      <w:r>
        <w:rPr>
          <w:rFonts w:hint="eastAsia" w:ascii="仿宋_GB2312" w:hAnsi="仿宋_GB2312" w:eastAsia="仿宋_GB2312" w:cs="仿宋_GB2312"/>
          <w:b w:val="0"/>
          <w:bCs w:val="0"/>
          <w:color w:val="auto"/>
          <w:kern w:val="0"/>
          <w:sz w:val="32"/>
          <w:szCs w:val="32"/>
          <w:highlight w:val="none"/>
          <w:u w:val="none"/>
          <w:lang w:eastAsia="zh-CN"/>
        </w:rPr>
        <w:t>个自然日</w:t>
      </w:r>
      <w:r>
        <w:rPr>
          <w:rFonts w:hint="eastAsia" w:ascii="仿宋_GB2312" w:hAnsi="仿宋_GB2312" w:eastAsia="仿宋_GB2312" w:cs="仿宋_GB2312"/>
          <w:b w:val="0"/>
          <w:bCs w:val="0"/>
          <w:color w:val="auto"/>
          <w:sz w:val="32"/>
          <w:szCs w:val="32"/>
          <w:highlight w:val="none"/>
          <w:u w:val="none"/>
        </w:rPr>
        <w:t>内缴纳违约金，逾期未缴纳则每日加收1‰的违约金。</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八</w:t>
      </w:r>
      <w:r>
        <w:rPr>
          <w:rFonts w:hint="eastAsia" w:ascii="仿宋_GB2312" w:hAnsi="仿宋_GB2312" w:eastAsia="楷体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rPr>
        <w:t>若因政策调整、不可抗力等非企业自身原因造成乙方未能履行合同约定，经区政府同意，可</w:t>
      </w:r>
      <w:r>
        <w:rPr>
          <w:rFonts w:hint="eastAsia" w:ascii="仿宋_GB2312" w:hAnsi="仿宋_GB2312" w:eastAsia="仿宋_GB2312" w:cs="仿宋_GB2312"/>
          <w:b w:val="0"/>
          <w:bCs w:val="0"/>
          <w:color w:val="auto"/>
          <w:sz w:val="32"/>
          <w:szCs w:val="32"/>
          <w:highlight w:val="none"/>
          <w:u w:val="none"/>
          <w:lang w:eastAsia="zh-CN"/>
        </w:rPr>
        <w:t>减轻或</w:t>
      </w:r>
      <w:r>
        <w:rPr>
          <w:rFonts w:hint="eastAsia" w:ascii="仿宋_GB2312" w:hAnsi="仿宋_GB2312" w:eastAsia="仿宋_GB2312" w:cs="仿宋_GB2312"/>
          <w:b w:val="0"/>
          <w:bCs w:val="0"/>
          <w:color w:val="auto"/>
          <w:sz w:val="32"/>
          <w:szCs w:val="32"/>
          <w:highlight w:val="none"/>
          <w:u w:val="none"/>
        </w:rPr>
        <w:t>免除乙方违约责任。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黑体"/>
          <w:b w:val="0"/>
          <w:bCs w:val="0"/>
          <w:color w:val="auto"/>
          <w:sz w:val="32"/>
          <w:szCs w:val="32"/>
          <w:highlight w:val="none"/>
          <w:u w:val="none"/>
        </w:rPr>
      </w:pPr>
      <w:r>
        <w:rPr>
          <w:rFonts w:hint="eastAsia" w:ascii="仿宋_GB2312" w:hAnsi="仿宋_GB2312" w:eastAsia="黑体"/>
          <w:b w:val="0"/>
          <w:bCs w:val="0"/>
          <w:color w:val="auto"/>
          <w:sz w:val="32"/>
          <w:szCs w:val="32"/>
          <w:highlight w:val="none"/>
          <w:u w:val="none"/>
          <w:lang w:eastAsia="zh-CN"/>
        </w:rPr>
        <w:t>五、</w:t>
      </w:r>
      <w:r>
        <w:rPr>
          <w:rFonts w:hint="eastAsia" w:ascii="仿宋_GB2312" w:hAnsi="仿宋_GB2312" w:eastAsia="黑体"/>
          <w:b w:val="0"/>
          <w:bCs w:val="0"/>
          <w:color w:val="auto"/>
          <w:sz w:val="32"/>
          <w:szCs w:val="32"/>
          <w:highlight w:val="none"/>
          <w:u w:val="none"/>
        </w:rPr>
        <w:t>退出机制</w:t>
      </w:r>
    </w:p>
    <w:p>
      <w:pPr>
        <w:keepNext w:val="0"/>
        <w:keepLines w:val="0"/>
        <w:pageBreakBefore w:val="0"/>
        <w:widowControl w:val="0"/>
        <w:tabs>
          <w:tab w:val="left" w:pos="5880"/>
        </w:tabs>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u w:val="none"/>
          <w:lang w:val="en-US" w:eastAsia="zh-CN"/>
        </w:rPr>
      </w:pPr>
      <w:r>
        <w:rPr>
          <w:rFonts w:hint="eastAsia" w:ascii="仿宋_GB2312" w:hAnsi="仿宋_GB2312" w:eastAsia="楷体_GB2312"/>
          <w:b w:val="0"/>
          <w:bCs w:val="0"/>
          <w:color w:val="auto"/>
          <w:sz w:val="32"/>
          <w:szCs w:val="32"/>
          <w:highlight w:val="none"/>
          <w:u w:val="none"/>
          <w:lang w:val="en-US" w:eastAsia="zh-CN"/>
        </w:rPr>
        <w:t>（一）</w:t>
      </w:r>
      <w:r>
        <w:rPr>
          <w:rFonts w:hint="eastAsia" w:ascii="Times New Roman" w:hAnsi="Times New Roman" w:eastAsia="仿宋_GB2312" w:cs="仿宋_GB2312"/>
          <w:color w:val="auto"/>
          <w:sz w:val="32"/>
          <w:szCs w:val="32"/>
          <w:highlight w:val="none"/>
          <w:u w:val="none"/>
          <w:lang w:val="en-US" w:eastAsia="zh-CN"/>
        </w:rPr>
        <w:t>主动退出。乙方因自身原因终止项目投资建设，向建设用地使用权出让人提出终止履行建设用地使用权出让合同并请求退还土地的，建设用地使用权出让人报区政府批准后，分别按以下约定，退还部分建设用地使用权出让价款（不计利息），由区政府收回建设用地使用权，地上建（构）筑物及其附属设施的补偿方式在建设用地使用权出让合同中予以明确：</w:t>
      </w:r>
    </w:p>
    <w:p>
      <w:pPr>
        <w:keepNext w:val="0"/>
        <w:keepLines w:val="0"/>
        <w:pageBreakBefore w:val="0"/>
        <w:widowControl w:val="0"/>
        <w:tabs>
          <w:tab w:val="left" w:pos="5880"/>
        </w:tabs>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超过建设用地使用权出让合同约定的开工建设日期但未满1年向出让人提出申请的，剩余年期已付建设用地使用权出让价款退还建设用地使用权人。</w:t>
      </w:r>
    </w:p>
    <w:p>
      <w:pPr>
        <w:keepNext w:val="0"/>
        <w:keepLines w:val="0"/>
        <w:pageBreakBefore w:val="0"/>
        <w:widowControl w:val="0"/>
        <w:tabs>
          <w:tab w:val="left" w:pos="5880"/>
        </w:tabs>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超过建设用地使用权出让合同约定的开工建设日期1年但未满</w:t>
      </w: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val="en-US" w:eastAsia="zh-CN"/>
        </w:rPr>
        <w:t>年向出让人提出申请的，按照规定征收土地闲置费后，剩余年期已付建设用地使用权出让价款退还建设用地使用权人。</w:t>
      </w:r>
    </w:p>
    <w:p>
      <w:pPr>
        <w:keepNext w:val="0"/>
        <w:keepLines w:val="0"/>
        <w:pageBreakBefore w:val="0"/>
        <w:widowControl w:val="0"/>
        <w:tabs>
          <w:tab w:val="left" w:pos="5880"/>
        </w:tabs>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报经区政府后未获批准的，乙方应继续履行建设用地使用权出让合同；拒不履行的，建设用地和地上建（构）筑物及其附属设施按照约定无偿收回；涉嫌闲置的，应当依法依规依约处置。</w:t>
      </w:r>
    </w:p>
    <w:p>
      <w:pPr>
        <w:keepNext w:val="0"/>
        <w:keepLines w:val="0"/>
        <w:pageBreakBefore w:val="0"/>
        <w:widowControl w:val="0"/>
        <w:tabs>
          <w:tab w:val="left" w:pos="5880"/>
        </w:tabs>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3.在土地出让合同约定的开工日期之前，乙方因自身原因无法开发建设的，可以申请解除土地供应合同。土地主管部门收回建设用地，返还剩余年期土地出让价款（不计利息）。</w:t>
      </w:r>
    </w:p>
    <w:p>
      <w:pPr>
        <w:keepNext w:val="0"/>
        <w:keepLines w:val="0"/>
        <w:pageBreakBefore w:val="0"/>
        <w:widowControl w:val="0"/>
        <w:tabs>
          <w:tab w:val="left" w:pos="5880"/>
        </w:tabs>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二</w:t>
      </w:r>
      <w:r>
        <w:rPr>
          <w:rFonts w:hint="eastAsia" w:ascii="楷体_GB2312" w:hAnsi="楷体_GB2312" w:eastAsia="楷体_GB2312" w:cs="楷体_GB2312"/>
          <w:color w:val="auto"/>
          <w:sz w:val="32"/>
          <w:szCs w:val="32"/>
          <w:highlight w:val="none"/>
          <w:u w:val="none"/>
        </w:rPr>
        <w:t>）</w:t>
      </w:r>
      <w:r>
        <w:rPr>
          <w:rFonts w:hint="eastAsia" w:ascii="Times New Roman" w:hAnsi="Times New Roman" w:eastAsia="仿宋_GB2312" w:cs="仿宋_GB2312"/>
          <w:color w:val="auto"/>
          <w:sz w:val="32"/>
          <w:szCs w:val="32"/>
          <w:highlight w:val="none"/>
          <w:u w:val="none"/>
          <w:lang w:val="en-US" w:eastAsia="zh-CN"/>
        </w:rPr>
        <w:t>强制退出。符合法律法规规定、建设用地使用权出让合同和本协议约定的甲方有权提请土地主管部门解除建设用地使用权出让合同情形的，乙方的建设用地使用权由区政府无偿收回，地上建（构）筑物及其附属设施补偿方式应当在建设用地使用权出让合同中约定。</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ascii="仿宋_GB2312" w:hAnsi="仿宋_GB2312" w:eastAsia="黑体"/>
          <w:b w:val="0"/>
          <w:bCs w:val="0"/>
          <w:color w:val="auto"/>
          <w:sz w:val="32"/>
          <w:szCs w:val="32"/>
          <w:highlight w:val="none"/>
          <w:u w:val="none"/>
        </w:rPr>
      </w:pPr>
      <w:r>
        <w:rPr>
          <w:rFonts w:hint="eastAsia" w:ascii="仿宋_GB2312" w:hAnsi="仿宋_GB2312" w:eastAsia="黑体"/>
          <w:b w:val="0"/>
          <w:bCs w:val="0"/>
          <w:color w:val="auto"/>
          <w:sz w:val="32"/>
          <w:szCs w:val="32"/>
          <w:highlight w:val="none"/>
          <w:u w:val="none"/>
          <w:lang w:eastAsia="zh-CN"/>
        </w:rPr>
        <w:t>六、</w:t>
      </w:r>
      <w:r>
        <w:rPr>
          <w:rFonts w:hint="eastAsia" w:ascii="仿宋_GB2312" w:hAnsi="仿宋_GB2312" w:eastAsia="黑体"/>
          <w:b w:val="0"/>
          <w:bCs w:val="0"/>
          <w:color w:val="auto"/>
          <w:sz w:val="32"/>
          <w:szCs w:val="32"/>
          <w:highlight w:val="none"/>
          <w:u w:val="none"/>
        </w:rPr>
        <w:t>争议解决方式</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凡因本协议书引起的任何争议，由双方协商解决。若协商不成，任何一方有权向该产业用地所在地人民法院提起诉讼。</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eastAsia="黑体"/>
          <w:bCs/>
          <w:color w:val="auto"/>
          <w:sz w:val="32"/>
          <w:szCs w:val="32"/>
          <w:highlight w:val="none"/>
          <w:u w:val="none"/>
          <w:lang w:eastAsia="zh-CN"/>
        </w:rPr>
      </w:pPr>
      <w:r>
        <w:rPr>
          <w:rFonts w:hint="eastAsia" w:ascii="Times New Roman" w:hAnsi="Times New Roman" w:eastAsia="黑体"/>
          <w:bCs/>
          <w:color w:val="auto"/>
          <w:sz w:val="32"/>
          <w:szCs w:val="32"/>
          <w:highlight w:val="none"/>
          <w:u w:val="none"/>
          <w:lang w:eastAsia="zh-CN"/>
        </w:rPr>
        <w:t>七、</w:t>
      </w:r>
      <w:r>
        <w:rPr>
          <w:rFonts w:hint="eastAsia" w:eastAsia="黑体"/>
          <w:bCs/>
          <w:color w:val="auto"/>
          <w:sz w:val="32"/>
          <w:szCs w:val="32"/>
          <w:highlight w:val="none"/>
          <w:u w:val="none"/>
          <w:lang w:eastAsia="zh-CN"/>
        </w:rPr>
        <w:t>其他事项</w:t>
      </w:r>
    </w:p>
    <w:p>
      <w:pPr>
        <w:keepNext w:val="0"/>
        <w:keepLines w:val="0"/>
        <w:pageBreakBefore w:val="0"/>
        <w:widowControl w:val="0"/>
        <w:tabs>
          <w:tab w:val="left" w:pos="5880"/>
        </w:tabs>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楷体_GB2312"/>
          <w:b w:val="0"/>
          <w:bCs w:val="0"/>
          <w:color w:val="auto"/>
          <w:sz w:val="32"/>
          <w:szCs w:val="32"/>
          <w:highlight w:val="none"/>
          <w:u w:val="none"/>
          <w:lang w:val="en-US" w:eastAsia="zh-CN"/>
        </w:rPr>
        <w:t>（一）</w:t>
      </w:r>
      <w:r>
        <w:rPr>
          <w:rFonts w:hint="eastAsia" w:ascii="仿宋_GB2312" w:hAnsi="仿宋_GB2312" w:eastAsia="仿宋_GB2312" w:cs="仿宋_GB2312"/>
          <w:color w:val="auto"/>
          <w:kern w:val="0"/>
          <w:sz w:val="32"/>
          <w:szCs w:val="32"/>
          <w:highlight w:val="none"/>
          <w:u w:val="none"/>
        </w:rPr>
        <w:t>本协议所称</w:t>
      </w:r>
      <w:r>
        <w:rPr>
          <w:rFonts w:hint="eastAsia" w:ascii="仿宋_GB2312" w:hAnsi="仿宋_GB2312" w:eastAsia="仿宋_GB2312" w:cs="仿宋_GB2312"/>
          <w:color w:val="auto"/>
          <w:sz w:val="32"/>
          <w:szCs w:val="32"/>
          <w:highlight w:val="none"/>
          <w:u w:val="none"/>
          <w:lang w:eastAsia="zh-CN"/>
        </w:rPr>
        <w:t>纳税额</w:t>
      </w:r>
      <w:r>
        <w:rPr>
          <w:rFonts w:hint="eastAsia" w:ascii="仿宋_GB2312" w:hAnsi="仿宋_GB2312" w:eastAsia="仿宋_GB2312" w:cs="仿宋_GB2312"/>
          <w:color w:val="auto"/>
          <w:kern w:val="0"/>
          <w:sz w:val="32"/>
          <w:szCs w:val="32"/>
          <w:highlight w:val="none"/>
          <w:u w:val="none"/>
        </w:rPr>
        <w:t>以</w:t>
      </w:r>
      <w:r>
        <w:rPr>
          <w:rFonts w:hint="eastAsia" w:ascii="仿宋_GB2312" w:hAnsi="仿宋_GB2312" w:eastAsia="仿宋_GB2312" w:cs="仿宋_GB2312"/>
          <w:color w:val="auto"/>
          <w:kern w:val="0"/>
          <w:sz w:val="32"/>
          <w:szCs w:val="32"/>
          <w:highlight w:val="none"/>
          <w:u w:val="none"/>
          <w:lang w:eastAsia="zh-CN"/>
        </w:rPr>
        <w:t>本项目运营主体</w:t>
      </w:r>
      <w:r>
        <w:rPr>
          <w:rFonts w:hint="eastAsia" w:ascii="仿宋_GB2312" w:hAnsi="仿宋_GB2312" w:eastAsia="仿宋_GB2312" w:cs="仿宋_GB2312"/>
          <w:color w:val="auto"/>
          <w:kern w:val="0"/>
          <w:sz w:val="32"/>
          <w:szCs w:val="32"/>
          <w:highlight w:val="none"/>
          <w:u w:val="none"/>
        </w:rPr>
        <w:t>作为统计核算口径，</w:t>
      </w:r>
      <w:r>
        <w:rPr>
          <w:rFonts w:hint="eastAsia" w:ascii="仿宋_GB2312" w:hAnsi="仿宋_GB2312" w:eastAsia="仿宋_GB2312" w:cs="仿宋_GB2312"/>
          <w:color w:val="auto"/>
          <w:sz w:val="32"/>
          <w:szCs w:val="32"/>
          <w:highlight w:val="none"/>
          <w:u w:val="none"/>
        </w:rPr>
        <w:t>按照</w:t>
      </w:r>
      <w:r>
        <w:rPr>
          <w:rFonts w:hint="eastAsia" w:ascii="仿宋_GB2312" w:hAnsi="仿宋_GB2312" w:eastAsia="仿宋_GB2312" w:cs="仿宋_GB2312"/>
          <w:color w:val="auto"/>
          <w:kern w:val="0"/>
          <w:sz w:val="32"/>
          <w:szCs w:val="32"/>
          <w:highlight w:val="none"/>
          <w:u w:val="none"/>
          <w:shd w:val="clear" w:color="auto" w:fill="auto"/>
          <w:lang w:val="en-US" w:eastAsia="zh-CN"/>
        </w:rPr>
        <w:t>“</w:t>
      </w:r>
      <w:r>
        <w:rPr>
          <w:rFonts w:hint="eastAsia" w:ascii="仿宋_GB2312" w:hAnsi="仿宋_GB2312" w:eastAsia="仿宋_GB2312" w:cs="仿宋_GB2312"/>
          <w:color w:val="auto"/>
          <w:sz w:val="32"/>
          <w:szCs w:val="32"/>
          <w:highlight w:val="none"/>
          <w:u w:val="none"/>
          <w:lang w:val="en-US" w:eastAsia="zh-CN"/>
        </w:rPr>
        <w:t>企业向税务部门缴纳的增值税（不含即征即退税款）+土地增值税+城市维护建设税+企业所得税+房产税+印花税+城镇土地使用税+车船税+车辆购置税+契税+代扣代缴的员工综合所得个人所得税+50%经税务部门认可的生产企业出口货物免抵退税申报汇总申报表中当期免抵税额本年累计数-退还增值税留抵税额</w:t>
      </w:r>
      <w:r>
        <w:rPr>
          <w:rFonts w:hint="eastAsia" w:ascii="仿宋_GB2312" w:hAnsi="仿宋_GB2312" w:eastAsia="仿宋_GB2312" w:cs="仿宋_GB2312"/>
          <w:color w:val="auto"/>
          <w:kern w:val="0"/>
          <w:sz w:val="32"/>
          <w:szCs w:val="32"/>
          <w:highlight w:val="none"/>
          <w:u w:val="none"/>
          <w:shd w:val="clear" w:color="auto" w:fill="auto"/>
          <w:lang w:val="en-US" w:eastAsia="zh-CN"/>
        </w:rPr>
        <w:t>”</w:t>
      </w:r>
      <w:r>
        <w:rPr>
          <w:rFonts w:hint="eastAsia" w:ascii="仿宋_GB2312" w:hAnsi="仿宋_GB2312" w:eastAsia="仿宋_GB2312" w:cs="仿宋_GB2312"/>
          <w:color w:val="auto"/>
          <w:sz w:val="32"/>
          <w:szCs w:val="32"/>
          <w:highlight w:val="none"/>
          <w:u w:val="none"/>
        </w:rPr>
        <w:t>计算</w:t>
      </w:r>
      <w:r>
        <w:rPr>
          <w:rFonts w:hint="eastAsia" w:ascii="仿宋_GB2312" w:hAnsi="仿宋_GB2312" w:eastAsia="仿宋_GB2312" w:cs="仿宋_GB2312"/>
          <w:color w:val="auto"/>
          <w:sz w:val="32"/>
          <w:szCs w:val="32"/>
          <w:highlight w:val="none"/>
          <w:u w:val="none"/>
          <w:lang w:val="en-US" w:eastAsia="zh-CN"/>
        </w:rPr>
        <w:t>，统计核算以龙华区税务部门出具的纳税证明作为依据。</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二</w:t>
      </w:r>
      <w:r>
        <w:rPr>
          <w:rFonts w:hint="eastAsia" w:ascii="楷体_GB2312" w:hAnsi="楷体_GB2312" w:eastAsia="楷体_GB2312" w:cs="楷体_GB2312"/>
          <w:color w:val="auto"/>
          <w:sz w:val="32"/>
          <w:szCs w:val="32"/>
          <w:highlight w:val="none"/>
          <w:u w:val="none"/>
        </w:rPr>
        <w:t>）</w:t>
      </w:r>
      <w:r>
        <w:rPr>
          <w:rFonts w:ascii="仿宋_GB2312" w:hAnsi="仿宋_GB2312" w:eastAsia="仿宋_GB2312" w:cs="仿宋_GB2312"/>
          <w:color w:val="auto"/>
          <w:sz w:val="32"/>
          <w:szCs w:val="32"/>
          <w:highlight w:val="none"/>
          <w:u w:val="none"/>
        </w:rPr>
        <w:t>本协议</w:t>
      </w:r>
      <w:r>
        <w:rPr>
          <w:rFonts w:hint="eastAsia" w:ascii="仿宋_GB2312" w:hAnsi="仿宋_GB2312" w:eastAsia="仿宋_GB2312" w:cs="仿宋_GB2312"/>
          <w:color w:val="auto"/>
          <w:sz w:val="32"/>
          <w:szCs w:val="32"/>
          <w:highlight w:val="none"/>
          <w:u w:val="none"/>
          <w:lang w:eastAsia="zh-CN"/>
        </w:rPr>
        <w:t>所称年期以自然年作为计算方</w:t>
      </w:r>
      <w:bookmarkStart w:id="0" w:name="_GoBack"/>
      <w:bookmarkEnd w:id="0"/>
      <w:r>
        <w:rPr>
          <w:rFonts w:hint="eastAsia" w:ascii="仿宋_GB2312" w:hAnsi="仿宋_GB2312" w:eastAsia="仿宋_GB2312" w:cs="仿宋_GB2312"/>
          <w:color w:val="auto"/>
          <w:sz w:val="32"/>
          <w:szCs w:val="32"/>
          <w:highlight w:val="none"/>
          <w:u w:val="none"/>
          <w:lang w:eastAsia="zh-CN"/>
        </w:rPr>
        <w:t>式。</w:t>
      </w:r>
    </w:p>
    <w:p>
      <w:pPr>
        <w:pStyle w:val="2"/>
        <w:keepNext w:val="0"/>
        <w:keepLines w:val="0"/>
        <w:pageBreakBefore w:val="0"/>
        <w:kinsoku/>
        <w:wordWrap/>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三</w:t>
      </w:r>
      <w:r>
        <w:rPr>
          <w:rFonts w:hint="eastAsia" w:ascii="楷体_GB2312" w:hAnsi="楷体_GB2312" w:eastAsia="楷体_GB2312" w:cs="楷体_GB2312"/>
          <w:color w:val="auto"/>
          <w:sz w:val="32"/>
          <w:szCs w:val="32"/>
          <w:highlight w:val="none"/>
          <w:u w:val="none"/>
        </w:rPr>
        <w:t>）</w:t>
      </w:r>
      <w:r>
        <w:rPr>
          <w:rFonts w:ascii="仿宋_GB2312" w:hAnsi="仿宋_GB2312" w:eastAsia="仿宋_GB2312" w:cs="仿宋_GB2312"/>
          <w:color w:val="auto"/>
          <w:sz w:val="32"/>
          <w:szCs w:val="32"/>
          <w:highlight w:val="none"/>
          <w:u w:val="none"/>
        </w:rPr>
        <w:t>本协议</w:t>
      </w:r>
      <w:r>
        <w:rPr>
          <w:rFonts w:hint="eastAsia" w:ascii="仿宋_GB2312" w:hAnsi="仿宋_GB2312" w:eastAsia="仿宋_GB2312" w:cs="仿宋_GB2312"/>
          <w:color w:val="auto"/>
          <w:sz w:val="32"/>
          <w:szCs w:val="32"/>
          <w:highlight w:val="none"/>
          <w:u w:val="none"/>
          <w:lang w:eastAsia="zh-CN"/>
        </w:rPr>
        <w:t>所称</w:t>
      </w:r>
      <w:r>
        <w:rPr>
          <w:rFonts w:hint="eastAsia" w:ascii="仿宋_GB2312" w:hAnsi="FangSong_GB2312" w:eastAsia="仿宋_GB2312" w:cs="FangSong_GB2312"/>
          <w:color w:val="auto"/>
          <w:sz w:val="32"/>
          <w:szCs w:val="32"/>
          <w:highlight w:val="none"/>
          <w:u w:val="none"/>
        </w:rPr>
        <w:t>项目固定资产投资强度</w:t>
      </w:r>
      <w:r>
        <w:rPr>
          <w:rFonts w:hint="eastAsia" w:ascii="仿宋_GB2312" w:hAnsi="仿宋_GB2312" w:eastAsia="仿宋_GB2312" w:cs="仿宋_GB2312"/>
          <w:color w:val="auto"/>
          <w:sz w:val="32"/>
          <w:szCs w:val="32"/>
          <w:highlight w:val="none"/>
          <w:u w:val="none"/>
        </w:rPr>
        <w:t>=项目固定资产总投资</w:t>
      </w:r>
      <w:r>
        <w:rPr>
          <w:rFonts w:hint="default" w:ascii="Arial" w:hAnsi="Arial" w:eastAsia="仿宋_GB2312" w:cs="Arial"/>
          <w:b w:val="0"/>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项目总用地面积</w:t>
      </w:r>
      <w:r>
        <w:rPr>
          <w:rFonts w:hint="eastAsia" w:ascii="仿宋_GB2312" w:hAnsi="仿宋_GB2312" w:eastAsia="仿宋_GB2312" w:cs="仿宋_GB2312"/>
          <w:color w:val="auto"/>
          <w:sz w:val="32"/>
          <w:szCs w:val="32"/>
          <w:highlight w:val="none"/>
          <w:u w:val="none"/>
          <w:lang w:eastAsia="zh-CN"/>
        </w:rPr>
        <w:t>。</w:t>
      </w:r>
    </w:p>
    <w:p>
      <w:pPr>
        <w:pStyle w:val="2"/>
        <w:keepNext w:val="0"/>
        <w:keepLines w:val="0"/>
        <w:pageBreakBefore w:val="0"/>
        <w:kinsoku/>
        <w:wordWrap/>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color w:val="auto"/>
          <w:sz w:val="32"/>
          <w:szCs w:val="32"/>
          <w:highlight w:val="none"/>
          <w:u w:val="none"/>
          <w:lang w:eastAsia="zh-CN"/>
        </w:rPr>
        <w:t>（四）</w:t>
      </w:r>
      <w:r>
        <w:rPr>
          <w:rFonts w:hint="eastAsia" w:ascii="仿宋_GB2312" w:hAnsi="仿宋_GB2312" w:eastAsia="仿宋_GB2312" w:cs="仿宋_GB2312"/>
          <w:color w:val="auto"/>
          <w:sz w:val="32"/>
          <w:szCs w:val="32"/>
          <w:highlight w:val="none"/>
          <w:u w:val="none"/>
          <w:lang w:eastAsia="zh-CN"/>
        </w:rPr>
        <w:t>本协议履行过程中,甲、乙双方对合同条款的理解不一致时，以甲方的解释为准。</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黑体"/>
          <w:b w:val="0"/>
          <w:bCs w:val="0"/>
          <w:color w:val="auto"/>
          <w:sz w:val="32"/>
          <w:szCs w:val="32"/>
          <w:highlight w:val="none"/>
          <w:u w:val="none"/>
        </w:rPr>
      </w:pPr>
      <w:r>
        <w:rPr>
          <w:rFonts w:hint="eastAsia" w:ascii="仿宋_GB2312" w:hAnsi="仿宋_GB2312" w:eastAsia="黑体"/>
          <w:b w:val="0"/>
          <w:bCs w:val="0"/>
          <w:color w:val="auto"/>
          <w:sz w:val="32"/>
          <w:szCs w:val="32"/>
          <w:highlight w:val="none"/>
          <w:u w:val="none"/>
          <w:lang w:eastAsia="zh-CN"/>
        </w:rPr>
        <w:t>八、</w:t>
      </w:r>
      <w:r>
        <w:rPr>
          <w:rFonts w:hint="eastAsia" w:ascii="仿宋_GB2312" w:hAnsi="仿宋_GB2312" w:eastAsia="黑体"/>
          <w:b w:val="0"/>
          <w:bCs w:val="0"/>
          <w:color w:val="auto"/>
          <w:sz w:val="32"/>
          <w:szCs w:val="32"/>
          <w:highlight w:val="none"/>
          <w:u w:val="none"/>
        </w:rPr>
        <w:t>协议效力</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本协议书一式六份，具同等法律效力，甲乙双方各执三份。</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本协议书自甲乙双方签字并盖章之日起生效。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本协议书未尽事宜，按照《深圳市优质产业空间供给试点改革方案》及相关规定处理；政策法规没有规定的，双方通过友好协商解决。双方可另行签订补充协议，补充协议与本协议书具有同等的法律效力。</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（此页为签字盖章页）</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甲方（盖章）：</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法定代表人（委托代理人）：</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乙方（盖章）：</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法定代表人（委托代理人）：</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right"/>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签订日期</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日</w:t>
      </w:r>
    </w:p>
    <w:p>
      <w:pPr>
        <w:pStyle w:val="2"/>
        <w:keepNext w:val="0"/>
        <w:keepLines w:val="0"/>
        <w:pageBreakBefore w:val="0"/>
        <w:kinsoku/>
        <w:wordWrap/>
        <w:topLinePunct w:val="0"/>
        <w:autoSpaceDE/>
        <w:autoSpaceDN/>
        <w:bidi w:val="0"/>
        <w:spacing w:line="560" w:lineRule="exac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签订地点：</w:t>
      </w:r>
    </w:p>
    <w:p>
      <w:pPr>
        <w:pStyle w:val="2"/>
        <w:keepNext w:val="0"/>
        <w:keepLines w:val="0"/>
        <w:pageBreakBefore w:val="0"/>
        <w:kinsoku/>
        <w:wordWrap/>
        <w:topLinePunct w:val="0"/>
        <w:autoSpaceDE/>
        <w:autoSpaceDN/>
        <w:bidi w:val="0"/>
        <w:spacing w:line="560" w:lineRule="exact"/>
        <w:textAlignment w:val="auto"/>
        <w:rPr>
          <w:rFonts w:hint="eastAsia" w:ascii="仿宋_GB2312" w:hAnsi="仿宋_GB2312" w:eastAsia="仿宋_GB2312" w:cs="仿宋_GB2312"/>
          <w:b w:val="0"/>
          <w:bCs w:val="0"/>
          <w:color w:val="auto"/>
          <w:sz w:val="32"/>
          <w:szCs w:val="32"/>
          <w:highlight w:val="none"/>
          <w:lang w:eastAsia="zh-CN"/>
        </w:rPr>
      </w:pPr>
    </w:p>
    <w:p>
      <w:pPr>
        <w:keepNext w:val="0"/>
        <w:keepLines w:val="0"/>
        <w:pageBreakBefore w:val="0"/>
        <w:kinsoku/>
        <w:wordWrap/>
        <w:topLinePunct w:val="0"/>
        <w:autoSpaceDE/>
        <w:autoSpaceDN/>
        <w:bidi w:val="0"/>
        <w:spacing w:line="560" w:lineRule="exact"/>
        <w:textAlignment w:val="auto"/>
        <w:rPr>
          <w:color w:val="auto"/>
          <w:highlight w:val="none"/>
        </w:rPr>
      </w:pPr>
    </w:p>
    <w:p>
      <w:pPr>
        <w:pStyle w:val="6"/>
        <w:keepNext w:val="0"/>
        <w:keepLines w:val="0"/>
        <w:pageBreakBefore w:val="0"/>
        <w:kinsoku/>
        <w:wordWrap/>
        <w:topLinePunct w:val="0"/>
        <w:autoSpaceDE/>
        <w:autoSpaceDN/>
        <w:bidi w:val="0"/>
        <w:spacing w:line="560" w:lineRule="exact"/>
        <w:textAlignment w:val="auto"/>
        <w:rPr>
          <w:color w:val="auto"/>
          <w:highlight w:val="none"/>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displayBackgroundShape w:val="1"/>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24F49"/>
    <w:rsid w:val="0A9B3201"/>
    <w:rsid w:val="128B7F14"/>
    <w:rsid w:val="21957A3D"/>
    <w:rsid w:val="21FC2C65"/>
    <w:rsid w:val="2BF78773"/>
    <w:rsid w:val="363BBF92"/>
    <w:rsid w:val="37AD6E5B"/>
    <w:rsid w:val="37BD7926"/>
    <w:rsid w:val="383F1C51"/>
    <w:rsid w:val="3DBF1324"/>
    <w:rsid w:val="43B52825"/>
    <w:rsid w:val="4A7F3ABC"/>
    <w:rsid w:val="4FFEEF17"/>
    <w:rsid w:val="53F37133"/>
    <w:rsid w:val="56BF16C5"/>
    <w:rsid w:val="56DF5677"/>
    <w:rsid w:val="5B7F5CD8"/>
    <w:rsid w:val="5B9A7037"/>
    <w:rsid w:val="5F97FCA9"/>
    <w:rsid w:val="642D28F2"/>
    <w:rsid w:val="72FD0400"/>
    <w:rsid w:val="737FAB2E"/>
    <w:rsid w:val="7535FD31"/>
    <w:rsid w:val="75EF3F32"/>
    <w:rsid w:val="76EB9ED0"/>
    <w:rsid w:val="779F14A1"/>
    <w:rsid w:val="7BFF9E0A"/>
    <w:rsid w:val="7FD69EC8"/>
    <w:rsid w:val="9FF7D711"/>
    <w:rsid w:val="ED7F0439"/>
    <w:rsid w:val="EFBF113A"/>
    <w:rsid w:val="EFFF20DF"/>
    <w:rsid w:val="F6DF9A6E"/>
    <w:rsid w:val="F7BFEB0C"/>
    <w:rsid w:val="FA95BD37"/>
    <w:rsid w:val="FCD71231"/>
    <w:rsid w:val="FDDE87CB"/>
    <w:rsid w:val="FE6F3077"/>
    <w:rsid w:val="FEFB48E8"/>
    <w:rsid w:val="FF3BFD63"/>
    <w:rsid w:val="FFB791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widowControl/>
      <w:spacing w:line="360" w:lineRule="auto"/>
      <w:ind w:firstLine="480" w:firstLineChars="200"/>
    </w:pPr>
    <w:rPr>
      <w:rFonts w:ascii="Arial" w:hAnsi="Arial" w:cs="宋体"/>
      <w:sz w:val="28"/>
      <w:szCs w:val="28"/>
    </w:rPr>
  </w:style>
  <w:style w:type="paragraph" w:styleId="3">
    <w:name w:val="annotation text"/>
    <w:basedOn w:val="1"/>
    <w:qFormat/>
    <w:uiPriority w:val="0"/>
    <w:pPr>
      <w:jc w:val="left"/>
    </w:pPr>
  </w:style>
  <w:style w:type="paragraph" w:styleId="4">
    <w:name w:val="Body Text"/>
    <w:basedOn w:val="1"/>
    <w:qFormat/>
    <w:uiPriority w:val="1"/>
    <w:pPr>
      <w:ind w:left="109"/>
    </w:pPr>
    <w:rPr>
      <w:sz w:val="32"/>
      <w:szCs w:val="32"/>
    </w:rPr>
  </w:style>
  <w:style w:type="paragraph" w:styleId="5">
    <w:name w:val="Body Text Indent"/>
    <w:basedOn w:val="1"/>
    <w:qFormat/>
    <w:uiPriority w:val="0"/>
    <w:pPr>
      <w:ind w:firstLine="570"/>
    </w:pPr>
    <w:rPr>
      <w:rFonts w:ascii="宋体" w:hAnsi="宋体"/>
      <w:kern w:val="0"/>
      <w:sz w:val="32"/>
      <w:szCs w:val="24"/>
    </w:rPr>
  </w:style>
  <w:style w:type="paragraph" w:styleId="6">
    <w:name w:val="Plain Text"/>
    <w:basedOn w:val="1"/>
    <w:qFormat/>
    <w:uiPriority w:val="99"/>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Autospacing="1" w:after="0" w:afterAutospacing="1"/>
      <w:ind w:left="0" w:right="0"/>
      <w:jc w:val="left"/>
    </w:pPr>
    <w:rPr>
      <w:kern w:val="0"/>
      <w:sz w:val="24"/>
      <w:lang w:val="en-US" w:eastAsia="zh-CN"/>
    </w:rPr>
  </w:style>
  <w:style w:type="character" w:styleId="12">
    <w:name w:val="Emphasis"/>
    <w:basedOn w:val="11"/>
    <w:qFormat/>
    <w:uiPriority w:val="0"/>
    <w:rPr>
      <w:i/>
    </w:rPr>
  </w:style>
  <w:style w:type="paragraph" w:customStyle="1" w:styleId="13">
    <w:name w:val="List Paragraph_5ccf2615-1aa9-4e9b-9a0b-2bc1a5ec39a9"/>
    <w:basedOn w:val="1"/>
    <w:qFormat/>
    <w:uiPriority w:val="34"/>
    <w:pPr>
      <w:ind w:firstLine="420" w:firstLineChars="200"/>
    </w:pPr>
  </w:style>
  <w:style w:type="paragraph" w:customStyle="1" w:styleId="14">
    <w:name w:val="列出段落2"/>
    <w:basedOn w:val="1"/>
    <w:qFormat/>
    <w:uiPriority w:val="99"/>
    <w:pPr>
      <w:ind w:firstLine="420" w:firstLineChars="200"/>
    </w:pPr>
    <w:rPr>
      <w:rFonts w:ascii="Calibri" w:hAnsi="Calibri"/>
    </w:rPr>
  </w:style>
  <w:style w:type="character" w:customStyle="1" w:styleId="15">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11894</Words>
  <Characters>12070</Characters>
  <Paragraphs>247</Paragraphs>
  <TotalTime>2</TotalTime>
  <ScaleCrop>false</ScaleCrop>
  <LinksUpToDate>false</LinksUpToDate>
  <CharactersWithSpaces>12358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2019-04-17T08:40:00Z</dcterms:created>
  <dc:creator>meng</dc:creator>
  <cp:lastModifiedBy>PP</cp:lastModifiedBy>
  <cp:lastPrinted>2022-06-05T19:18:00Z</cp:lastPrinted>
  <dcterms:modified xsi:type="dcterms:W3CDTF">2022-12-15T08:34:02Z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9ADB2586D7A846B2A593E9EDDEA7EA56</vt:lpwstr>
  </property>
</Properties>
</file>