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rPr>
      </w:pPr>
    </w:p>
    <w:p>
      <w:pPr>
        <w:tabs>
          <w:tab w:val="left" w:pos="8460"/>
        </w:tabs>
        <w:spacing w:line="400" w:lineRule="exact"/>
        <w:jc w:val="center"/>
        <w:rPr>
          <w:rFonts w:ascii="黑体" w:eastAsia="黑体"/>
          <w:spacing w:val="20"/>
          <w:w w:val="110"/>
          <w:kern w:val="10"/>
          <w:sz w:val="40"/>
        </w:rPr>
      </w:pPr>
      <w:r>
        <w:rPr>
          <w:rFonts w:hint="eastAsia" w:ascii="黑体" w:eastAsia="黑体"/>
          <w:spacing w:val="20"/>
          <w:w w:val="110"/>
          <w:kern w:val="10"/>
          <w:sz w:val="40"/>
        </w:rPr>
        <w:t>深圳市土地使用权出让公告</w:t>
      </w:r>
    </w:p>
    <w:p>
      <w:pPr>
        <w:tabs>
          <w:tab w:val="left" w:pos="8460"/>
        </w:tabs>
        <w:spacing w:line="400" w:lineRule="exact"/>
        <w:jc w:val="center"/>
        <w:rPr>
          <w:rFonts w:ascii="汉仪书宋二简" w:eastAsia="汉仪书宋二简"/>
          <w:spacing w:val="20"/>
          <w:w w:val="110"/>
          <w:kern w:val="10"/>
        </w:rPr>
      </w:pPr>
      <w:r>
        <w:rPr>
          <w:rFonts w:hint="eastAsia" w:ascii="汉仪书宋二简" w:eastAsia="汉仪书宋二简"/>
          <w:spacing w:val="20"/>
          <w:w w:val="110"/>
          <w:kern w:val="10"/>
          <w:sz w:val="23"/>
        </w:rPr>
        <w:t>深土交告</w:t>
      </w:r>
      <w:r>
        <w:rPr>
          <w:rFonts w:hint="eastAsia" w:ascii="宋体" w:hAnsi="宋体"/>
          <w:color w:val="000000"/>
          <w:spacing w:val="20"/>
          <w:w w:val="110"/>
          <w:kern w:val="10"/>
          <w:sz w:val="23"/>
        </w:rPr>
        <w:t>〔2022〕</w:t>
      </w:r>
      <w:r>
        <w:rPr>
          <w:rFonts w:hint="eastAsia" w:ascii="宋体" w:hAnsi="宋体"/>
          <w:color w:val="000000"/>
          <w:spacing w:val="20"/>
          <w:w w:val="110"/>
          <w:kern w:val="10"/>
          <w:sz w:val="23"/>
          <w:lang w:val="en-US" w:eastAsia="zh-CN"/>
        </w:rPr>
        <w:t>73</w:t>
      </w:r>
      <w:r>
        <w:rPr>
          <w:rFonts w:hint="eastAsia" w:ascii="汉仪书宋二简" w:eastAsia="汉仪书宋二简"/>
          <w:spacing w:val="20"/>
          <w:w w:val="110"/>
          <w:kern w:val="10"/>
          <w:sz w:val="23"/>
        </w:rPr>
        <w:t>号</w:t>
      </w:r>
    </w:p>
    <w:p>
      <w:pPr>
        <w:tabs>
          <w:tab w:val="left" w:pos="8460"/>
        </w:tabs>
        <w:spacing w:line="400" w:lineRule="exact"/>
        <w:jc w:val="center"/>
        <w:rPr>
          <w:rFonts w:ascii="汉仪书宋二简" w:eastAsia="汉仪书宋二简"/>
          <w:spacing w:val="20"/>
          <w:w w:val="110"/>
          <w:kern w:val="10"/>
        </w:rPr>
      </w:pP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根据有关法律、法规，深圳市规划和自然资源局光明管理局（以下简称市规划和自然资源局光明管理局）委托深圳交易集团有限公司（</w:t>
      </w:r>
      <w:r>
        <w:rPr>
          <w:rFonts w:hint="eastAsia" w:ascii="宋体" w:hAnsi="宋体"/>
          <w:color w:val="000000"/>
          <w:spacing w:val="20"/>
          <w:kern w:val="10"/>
          <w:sz w:val="23"/>
          <w:szCs w:val="23"/>
          <w:lang w:val="en-US" w:eastAsia="zh-CN"/>
        </w:rPr>
        <w:t>深圳公共资源交易中心</w:t>
      </w:r>
      <w:r>
        <w:rPr>
          <w:rFonts w:hint="eastAsia" w:ascii="宋体" w:hAnsi="宋体"/>
          <w:color w:val="000000"/>
          <w:spacing w:val="20"/>
          <w:kern w:val="10"/>
          <w:sz w:val="23"/>
          <w:szCs w:val="23"/>
        </w:rPr>
        <w:t>），在深圳市福田区红荔西路8007号土地房产交易大厦（以下简称交易大厦）3楼，以挂牌方式公开出让宗地代码为</w:t>
      </w:r>
      <w:r>
        <w:rPr>
          <w:rFonts w:ascii="宋体" w:hAnsi="宋体"/>
          <w:color w:val="000000"/>
          <w:spacing w:val="20"/>
          <w:kern w:val="10"/>
          <w:sz w:val="23"/>
          <w:szCs w:val="23"/>
        </w:rPr>
        <w:t>440311201001GB00855</w:t>
      </w:r>
      <w:r>
        <w:rPr>
          <w:rFonts w:hint="eastAsia" w:ascii="宋体" w:hAnsi="宋体"/>
          <w:color w:val="000000"/>
          <w:spacing w:val="20"/>
          <w:kern w:val="10"/>
          <w:sz w:val="23"/>
          <w:szCs w:val="23"/>
        </w:rPr>
        <w:t>的宗地使用权，公告期自</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12</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1</w:t>
      </w:r>
      <w:r>
        <w:rPr>
          <w:rFonts w:hint="eastAsia" w:ascii="宋体" w:hAnsi="宋体"/>
          <w:color w:val="000000"/>
          <w:spacing w:val="20"/>
          <w:kern w:val="10"/>
          <w:sz w:val="23"/>
          <w:szCs w:val="23"/>
        </w:rPr>
        <w:t>日至</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12</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20</w:t>
      </w:r>
      <w:r>
        <w:rPr>
          <w:rFonts w:hint="eastAsia" w:ascii="宋体" w:hAnsi="宋体"/>
          <w:color w:val="000000"/>
          <w:spacing w:val="20"/>
          <w:kern w:val="10"/>
          <w:sz w:val="23"/>
          <w:szCs w:val="23"/>
        </w:rPr>
        <w:t>日，挂牌期自</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12</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21</w:t>
      </w:r>
      <w:r>
        <w:rPr>
          <w:rFonts w:hint="eastAsia" w:ascii="宋体" w:hAnsi="宋体"/>
          <w:color w:val="000000"/>
          <w:spacing w:val="20"/>
          <w:kern w:val="10"/>
          <w:sz w:val="23"/>
          <w:szCs w:val="23"/>
        </w:rPr>
        <w:t>日至</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12</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30</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15</w:t>
      </w:r>
      <w:r>
        <w:rPr>
          <w:rFonts w:hint="eastAsia" w:ascii="宋体" w:hAnsi="宋体"/>
          <w:color w:val="000000"/>
          <w:spacing w:val="20"/>
          <w:kern w:val="10"/>
          <w:sz w:val="23"/>
          <w:szCs w:val="23"/>
        </w:rPr>
        <w:t>时止。现予公告。</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一、宗地情况</w:t>
      </w:r>
    </w:p>
    <w:tbl>
      <w:tblPr>
        <w:tblStyle w:val="7"/>
        <w:tblpPr w:leftFromText="180" w:rightFromText="180" w:vertAnchor="text" w:horzAnchor="margin" w:tblpXSpec="center" w:tblpY="173"/>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850"/>
        <w:gridCol w:w="851"/>
        <w:gridCol w:w="1559"/>
        <w:gridCol w:w="1276"/>
        <w:gridCol w:w="1276"/>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59"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w:t>
            </w: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代码</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宗地号</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位置</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用途</w:t>
            </w:r>
          </w:p>
        </w:tc>
        <w:tc>
          <w:tcPr>
            <w:tcW w:w="1559"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ascii="汉仪书宋二简" w:eastAsia="汉仪书宋二简"/>
                <w:b/>
                <w:color w:val="000000"/>
                <w:kern w:val="10"/>
                <w:sz w:val="20"/>
                <w:szCs w:val="20"/>
              </w:rPr>
            </w:pPr>
          </w:p>
          <w:p>
            <w:pPr>
              <w:tabs>
                <w:tab w:val="left" w:pos="8460"/>
              </w:tabs>
              <w:spacing w:line="280" w:lineRule="exact"/>
              <w:jc w:val="center"/>
              <w:rPr>
                <w:rFonts w:ascii="汉仪书宋二简" w:eastAsia="汉仪书宋二简"/>
                <w:b/>
                <w:color w:val="000000"/>
                <w:kern w:val="10"/>
                <w:sz w:val="20"/>
                <w:szCs w:val="20"/>
              </w:rPr>
            </w:pP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准入行业类别</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土地面积（平方米）</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建筑面积</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（平方米）</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挂牌起始价（人民币、万元）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竞买（投标）保证金（人民币、万元）</w:t>
            </w:r>
          </w:p>
        </w:tc>
        <w:tc>
          <w:tcPr>
            <w:tcW w:w="851" w:type="dxa"/>
            <w:tcBorders>
              <w:top w:val="single" w:color="auto" w:sz="4" w:space="0"/>
              <w:left w:val="single" w:color="auto" w:sz="4" w:space="0"/>
              <w:bottom w:val="single" w:color="auto" w:sz="4" w:space="0"/>
              <w:right w:val="single" w:color="auto" w:sz="4" w:space="0"/>
            </w:tcBorders>
          </w:tcPr>
          <w:p>
            <w:pPr>
              <w:spacing w:line="280" w:lineRule="exact"/>
              <w:rPr>
                <w:rFonts w:ascii="汉仪书宋二简" w:eastAsia="汉仪书宋二简"/>
                <w:b/>
                <w:color w:val="000000"/>
                <w:kern w:val="10"/>
                <w:sz w:val="20"/>
                <w:szCs w:val="20"/>
              </w:rPr>
            </w:pPr>
          </w:p>
          <w:p>
            <w:pPr>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959"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rPr>
                <w:rFonts w:ascii="汉仪书宋二简" w:eastAsia="汉仪书宋二简"/>
                <w:color w:val="000000"/>
                <w:kern w:val="10"/>
                <w:sz w:val="20"/>
                <w:szCs w:val="20"/>
              </w:rPr>
            </w:pPr>
            <w:r>
              <w:rPr>
                <w:rFonts w:ascii="汉仪书宋二简" w:eastAsia="汉仪书宋二简"/>
                <w:color w:val="000000"/>
                <w:kern w:val="10"/>
                <w:sz w:val="20"/>
                <w:szCs w:val="20"/>
              </w:rPr>
              <w:t>440311201001GB00855</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A636-0960</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ascii="汉仪书宋二简" w:eastAsia="汉仪书宋二简"/>
                <w:color w:val="000000"/>
                <w:kern w:val="10"/>
                <w:sz w:val="20"/>
                <w:szCs w:val="20"/>
              </w:rPr>
              <w:t>光明区公明街道</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普通工业用地</w:t>
            </w:r>
          </w:p>
        </w:tc>
        <w:tc>
          <w:tcPr>
            <w:tcW w:w="1559"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hint="eastAsia" w:asciiTheme="minorEastAsia" w:hAnsiTheme="minorEastAsia"/>
                <w:sz w:val="20"/>
                <w:szCs w:val="20"/>
              </w:rPr>
            </w:pPr>
          </w:p>
          <w:p>
            <w:pPr>
              <w:tabs>
                <w:tab w:val="left" w:pos="8460"/>
              </w:tabs>
              <w:spacing w:line="280" w:lineRule="exact"/>
              <w:jc w:val="center"/>
              <w:rPr>
                <w:rFonts w:hint="eastAsia" w:asciiTheme="minorEastAsia" w:hAnsiTheme="minorEastAsia"/>
                <w:sz w:val="20"/>
                <w:szCs w:val="20"/>
              </w:rPr>
            </w:pPr>
          </w:p>
          <w:p>
            <w:pPr>
              <w:tabs>
                <w:tab w:val="left" w:pos="8460"/>
              </w:tabs>
              <w:spacing w:line="280" w:lineRule="exact"/>
              <w:jc w:val="center"/>
              <w:rPr>
                <w:rFonts w:ascii="汉仪书宋二简" w:eastAsia="汉仪书宋二简"/>
                <w:color w:val="000000"/>
                <w:kern w:val="10"/>
                <w:sz w:val="20"/>
                <w:szCs w:val="20"/>
              </w:rPr>
            </w:pPr>
            <w:r>
              <w:rPr>
                <w:rFonts w:hint="eastAsia" w:asciiTheme="minorEastAsia" w:hAnsiTheme="minorEastAsia"/>
                <w:sz w:val="20"/>
                <w:szCs w:val="20"/>
                <w:lang w:val="en-US"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22281.52</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110555</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themeColor="text1"/>
                <w:kern w:val="10"/>
                <w:sz w:val="20"/>
                <w:szCs w:val="20"/>
              </w:rPr>
            </w:pPr>
            <w:r>
              <w:rPr>
                <w:rFonts w:hint="eastAsia" w:ascii="汉仪书宋二简" w:eastAsia="汉仪书宋二简"/>
                <w:color w:val="000000" w:themeColor="text1"/>
                <w:kern w:val="10"/>
                <w:sz w:val="20"/>
                <w:szCs w:val="20"/>
              </w:rPr>
              <w:t>14700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themeColor="text1"/>
                <w:kern w:val="10"/>
                <w:sz w:val="20"/>
                <w:szCs w:val="20"/>
              </w:rPr>
            </w:pPr>
            <w:r>
              <w:rPr>
                <w:rFonts w:hint="eastAsia" w:ascii="汉仪书宋二简" w:eastAsia="汉仪书宋二简"/>
                <w:color w:val="000000" w:themeColor="text1"/>
                <w:kern w:val="10"/>
                <w:sz w:val="20"/>
                <w:szCs w:val="20"/>
              </w:rPr>
              <w:t>2940</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themeColor="text1"/>
                <w:kern w:val="10"/>
                <w:sz w:val="20"/>
                <w:szCs w:val="20"/>
              </w:rPr>
            </w:pPr>
            <w:r>
              <w:rPr>
                <w:rFonts w:hint="eastAsia" w:ascii="汉仪书宋二简" w:eastAsia="汉仪书宋二简"/>
                <w:color w:val="000000" w:themeColor="text1"/>
                <w:kern w:val="10"/>
                <w:sz w:val="20"/>
                <w:szCs w:val="20"/>
              </w:rPr>
              <w:t>30</w:t>
            </w:r>
          </w:p>
        </w:tc>
      </w:tr>
    </w:tbl>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上述宗地的具体情况以《</w:t>
      </w:r>
      <w:r>
        <w:rPr>
          <w:rFonts w:hint="eastAsia" w:ascii="宋体" w:hAnsi="宋体"/>
          <w:spacing w:val="20"/>
          <w:kern w:val="10"/>
          <w:sz w:val="23"/>
          <w:szCs w:val="23"/>
          <w:lang w:val="en-US" w:eastAsia="zh-CN"/>
        </w:rPr>
        <w:t>深圳市国有建设用地使用权出让合同</w:t>
      </w:r>
      <w:r>
        <w:rPr>
          <w:rFonts w:hint="eastAsia" w:ascii="宋体" w:hAnsi="宋体"/>
          <w:color w:val="000000"/>
          <w:spacing w:val="20"/>
          <w:kern w:val="10"/>
          <w:sz w:val="23"/>
          <w:szCs w:val="23"/>
        </w:rPr>
        <w:t>》（样本，以下简称《出让合同》）为准。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二、宗地出让条件</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（一）竞得人须在成交后即时签订《成交确认书》。</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（二）签订《成交确认书》后，竞得人应向深圳市光明区投资促进服务中心（以下简称“光明区投资促进服务中心”）申请签订产业发展监管协议。</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（三）自签订《成交确认书》之日起15个工作日内，竞得人应持《成交确认书》和产业发展监管协议向市规划和自然资源局光明管理局申请签订《出让合同》，并自签订《出让合同》之日起</w:t>
      </w:r>
      <w:r>
        <w:rPr>
          <w:rFonts w:ascii="宋体" w:hAnsi="宋体"/>
          <w:color w:val="000000"/>
          <w:spacing w:val="20"/>
          <w:kern w:val="10"/>
          <w:sz w:val="23"/>
          <w:szCs w:val="23"/>
        </w:rPr>
        <w:t>5</w:t>
      </w:r>
      <w:r>
        <w:rPr>
          <w:rFonts w:hint="eastAsia" w:ascii="宋体" w:hAnsi="宋体"/>
          <w:color w:val="000000"/>
          <w:spacing w:val="20"/>
          <w:kern w:val="10"/>
          <w:sz w:val="23"/>
          <w:szCs w:val="23"/>
        </w:rPr>
        <w:t>个工作日内一次性付清成交价款。</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（四）竞得人缴纳地价款时，应凭自然资源主管部门开具的《缴款通知书》到深圳市各区税务局办税服务厅或者登录深圳市电子税务局进行缴费，具体流程详见《</w:t>
      </w:r>
      <w:r>
        <w:rPr>
          <w:rFonts w:hint="eastAsia" w:ascii="宋体" w:hAnsi="宋体"/>
          <w:spacing w:val="20"/>
          <w:kern w:val="10"/>
          <w:sz w:val="23"/>
          <w:szCs w:val="23"/>
          <w:lang w:eastAsia="zh-CN"/>
        </w:rPr>
        <w:t>国有土地使用权出让收入缴款及竞买保证金退转操作指引</w:t>
      </w:r>
      <w:r>
        <w:rPr>
          <w:rFonts w:hint="eastAsia" w:ascii="宋体" w:hAnsi="宋体"/>
          <w:color w:val="000000"/>
          <w:spacing w:val="20"/>
          <w:kern w:val="10"/>
          <w:sz w:val="23"/>
          <w:szCs w:val="23"/>
        </w:rPr>
        <w:t>》。</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（五）竞得人应遵守法律、法规和《出让合同》规定，严格按照土地用途和有关部门审定的规划设计方案使用和开发建设。</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六）本宗地项目建成后，产业用房及配套宿舍可分割销售，销售对象须从光明区优质产业空间遴选企业库中按程序选取，产业用房及配套宿舍自完成不动产登记之日起未满5年的产业空间，原则上不允许二次转让；依据《深圳市优质产业空间供给试点改革方案》相关规定执行的二次转让，应按企业办理产业用房与配套宿舍不动产权登记时的证载面积为单位整体转让，不可分割转让。商业可分割销售，不限制销售对象，销售价格参考市场评估价。食堂限整体转让。社区健康服务中心、熟食中心、环卫工人作息房及按照法定图则配置的场地面积不少于600平方米的社区体育活动场地和150个社会停车场（库）产权归政府，由竞得人建成后无偿移交政府。建设用地使用权及建筑物允许抵押，但抵押金额不得超出合同剩余年期地价与建筑物的残值之和。</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（七）宗地涉及白沙坑河道管理范围线，竞得人的建设方案需事先征求</w:t>
      </w:r>
      <w:r>
        <w:rPr>
          <w:rFonts w:hint="eastAsia" w:ascii="宋体" w:hAnsi="宋体"/>
          <w:color w:val="000000"/>
          <w:spacing w:val="20"/>
          <w:kern w:val="10"/>
          <w:sz w:val="23"/>
          <w:szCs w:val="23"/>
          <w:lang w:val="en-US" w:eastAsia="zh-CN"/>
        </w:rPr>
        <w:t>光明</w:t>
      </w:r>
      <w:r>
        <w:rPr>
          <w:rFonts w:hint="eastAsia" w:ascii="宋体" w:hAnsi="宋体"/>
          <w:color w:val="000000"/>
          <w:spacing w:val="20"/>
          <w:kern w:val="10"/>
          <w:sz w:val="23"/>
          <w:szCs w:val="23"/>
        </w:rPr>
        <w:t>区水务局书面意见，若项目实施需在河道管理范围内进行建设，需满足《涉河建设项目防洪评价和管理技术规范》等相关规定,做好安全警示标识及安全防护保障措施；并组织编制防洪影响评价报告报送至光明区水务局，由光明区水务局组织评审通过后申报洪水影响评价审批，待审批通过后方可进场施工。</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八）宗地涉及雨污水管及其附属设施，部分雨污水管道具备上下游转输功能，竞得人应结合现状排水系统、建设、生产需要统筹利用，若需拆除、改动排水设施，应组织编制管线拆除、改动方案，并向光明区水务局申报迁移、移动城镇排水与污水处理设施方案，待审批通过后方可实施。</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九）竞得人应当依法做好建设项目安全设施“三同时”工作，并符合《建筑设计防火规范》（GB50016）、《石油化工企业设计防火规范》（GB50160）、《石油库设计规范》（GB50074）、《汽车加油加气站设计与施工规范》（GB50156）等法律法规的要求。</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（十）建设项目入驻前须按照《深圳市建设项目环境影响评价审批和备案管理名录》（2021年版）的要求，判断环境影响评价管理类别。</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 xml:space="preserve">（十一）项目如在工程建设过程中开挖形成新的地质灾害隐患点，则须按“三同时”制度（配套防治工程应当与主体工程同步设计、施工、验收和交付使用），落实配套治理工程。同时应重点加强对工程建设可能引发的新的地质灾害隐患的防范，在发现灾情险情时及时处置并上报光明区政府，严防地质灾害发生。  </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（十二）项目在建设和运营过程中，要因地制宜落实海绵城市建设要求，严格执行国家、省、市发布的相关行业用水定额最严苛值，并及时将“节水三同时”工作落实情况报光明区水务</w:t>
      </w:r>
      <w:r>
        <w:rPr>
          <w:rFonts w:hint="eastAsia" w:ascii="宋体" w:hAnsi="宋体"/>
          <w:color w:val="000000"/>
          <w:spacing w:val="20"/>
          <w:kern w:val="10"/>
          <w:sz w:val="23"/>
          <w:szCs w:val="23"/>
          <w:lang w:val="en-US" w:eastAsia="zh-CN"/>
        </w:rPr>
        <w:t>局</w:t>
      </w:r>
      <w:r>
        <w:rPr>
          <w:rFonts w:hint="eastAsia" w:ascii="宋体" w:hAnsi="宋体"/>
          <w:color w:val="000000"/>
          <w:spacing w:val="20"/>
          <w:kern w:val="10"/>
          <w:sz w:val="23"/>
          <w:szCs w:val="23"/>
        </w:rPr>
        <w:t>审核。</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三）项目开工建设前需与燃气、水务、电力、通信等行业主管部门及管线权属单位现场核实管线具体位置，并在施工过程中按要求做好防护措施，若后续开发建设影响市政管线需及时出具相关设计方案或管线保护方案报相应主管部门审核。</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（十四）竞得人在竞得用地后，如涉及实际工艺需求建设定制型专业厂房，需取得产业主管部门书面认可意见后在《建设用地规划许可证》或《土地使用权出让合同》中进行约定。</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 xml:space="preserve"> (十五)</w:t>
      </w:r>
      <w:r>
        <w:rPr>
          <w:rFonts w:hint="eastAsia"/>
        </w:rPr>
        <w:t xml:space="preserve"> </w:t>
      </w:r>
      <w:r>
        <w:rPr>
          <w:rFonts w:hint="eastAsia" w:ascii="宋体" w:hAnsi="宋体"/>
          <w:color w:val="000000"/>
          <w:spacing w:val="20"/>
          <w:kern w:val="10"/>
          <w:sz w:val="23"/>
          <w:szCs w:val="23"/>
        </w:rPr>
        <w:t>该宗地项目的产业引进及后续建设、运营管理应按照“工业上楼”相关规定落实。</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（十六）项目应符合《深圳经济特区交通安全管理条例》要求，在申报《建设用地规划许可证》时，应向市规划和自然资源部门提交交通评价报告书，并按要求完善相关工作。</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七）竞得人可以在深圳市依法注册设立全资子公司，并通过签订土地使用权出让合同补充协议，将土地使用权变更至全资子公司名下。其他未尽事宜须满足《深圳市优质产业空间供给试点改革方案》相关规定要求。</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（十八）本次出让宗地须自《出让合同》签订之日起1.5年内开工，4年内竣工。</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（十九）具体产权要求及其他事项规定，以《出让合同》为准。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三、竞买人主体资格要求</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具备下列条件的,可</w:t>
      </w:r>
      <w:r>
        <w:rPr>
          <w:rFonts w:hint="eastAsia" w:ascii="宋体" w:hAnsi="宋体"/>
          <w:color w:val="000000"/>
          <w:spacing w:val="20"/>
          <w:kern w:val="10"/>
          <w:sz w:val="23"/>
          <w:szCs w:val="23"/>
          <w:lang w:val="en-US" w:eastAsia="zh-CN"/>
        </w:rPr>
        <w:t>独立</w:t>
      </w:r>
      <w:r>
        <w:rPr>
          <w:rFonts w:hint="eastAsia" w:ascii="宋体" w:hAnsi="宋体"/>
          <w:color w:val="000000"/>
          <w:spacing w:val="20"/>
          <w:kern w:val="10"/>
          <w:sz w:val="23"/>
          <w:szCs w:val="23"/>
        </w:rPr>
        <w:t>申请</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不接受联合竞买</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竞买本次出让宗地：</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（一）竞买申请人为在深圳市注册的企业法人；</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（二）竞买申请人应为符合《深圳市优质产业空间供给试点改革方案》遴选要求的平台企业。</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四、竞买申请程序</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（一）申请主体资格审查</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竞买申请人应当在公告期内（工作日），向光明区投资促进服务中心提交能够满足前述资格要求的有关证明材料，申请主体资格审查。</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（二）网上注册</w:t>
      </w:r>
    </w:p>
    <w:p>
      <w:pPr>
        <w:spacing w:line="400" w:lineRule="exact"/>
        <w:ind w:firstLine="540" w:firstLineChars="200"/>
        <w:rPr>
          <w:rFonts w:hint="eastAsia" w:ascii="宋体" w:hAnsi="宋体" w:eastAsia="宋体" w:cs="Times New Roman"/>
          <w:color w:val="000000"/>
          <w:spacing w:val="20"/>
          <w:kern w:val="10"/>
          <w:sz w:val="23"/>
          <w:szCs w:val="23"/>
        </w:rPr>
      </w:pPr>
      <w:r>
        <w:rPr>
          <w:rFonts w:hint="eastAsia" w:ascii="宋体" w:hAnsi="宋体" w:eastAsia="宋体" w:cs="Times New Roman"/>
          <w:color w:val="000000"/>
          <w:spacing w:val="20"/>
          <w:kern w:val="10"/>
          <w:sz w:val="23"/>
          <w:szCs w:val="23"/>
        </w:rPr>
        <w:t>竞买申请人应在深圳公共资源交易公共服务平台的统一用户中心（https://trade.szggzy.com/ggzy/center/#/login）进行网上注册。网上注册的程序和要求详见深圳公共资源交易公共服务平台网站中的操作指引（https://new.szggzy.com/jyfw/details.html?contentId=1717872）。</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（三）申请竞买</w:t>
      </w:r>
    </w:p>
    <w:p>
      <w:pPr>
        <w:spacing w:line="400" w:lineRule="exact"/>
        <w:ind w:firstLine="540" w:firstLineChars="200"/>
        <w:rPr>
          <w:rFonts w:hint="eastAsia" w:ascii="宋体" w:hAnsi="宋体"/>
          <w:color w:val="000000"/>
          <w:spacing w:val="20"/>
          <w:kern w:val="10"/>
          <w:sz w:val="23"/>
          <w:szCs w:val="23"/>
          <w:lang w:val="en-IE"/>
        </w:rPr>
      </w:pPr>
      <w:r>
        <w:rPr>
          <w:rFonts w:hint="eastAsia" w:ascii="宋体" w:hAnsi="宋体"/>
          <w:color w:val="000000"/>
          <w:spacing w:val="20"/>
          <w:kern w:val="10"/>
          <w:sz w:val="23"/>
          <w:szCs w:val="23"/>
          <w:lang w:val="en-IE"/>
        </w:rPr>
        <w:t>竞买申请人网上注册后，登录统一用户中心，在深圳土地矿业权交易平台选择意向竞买的宗地，提出竞买申请。</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（四）交纳竞买（投标）保证金</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竞买申请人提出竞买申请后，按入账申请单提示交纳竞买（投标）保证金，竞买（投标）保证金不得由其他单位或个人代交。具体详见操作指</w:t>
      </w:r>
      <w:r>
        <w:rPr>
          <w:rFonts w:hint="eastAsia" w:ascii="宋体" w:hAnsi="宋体"/>
          <w:color w:val="000000"/>
          <w:spacing w:val="20"/>
          <w:kern w:val="10"/>
          <w:sz w:val="23"/>
          <w:szCs w:val="23"/>
          <w:lang w:val="en-US" w:eastAsia="zh-CN"/>
        </w:rPr>
        <w:t>引</w:t>
      </w:r>
      <w:r>
        <w:rPr>
          <w:rFonts w:hint="eastAsia" w:ascii="宋体" w:hAnsi="宋体"/>
          <w:color w:val="000000"/>
          <w:spacing w:val="20"/>
          <w:kern w:val="10"/>
          <w:sz w:val="23"/>
          <w:szCs w:val="23"/>
        </w:rPr>
        <w:t>。</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竞买申请人可通过深圳土地矿业权交易平台及时查询竞买（投标）保证金到账情况。竞买（投标）保证金的到账截止时间为2022年</w:t>
      </w:r>
      <w:r>
        <w:rPr>
          <w:rFonts w:hint="eastAsia" w:ascii="宋体" w:hAnsi="宋体"/>
          <w:color w:val="000000"/>
          <w:spacing w:val="20"/>
          <w:kern w:val="10"/>
          <w:sz w:val="23"/>
          <w:szCs w:val="23"/>
          <w:lang w:val="en-US" w:eastAsia="zh-CN"/>
        </w:rPr>
        <w:t>12</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28</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15</w:t>
      </w:r>
      <w:r>
        <w:rPr>
          <w:rFonts w:hint="eastAsia" w:ascii="宋体" w:hAnsi="宋体"/>
          <w:color w:val="000000"/>
          <w:spacing w:val="20"/>
          <w:kern w:val="10"/>
          <w:sz w:val="23"/>
          <w:szCs w:val="23"/>
        </w:rPr>
        <w:t>时</w:t>
      </w:r>
      <w:r>
        <w:rPr>
          <w:rFonts w:hint="eastAsia" w:ascii="宋体" w:hAnsi="宋体"/>
          <w:color w:val="000000"/>
          <w:spacing w:val="20"/>
          <w:kern w:val="10"/>
          <w:sz w:val="23"/>
          <w:szCs w:val="23"/>
          <w:lang w:val="en-US" w:eastAsia="zh-CN"/>
        </w:rPr>
        <w:t>整</w:t>
      </w:r>
      <w:r>
        <w:rPr>
          <w:rFonts w:hint="eastAsia" w:ascii="宋体" w:hAnsi="宋体"/>
          <w:color w:val="000000"/>
          <w:spacing w:val="20"/>
          <w:kern w:val="10"/>
          <w:sz w:val="23"/>
          <w:szCs w:val="23"/>
        </w:rPr>
        <w:t>（以深圳土地矿业权交易平台网站显示的银行到账时间为准）。</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（五）申请确认竞买资格</w:t>
      </w: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竞买申请人按时足额交纳竞买（投标）保证金后，可登录</w:t>
      </w:r>
      <w:r>
        <w:rPr>
          <w:rFonts w:hint="eastAsia" w:ascii="宋体" w:hAnsi="宋体"/>
          <w:color w:val="000000"/>
          <w:spacing w:val="20"/>
          <w:kern w:val="10"/>
          <w:sz w:val="23"/>
          <w:szCs w:val="23"/>
          <w:lang w:val="en-IE"/>
        </w:rPr>
        <w:t>深圳土地矿业权交易平台</w:t>
      </w:r>
      <w:r>
        <w:rPr>
          <w:rFonts w:hint="eastAsia" w:ascii="宋体" w:hAnsi="宋体"/>
          <w:color w:val="000000"/>
          <w:spacing w:val="20"/>
          <w:kern w:val="10"/>
          <w:sz w:val="23"/>
          <w:szCs w:val="23"/>
          <w:lang w:val="en-US" w:eastAsia="zh-CN"/>
        </w:rPr>
        <w:t>网站</w:t>
      </w:r>
      <w:r>
        <w:rPr>
          <w:rFonts w:hint="eastAsia" w:ascii="宋体" w:hAnsi="宋体"/>
          <w:color w:val="000000"/>
          <w:spacing w:val="20"/>
          <w:kern w:val="10"/>
          <w:sz w:val="23"/>
          <w:szCs w:val="23"/>
        </w:rPr>
        <w:t>查看《竞买申请受理回执》并打印该回执，在</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12</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30</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14</w:t>
      </w:r>
      <w:r>
        <w:rPr>
          <w:rFonts w:hint="eastAsia" w:ascii="宋体" w:hAnsi="宋体"/>
          <w:color w:val="000000"/>
          <w:spacing w:val="20"/>
          <w:kern w:val="10"/>
          <w:sz w:val="23"/>
          <w:szCs w:val="23"/>
        </w:rPr>
        <w:t>时</w:t>
      </w:r>
      <w:r>
        <w:rPr>
          <w:rFonts w:hint="eastAsia" w:ascii="宋体" w:hAnsi="宋体"/>
          <w:color w:val="000000"/>
          <w:spacing w:val="20"/>
          <w:kern w:val="10"/>
          <w:sz w:val="23"/>
          <w:szCs w:val="23"/>
          <w:lang w:val="en-US" w:eastAsia="zh-CN"/>
        </w:rPr>
        <w:t>30</w:t>
      </w:r>
      <w:r>
        <w:rPr>
          <w:rFonts w:hint="eastAsia" w:ascii="宋体" w:hAnsi="宋体"/>
          <w:color w:val="000000"/>
          <w:spacing w:val="20"/>
          <w:kern w:val="10"/>
          <w:sz w:val="23"/>
          <w:szCs w:val="23"/>
        </w:rPr>
        <w:t>分前（工作日），到交易大厦3楼</w:t>
      </w:r>
      <w:r>
        <w:rPr>
          <w:rFonts w:hint="eastAsia" w:ascii="宋体" w:hAnsi="宋体"/>
          <w:spacing w:val="20"/>
          <w:kern w:val="10"/>
          <w:sz w:val="23"/>
          <w:szCs w:val="23"/>
        </w:rPr>
        <w:t>土地业务</w:t>
      </w:r>
      <w:r>
        <w:rPr>
          <w:rFonts w:hint="eastAsia" w:ascii="宋体" w:hAnsi="宋体"/>
          <w:color w:val="000000"/>
          <w:spacing w:val="20"/>
          <w:kern w:val="10"/>
          <w:sz w:val="23"/>
          <w:szCs w:val="23"/>
        </w:rPr>
        <w:t>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五、确定竞得人的办法</w:t>
      </w: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深圳土地矿业权交易平台在挂牌期内（工作日）接受竞买人的电脑报价，电脑报价截止时间为2022年</w:t>
      </w:r>
      <w:r>
        <w:rPr>
          <w:rFonts w:hint="eastAsia" w:ascii="宋体" w:hAnsi="宋体"/>
          <w:color w:val="000000"/>
          <w:spacing w:val="20"/>
          <w:kern w:val="10"/>
          <w:sz w:val="23"/>
          <w:szCs w:val="23"/>
          <w:lang w:val="en-US" w:eastAsia="zh-CN"/>
        </w:rPr>
        <w:t>12</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30</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15</w:t>
      </w:r>
      <w:r>
        <w:rPr>
          <w:rFonts w:hint="eastAsia" w:ascii="宋体" w:hAnsi="宋体"/>
          <w:color w:val="000000"/>
          <w:spacing w:val="20"/>
          <w:kern w:val="10"/>
          <w:sz w:val="23"/>
          <w:szCs w:val="23"/>
        </w:rPr>
        <w:t>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六、其他</w:t>
      </w: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本公告内容如有调整，将在深圳公共资源交易公共服务平台网站发布补充公告。本公告有关详细资料请参阅挂牌出让文件（包括但不限于本公告、《竞买须知》《成交确认书》《出让合同》、产业发展监管协议、《</w:t>
      </w:r>
      <w:r>
        <w:rPr>
          <w:rFonts w:hint="eastAsia" w:ascii="宋体" w:hAnsi="宋体"/>
          <w:spacing w:val="20"/>
          <w:kern w:val="10"/>
          <w:sz w:val="23"/>
          <w:szCs w:val="23"/>
          <w:lang w:eastAsia="zh-CN"/>
        </w:rPr>
        <w:t>国有土地使用权出让收入缴款及竞买保证金退转操作指引</w:t>
      </w:r>
      <w:r>
        <w:rPr>
          <w:rFonts w:hint="eastAsia" w:ascii="宋体" w:hAnsi="宋体"/>
          <w:color w:val="000000"/>
          <w:spacing w:val="20"/>
          <w:kern w:val="10"/>
          <w:sz w:val="23"/>
          <w:szCs w:val="23"/>
        </w:rPr>
        <w:t>》等）。本公告同时在</w:t>
      </w:r>
      <w:r>
        <w:rPr>
          <w:rFonts w:hint="eastAsia" w:ascii="宋体" w:hAnsi="宋体"/>
          <w:color w:val="000000"/>
          <w:spacing w:val="20"/>
          <w:kern w:val="10"/>
          <w:sz w:val="23"/>
          <w:szCs w:val="23"/>
          <w:lang w:val="en-US" w:eastAsia="zh-CN"/>
        </w:rPr>
        <w:t>深圳</w:t>
      </w:r>
      <w:r>
        <w:rPr>
          <w:rFonts w:hint="eastAsia" w:ascii="宋体" w:hAnsi="宋体"/>
          <w:color w:val="000000"/>
          <w:spacing w:val="20"/>
          <w:kern w:val="10"/>
          <w:sz w:val="23"/>
          <w:szCs w:val="23"/>
        </w:rPr>
        <w:t>市规划和自然资源局、深圳公共资源交易公共服务平台网站发布，挂牌出让文件可在深圳公共资源交易公共服务平台网站下载。需咨询本次出让程序相关问题的，可以书面方式向深圳交易集团有限公司土地矿业权业务分公司提出；其他相关问题，请迳向相关职能部门提出。</w:t>
      </w:r>
    </w:p>
    <w:p>
      <w:pPr>
        <w:spacing w:line="440" w:lineRule="exact"/>
        <w:ind w:firstLine="540" w:firstLineChars="200"/>
        <w:rPr>
          <w:rFonts w:ascii="宋体" w:hAnsi="宋体"/>
          <w:color w:val="000000"/>
          <w:spacing w:val="20"/>
          <w:kern w:val="10"/>
          <w:sz w:val="23"/>
          <w:szCs w:val="23"/>
        </w:rPr>
      </w:pPr>
    </w:p>
    <w:p>
      <w:pPr>
        <w:spacing w:line="440" w:lineRule="exact"/>
        <w:ind w:firstLine="540" w:firstLineChars="200"/>
        <w:rPr>
          <w:rFonts w:hint="eastAsia" w:ascii="宋体" w:hAnsi="宋体" w:eastAsia="宋体"/>
          <w:color w:val="000000"/>
          <w:spacing w:val="20"/>
          <w:w w:val="100"/>
          <w:kern w:val="10"/>
          <w:sz w:val="23"/>
          <w:szCs w:val="23"/>
        </w:rPr>
      </w:pPr>
      <w:r>
        <w:rPr>
          <w:rFonts w:hint="eastAsia" w:ascii="宋体" w:hAnsi="宋体" w:eastAsia="宋体"/>
          <w:color w:val="000000"/>
          <w:spacing w:val="20"/>
          <w:w w:val="100"/>
          <w:kern w:val="10"/>
          <w:sz w:val="23"/>
          <w:szCs w:val="23"/>
        </w:rPr>
        <w:t>深圳市规划和自然资源局光明管理局</w:t>
      </w:r>
      <w:r>
        <w:rPr>
          <w:rFonts w:hint="eastAsia" w:ascii="宋体" w:hAnsi="宋体"/>
          <w:color w:val="000000"/>
          <w:spacing w:val="20"/>
          <w:w w:val="100"/>
          <w:kern w:val="10"/>
          <w:sz w:val="23"/>
          <w:szCs w:val="23"/>
          <w:lang w:val="en-US" w:eastAsia="zh-CN"/>
        </w:rPr>
        <w:t xml:space="preserve"> </w:t>
      </w:r>
      <w:bookmarkStart w:id="0" w:name="_GoBack"/>
      <w:bookmarkEnd w:id="0"/>
      <w:r>
        <w:rPr>
          <w:rFonts w:hint="eastAsia" w:ascii="宋体" w:hAnsi="宋体" w:eastAsia="宋体"/>
          <w:color w:val="000000"/>
          <w:spacing w:val="20"/>
          <w:w w:val="100"/>
          <w:kern w:val="10"/>
          <w:sz w:val="23"/>
          <w:szCs w:val="23"/>
        </w:rPr>
        <w:t>地址：深圳市光明区华夏二路土地储备大厦3楼；咨询电话：（0755）23466597。</w:t>
      </w:r>
    </w:p>
    <w:p>
      <w:pPr>
        <w:spacing w:line="440" w:lineRule="exact"/>
        <w:ind w:firstLine="540" w:firstLineChars="200"/>
        <w:rPr>
          <w:rFonts w:hint="eastAsia" w:ascii="宋体" w:hAnsi="宋体" w:eastAsia="宋体"/>
          <w:color w:val="000000"/>
          <w:spacing w:val="20"/>
          <w:w w:val="100"/>
          <w:kern w:val="10"/>
          <w:sz w:val="23"/>
          <w:szCs w:val="23"/>
        </w:rPr>
      </w:pPr>
      <w:r>
        <w:rPr>
          <w:rFonts w:hint="eastAsia" w:ascii="宋体" w:hAnsi="宋体" w:eastAsia="宋体"/>
          <w:color w:val="000000"/>
          <w:spacing w:val="20"/>
          <w:w w:val="100"/>
          <w:kern w:val="10"/>
          <w:sz w:val="23"/>
          <w:szCs w:val="23"/>
          <w:lang w:val="en-US" w:eastAsia="zh-CN"/>
        </w:rPr>
        <w:t>深圳市</w:t>
      </w:r>
      <w:r>
        <w:rPr>
          <w:rFonts w:hint="eastAsia" w:ascii="宋体" w:hAnsi="宋体" w:eastAsia="宋体"/>
          <w:color w:val="000000"/>
          <w:spacing w:val="20"/>
          <w:w w:val="100"/>
          <w:kern w:val="10"/>
          <w:sz w:val="23"/>
          <w:szCs w:val="23"/>
        </w:rPr>
        <w:t>光明区投资促进服务中心</w:t>
      </w:r>
      <w:r>
        <w:rPr>
          <w:rFonts w:hint="eastAsia" w:ascii="宋体" w:hAnsi="宋体"/>
          <w:color w:val="000000"/>
          <w:spacing w:val="20"/>
          <w:w w:val="100"/>
          <w:kern w:val="10"/>
          <w:sz w:val="23"/>
          <w:szCs w:val="23"/>
          <w:lang w:val="en-US" w:eastAsia="zh-CN"/>
        </w:rPr>
        <w:t xml:space="preserve"> </w:t>
      </w:r>
      <w:r>
        <w:rPr>
          <w:rFonts w:hint="eastAsia" w:ascii="宋体" w:hAnsi="宋体" w:eastAsia="宋体"/>
          <w:color w:val="000000"/>
          <w:spacing w:val="20"/>
          <w:w w:val="100"/>
          <w:kern w:val="10"/>
          <w:sz w:val="23"/>
          <w:szCs w:val="23"/>
        </w:rPr>
        <w:t>地址：光明区公共服务平台5楼；咨询电话：（0755）88217302。</w:t>
      </w:r>
    </w:p>
    <w:p>
      <w:pPr>
        <w:spacing w:line="440" w:lineRule="exact"/>
        <w:ind w:firstLine="540" w:firstLineChars="200"/>
        <w:rPr>
          <w:rFonts w:ascii="宋体" w:hAnsi="宋体"/>
          <w:color w:val="000000"/>
        </w:rPr>
      </w:pPr>
      <w:r>
        <w:rPr>
          <w:rFonts w:hint="eastAsia" w:ascii="宋体" w:hAnsi="宋体"/>
          <w:color w:val="000000"/>
          <w:spacing w:val="20"/>
          <w:kern w:val="10"/>
          <w:sz w:val="23"/>
          <w:szCs w:val="23"/>
        </w:rPr>
        <w:t>深圳交易集团有限公司土地矿业权业务分公司 地址：深圳市福田区红荔西路8007号土地房产交易大厦3楼；咨询电话：（0755）82713074、（0755）82713274；网址：</w:t>
      </w:r>
      <w:r>
        <w:rPr>
          <w:rFonts w:hint="eastAsia" w:ascii="宋体" w:hAnsi="宋体"/>
          <w:color w:val="000000"/>
          <w:spacing w:val="20"/>
          <w:kern w:val="10"/>
          <w:sz w:val="23"/>
          <w:szCs w:val="23"/>
          <w:lang w:val="en-US" w:eastAsia="zh-CN"/>
        </w:rPr>
        <w:fldChar w:fldCharType="begin"/>
      </w:r>
      <w:r>
        <w:rPr>
          <w:rFonts w:hint="eastAsia" w:ascii="宋体" w:hAnsi="宋体"/>
          <w:color w:val="000000"/>
          <w:spacing w:val="20"/>
          <w:kern w:val="10"/>
          <w:sz w:val="23"/>
          <w:szCs w:val="23"/>
          <w:lang w:val="en-US" w:eastAsia="zh-CN"/>
        </w:rPr>
        <w:instrText xml:space="preserve"> HYPERLINK "https://new.szggzy.com/jygg/list.html?id=tdky" \t "https://td.szggzy.com/_blank" </w:instrText>
      </w:r>
      <w:r>
        <w:rPr>
          <w:rFonts w:hint="eastAsia" w:ascii="宋体" w:hAnsi="宋体"/>
          <w:color w:val="000000"/>
          <w:spacing w:val="20"/>
          <w:kern w:val="10"/>
          <w:sz w:val="23"/>
          <w:szCs w:val="23"/>
          <w:lang w:val="en-US" w:eastAsia="zh-CN"/>
        </w:rPr>
        <w:fldChar w:fldCharType="separate"/>
      </w:r>
      <w:r>
        <w:rPr>
          <w:rFonts w:hint="eastAsia" w:ascii="宋体" w:hAnsi="宋体"/>
          <w:color w:val="000000"/>
          <w:spacing w:val="20"/>
          <w:kern w:val="10"/>
          <w:sz w:val="23"/>
          <w:szCs w:val="23"/>
          <w:lang w:val="en-US" w:eastAsia="zh-CN"/>
        </w:rPr>
        <w:t>https://new.szggzy.com/jygg/list.html?id=tdky</w:t>
      </w:r>
      <w:r>
        <w:rPr>
          <w:rFonts w:hint="eastAsia" w:ascii="宋体" w:hAnsi="宋体"/>
          <w:color w:val="000000"/>
          <w:spacing w:val="20"/>
          <w:kern w:val="10"/>
          <w:sz w:val="23"/>
          <w:szCs w:val="23"/>
          <w:lang w:val="en-US" w:eastAsia="zh-CN"/>
        </w:rPr>
        <w:fldChar w:fldCharType="end"/>
      </w:r>
      <w:r>
        <w:rPr>
          <w:rFonts w:hint="eastAsia" w:ascii="宋体" w:hAnsi="宋体"/>
          <w:color w:val="000000"/>
          <w:spacing w:val="20"/>
          <w:kern w:val="10"/>
          <w:sz w:val="23"/>
          <w:szCs w:val="23"/>
        </w:rPr>
        <w:t>。</w:t>
      </w:r>
    </w:p>
    <w:p>
      <w:pPr>
        <w:spacing w:line="440" w:lineRule="exact"/>
        <w:ind w:firstLine="586" w:firstLineChars="200"/>
        <w:rPr>
          <w:rFonts w:ascii="汉仪书宋二简" w:eastAsia="汉仪书宋二简"/>
          <w:color w:val="000000"/>
          <w:spacing w:val="20"/>
          <w:w w:val="110"/>
          <w:sz w:val="23"/>
          <w:szCs w:val="23"/>
        </w:rPr>
      </w:pPr>
    </w:p>
    <w:p>
      <w:pPr>
        <w:pStyle w:val="3"/>
        <w:spacing w:line="440" w:lineRule="exact"/>
        <w:ind w:firstLine="540" w:firstLineChars="200"/>
        <w:jc w:val="right"/>
        <w:rPr>
          <w:rFonts w:ascii="宋体" w:hAnsi="宋体" w:eastAsia="宋体"/>
          <w:color w:val="000000"/>
          <w:w w:val="100"/>
        </w:rPr>
      </w:pPr>
    </w:p>
    <w:p>
      <w:pPr>
        <w:jc w:val="right"/>
        <w:rPr>
          <w:rFonts w:hint="eastAsia" w:ascii="宋体" w:hAnsi="宋体"/>
          <w:b/>
          <w:bCs/>
        </w:rPr>
      </w:pPr>
      <w:r>
        <w:rPr>
          <w:rFonts w:hint="eastAsia" w:ascii="宋体" w:hAnsi="宋体"/>
          <w:b/>
          <w:bCs/>
          <w:spacing w:val="20"/>
          <w:kern w:val="10"/>
          <w:sz w:val="23"/>
          <w:szCs w:val="23"/>
        </w:rPr>
        <w:t>出让人：</w:t>
      </w:r>
      <w:r>
        <w:rPr>
          <w:rFonts w:ascii="宋体" w:hAnsi="宋体"/>
          <w:b/>
          <w:bCs/>
          <w:spacing w:val="20"/>
          <w:kern w:val="10"/>
          <w:sz w:val="23"/>
          <w:szCs w:val="23"/>
        </w:rPr>
        <w:t>深圳市规划和自然资源局</w:t>
      </w:r>
      <w:r>
        <w:rPr>
          <w:rFonts w:hint="eastAsia" w:ascii="宋体" w:hAnsi="宋体"/>
          <w:b/>
          <w:bCs/>
          <w:spacing w:val="20"/>
          <w:kern w:val="10"/>
          <w:sz w:val="23"/>
          <w:szCs w:val="23"/>
          <w:lang w:val="en-US" w:eastAsia="zh-CN"/>
        </w:rPr>
        <w:t>光明</w:t>
      </w:r>
      <w:r>
        <w:rPr>
          <w:rFonts w:ascii="宋体" w:hAnsi="宋体"/>
          <w:b/>
          <w:bCs/>
          <w:spacing w:val="20"/>
          <w:kern w:val="10"/>
          <w:sz w:val="23"/>
          <w:szCs w:val="23"/>
        </w:rPr>
        <w:t>管理局</w:t>
      </w:r>
    </w:p>
    <w:p>
      <w:pPr>
        <w:spacing w:line="440" w:lineRule="exact"/>
        <w:ind w:firstLine="542" w:firstLineChars="200"/>
        <w:jc w:val="right"/>
        <w:rPr>
          <w:rFonts w:ascii="宋体" w:hAnsi="宋体"/>
          <w:b/>
          <w:bCs/>
          <w:color w:val="000000"/>
          <w:spacing w:val="20"/>
          <w:kern w:val="10"/>
          <w:sz w:val="23"/>
          <w:szCs w:val="23"/>
        </w:rPr>
      </w:pPr>
      <w:r>
        <w:rPr>
          <w:rFonts w:hint="eastAsia" w:ascii="宋体" w:hAnsi="宋体"/>
          <w:b/>
          <w:bCs/>
          <w:color w:val="000000"/>
          <w:spacing w:val="20"/>
          <w:kern w:val="10"/>
          <w:sz w:val="23"/>
          <w:szCs w:val="23"/>
        </w:rPr>
        <w:t>交易机构：深圳交易集团有限公司</w:t>
      </w:r>
    </w:p>
    <w:p>
      <w:pPr>
        <w:spacing w:line="440" w:lineRule="exact"/>
        <w:ind w:firstLine="542" w:firstLineChars="200"/>
        <w:jc w:val="right"/>
        <w:rPr>
          <w:rFonts w:hint="eastAsia" w:ascii="宋体" w:hAnsi="宋体"/>
          <w:b/>
          <w:bCs/>
          <w:color w:val="000000"/>
          <w:spacing w:val="20"/>
          <w:kern w:val="10"/>
          <w:sz w:val="23"/>
          <w:szCs w:val="23"/>
        </w:rPr>
      </w:pPr>
      <w:r>
        <w:rPr>
          <w:rFonts w:hint="eastAsia" w:ascii="宋体" w:hAnsi="宋体"/>
          <w:b/>
          <w:bCs/>
          <w:color w:val="000000"/>
          <w:spacing w:val="20"/>
          <w:kern w:val="10"/>
          <w:sz w:val="23"/>
          <w:szCs w:val="23"/>
        </w:rPr>
        <w:t>（深圳公共资源交易中心）</w:t>
      </w:r>
    </w:p>
    <w:p>
      <w:pPr>
        <w:spacing w:line="440" w:lineRule="exact"/>
        <w:ind w:firstLine="4334" w:firstLineChars="1600"/>
        <w:jc w:val="right"/>
        <w:rPr>
          <w:rFonts w:ascii="宋体" w:hAnsi="宋体"/>
          <w:b/>
          <w:color w:val="000000"/>
          <w:spacing w:val="20"/>
          <w:kern w:val="10"/>
          <w:sz w:val="23"/>
          <w:szCs w:val="23"/>
        </w:rPr>
      </w:pPr>
      <w:r>
        <w:rPr>
          <w:rFonts w:hint="eastAsia" w:ascii="宋体" w:hAnsi="宋体"/>
          <w:b/>
          <w:spacing w:val="20"/>
          <w:kern w:val="10"/>
          <w:sz w:val="23"/>
          <w:szCs w:val="23"/>
        </w:rPr>
        <w:t>202</w:t>
      </w:r>
      <w:r>
        <w:rPr>
          <w:rFonts w:hint="eastAsia" w:ascii="宋体" w:hAnsi="宋体"/>
          <w:b/>
          <w:spacing w:val="20"/>
          <w:kern w:val="10"/>
          <w:sz w:val="23"/>
          <w:szCs w:val="23"/>
          <w:lang w:val="en-US" w:eastAsia="zh-CN"/>
        </w:rPr>
        <w:t>2</w:t>
      </w:r>
      <w:r>
        <w:rPr>
          <w:rFonts w:hint="eastAsia" w:ascii="宋体" w:hAnsi="宋体"/>
          <w:b/>
          <w:spacing w:val="20"/>
          <w:kern w:val="10"/>
          <w:sz w:val="23"/>
          <w:szCs w:val="23"/>
        </w:rPr>
        <w:t>年</w:t>
      </w:r>
      <w:r>
        <w:rPr>
          <w:rFonts w:hint="eastAsia" w:ascii="宋体" w:hAnsi="宋体"/>
          <w:b/>
          <w:spacing w:val="20"/>
          <w:kern w:val="10"/>
          <w:sz w:val="23"/>
          <w:szCs w:val="23"/>
          <w:lang w:val="en-US" w:eastAsia="zh-CN"/>
        </w:rPr>
        <w:t>12</w:t>
      </w:r>
      <w:r>
        <w:rPr>
          <w:rFonts w:hint="eastAsia" w:ascii="宋体" w:hAnsi="宋体"/>
          <w:b/>
          <w:spacing w:val="20"/>
          <w:kern w:val="10"/>
          <w:sz w:val="23"/>
          <w:szCs w:val="23"/>
        </w:rPr>
        <w:t>月</w:t>
      </w:r>
      <w:r>
        <w:rPr>
          <w:rFonts w:hint="eastAsia" w:ascii="宋体" w:hAnsi="宋体"/>
          <w:b/>
          <w:spacing w:val="20"/>
          <w:kern w:val="10"/>
          <w:sz w:val="23"/>
          <w:szCs w:val="23"/>
          <w:lang w:val="en-US" w:eastAsia="zh-CN"/>
        </w:rPr>
        <w:t>1</w:t>
      </w:r>
      <w:r>
        <w:rPr>
          <w:rFonts w:hint="eastAsia" w:ascii="宋体" w:hAnsi="宋体"/>
          <w:b/>
          <w:spacing w:val="20"/>
          <w:kern w:val="10"/>
          <w:sz w:val="23"/>
          <w:szCs w:val="23"/>
        </w:rPr>
        <w:t>日</w:t>
      </w:r>
    </w:p>
    <w:p>
      <w:pPr>
        <w:spacing w:line="440" w:lineRule="exact"/>
        <w:ind w:firstLine="4334" w:firstLineChars="1600"/>
        <w:jc w:val="right"/>
        <w:rPr>
          <w:rFonts w:ascii="宋体" w:hAnsi="宋体"/>
          <w:b/>
          <w:color w:val="000000"/>
          <w:spacing w:val="20"/>
          <w:kern w:val="10"/>
          <w:sz w:val="23"/>
          <w:szCs w:val="23"/>
        </w:rPr>
      </w:pPr>
    </w:p>
    <w:p>
      <w:pPr>
        <w:spacing w:line="440" w:lineRule="exact"/>
        <w:ind w:left="4479" w:leftChars="2133" w:right="884" w:firstLine="1084" w:firstLineChars="400"/>
        <w:rPr>
          <w:rFonts w:ascii="宋体" w:hAnsi="宋体"/>
          <w:b/>
          <w:color w:val="000000"/>
          <w:spacing w:val="20"/>
          <w:kern w:val="10"/>
          <w:sz w:val="23"/>
          <w:szCs w:val="23"/>
        </w:rPr>
      </w:pP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lNjE4ZWFkM2RmMjM0NjM0ZjYxZDBhNGU2YzA2MjgifQ=="/>
  </w:docVars>
  <w:rsids>
    <w:rsidRoot w:val="001B0760"/>
    <w:rsid w:val="00004712"/>
    <w:rsid w:val="000070F8"/>
    <w:rsid w:val="000079DB"/>
    <w:rsid w:val="000109B3"/>
    <w:rsid w:val="00015170"/>
    <w:rsid w:val="000168E4"/>
    <w:rsid w:val="00016B0E"/>
    <w:rsid w:val="00021869"/>
    <w:rsid w:val="0002385B"/>
    <w:rsid w:val="00026DB8"/>
    <w:rsid w:val="000309CD"/>
    <w:rsid w:val="00030E1A"/>
    <w:rsid w:val="00032D8D"/>
    <w:rsid w:val="0003417F"/>
    <w:rsid w:val="000346D1"/>
    <w:rsid w:val="000362CA"/>
    <w:rsid w:val="0003653D"/>
    <w:rsid w:val="000365C0"/>
    <w:rsid w:val="00037E74"/>
    <w:rsid w:val="00040ABC"/>
    <w:rsid w:val="00041787"/>
    <w:rsid w:val="00043178"/>
    <w:rsid w:val="00043481"/>
    <w:rsid w:val="00046177"/>
    <w:rsid w:val="000465A4"/>
    <w:rsid w:val="00047A1A"/>
    <w:rsid w:val="00052704"/>
    <w:rsid w:val="00052E74"/>
    <w:rsid w:val="00052F7A"/>
    <w:rsid w:val="000536F0"/>
    <w:rsid w:val="0005782C"/>
    <w:rsid w:val="00063715"/>
    <w:rsid w:val="000651FD"/>
    <w:rsid w:val="00067354"/>
    <w:rsid w:val="00071359"/>
    <w:rsid w:val="00071414"/>
    <w:rsid w:val="000724C8"/>
    <w:rsid w:val="00074680"/>
    <w:rsid w:val="0007471C"/>
    <w:rsid w:val="00075529"/>
    <w:rsid w:val="00075AD3"/>
    <w:rsid w:val="00083160"/>
    <w:rsid w:val="000834A3"/>
    <w:rsid w:val="00086216"/>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3C06"/>
    <w:rsid w:val="000C69C0"/>
    <w:rsid w:val="000C7B37"/>
    <w:rsid w:val="000D5645"/>
    <w:rsid w:val="000D6303"/>
    <w:rsid w:val="000D654F"/>
    <w:rsid w:val="000D69FD"/>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6BB3"/>
    <w:rsid w:val="001209B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5006E"/>
    <w:rsid w:val="0015176D"/>
    <w:rsid w:val="001532F7"/>
    <w:rsid w:val="00153C03"/>
    <w:rsid w:val="001551B0"/>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7C1"/>
    <w:rsid w:val="0019304A"/>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1A5"/>
    <w:rsid w:val="001E39B3"/>
    <w:rsid w:val="001E5C4D"/>
    <w:rsid w:val="001E647F"/>
    <w:rsid w:val="001E6A03"/>
    <w:rsid w:val="001E6DE7"/>
    <w:rsid w:val="001F0212"/>
    <w:rsid w:val="001F685A"/>
    <w:rsid w:val="001F7F90"/>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436"/>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575F"/>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C59E4"/>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5202"/>
    <w:rsid w:val="00316584"/>
    <w:rsid w:val="00320BC2"/>
    <w:rsid w:val="00323BC3"/>
    <w:rsid w:val="00324163"/>
    <w:rsid w:val="00324CC4"/>
    <w:rsid w:val="00333020"/>
    <w:rsid w:val="003330E0"/>
    <w:rsid w:val="0033506E"/>
    <w:rsid w:val="00340785"/>
    <w:rsid w:val="003439A6"/>
    <w:rsid w:val="00350703"/>
    <w:rsid w:val="00350ED8"/>
    <w:rsid w:val="00354F5D"/>
    <w:rsid w:val="00362D1A"/>
    <w:rsid w:val="00364E77"/>
    <w:rsid w:val="00365F49"/>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403F"/>
    <w:rsid w:val="003C5234"/>
    <w:rsid w:val="003C5DC7"/>
    <w:rsid w:val="003C6A9C"/>
    <w:rsid w:val="003C6BC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7766"/>
    <w:rsid w:val="00410F97"/>
    <w:rsid w:val="004143D3"/>
    <w:rsid w:val="0041559A"/>
    <w:rsid w:val="00417809"/>
    <w:rsid w:val="004200CB"/>
    <w:rsid w:val="00422586"/>
    <w:rsid w:val="00426535"/>
    <w:rsid w:val="00426A17"/>
    <w:rsid w:val="00427F87"/>
    <w:rsid w:val="004331D5"/>
    <w:rsid w:val="004345CB"/>
    <w:rsid w:val="004353BB"/>
    <w:rsid w:val="00436F8E"/>
    <w:rsid w:val="00440109"/>
    <w:rsid w:val="004403EF"/>
    <w:rsid w:val="00440DE5"/>
    <w:rsid w:val="0044188C"/>
    <w:rsid w:val="004432A9"/>
    <w:rsid w:val="00444318"/>
    <w:rsid w:val="00445D8C"/>
    <w:rsid w:val="00450700"/>
    <w:rsid w:val="00450770"/>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832"/>
    <w:rsid w:val="004E1A55"/>
    <w:rsid w:val="004E3C0A"/>
    <w:rsid w:val="004F157D"/>
    <w:rsid w:val="004F2055"/>
    <w:rsid w:val="004F2437"/>
    <w:rsid w:val="004F2721"/>
    <w:rsid w:val="004F33AE"/>
    <w:rsid w:val="004F46FE"/>
    <w:rsid w:val="004F5496"/>
    <w:rsid w:val="004F74F9"/>
    <w:rsid w:val="005057C5"/>
    <w:rsid w:val="00505E11"/>
    <w:rsid w:val="0051098E"/>
    <w:rsid w:val="00510F18"/>
    <w:rsid w:val="00511197"/>
    <w:rsid w:val="0051267D"/>
    <w:rsid w:val="00512901"/>
    <w:rsid w:val="00514DF3"/>
    <w:rsid w:val="00515420"/>
    <w:rsid w:val="005156E8"/>
    <w:rsid w:val="00516F49"/>
    <w:rsid w:val="0052043A"/>
    <w:rsid w:val="005216B0"/>
    <w:rsid w:val="00521C0C"/>
    <w:rsid w:val="00521E87"/>
    <w:rsid w:val="0052214B"/>
    <w:rsid w:val="0052299E"/>
    <w:rsid w:val="00522F9E"/>
    <w:rsid w:val="005316E3"/>
    <w:rsid w:val="00533262"/>
    <w:rsid w:val="00535695"/>
    <w:rsid w:val="00536BFE"/>
    <w:rsid w:val="00537D5E"/>
    <w:rsid w:val="00542AE2"/>
    <w:rsid w:val="005441FF"/>
    <w:rsid w:val="00544F6C"/>
    <w:rsid w:val="005506E0"/>
    <w:rsid w:val="005522A8"/>
    <w:rsid w:val="00552A85"/>
    <w:rsid w:val="00552C18"/>
    <w:rsid w:val="00553B9B"/>
    <w:rsid w:val="00553F4F"/>
    <w:rsid w:val="00555422"/>
    <w:rsid w:val="00560DBA"/>
    <w:rsid w:val="00561CEC"/>
    <w:rsid w:val="00562EE8"/>
    <w:rsid w:val="005647D4"/>
    <w:rsid w:val="005649DD"/>
    <w:rsid w:val="0056550B"/>
    <w:rsid w:val="00567C3A"/>
    <w:rsid w:val="0057122E"/>
    <w:rsid w:val="0057206D"/>
    <w:rsid w:val="00572B25"/>
    <w:rsid w:val="00574785"/>
    <w:rsid w:val="00575B60"/>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5156"/>
    <w:rsid w:val="005F5E9D"/>
    <w:rsid w:val="0060077E"/>
    <w:rsid w:val="00602221"/>
    <w:rsid w:val="006046FA"/>
    <w:rsid w:val="00604A6D"/>
    <w:rsid w:val="00605677"/>
    <w:rsid w:val="00606A97"/>
    <w:rsid w:val="006101DD"/>
    <w:rsid w:val="0061088C"/>
    <w:rsid w:val="006141A9"/>
    <w:rsid w:val="0061475B"/>
    <w:rsid w:val="0061494D"/>
    <w:rsid w:val="00615157"/>
    <w:rsid w:val="006201FE"/>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D71"/>
    <w:rsid w:val="00661626"/>
    <w:rsid w:val="006618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6941"/>
    <w:rsid w:val="006A23FC"/>
    <w:rsid w:val="006A30C7"/>
    <w:rsid w:val="006A6CEC"/>
    <w:rsid w:val="006B1AA9"/>
    <w:rsid w:val="006B69CD"/>
    <w:rsid w:val="006B7256"/>
    <w:rsid w:val="006C01EA"/>
    <w:rsid w:val="006C1289"/>
    <w:rsid w:val="006C2C53"/>
    <w:rsid w:val="006C31DB"/>
    <w:rsid w:val="006C538A"/>
    <w:rsid w:val="006D121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3533"/>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B22"/>
    <w:rsid w:val="0078778D"/>
    <w:rsid w:val="00791CF1"/>
    <w:rsid w:val="00792716"/>
    <w:rsid w:val="00794A28"/>
    <w:rsid w:val="00794C06"/>
    <w:rsid w:val="00796D9F"/>
    <w:rsid w:val="007A0FCE"/>
    <w:rsid w:val="007A1C77"/>
    <w:rsid w:val="007A2029"/>
    <w:rsid w:val="007A29CC"/>
    <w:rsid w:val="007A4450"/>
    <w:rsid w:val="007A488D"/>
    <w:rsid w:val="007A4D48"/>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D1A7E"/>
    <w:rsid w:val="007D1D0E"/>
    <w:rsid w:val="007D2AD8"/>
    <w:rsid w:val="007D3545"/>
    <w:rsid w:val="007D6A65"/>
    <w:rsid w:val="007E0420"/>
    <w:rsid w:val="007E3CBC"/>
    <w:rsid w:val="007E7ABF"/>
    <w:rsid w:val="007F0671"/>
    <w:rsid w:val="007F13A8"/>
    <w:rsid w:val="007F209F"/>
    <w:rsid w:val="007F33B4"/>
    <w:rsid w:val="007F4825"/>
    <w:rsid w:val="007F507A"/>
    <w:rsid w:val="007F5AE0"/>
    <w:rsid w:val="00801541"/>
    <w:rsid w:val="00803F1F"/>
    <w:rsid w:val="00810CFA"/>
    <w:rsid w:val="00811379"/>
    <w:rsid w:val="00811400"/>
    <w:rsid w:val="00816034"/>
    <w:rsid w:val="00816E8C"/>
    <w:rsid w:val="00821FEF"/>
    <w:rsid w:val="00824A54"/>
    <w:rsid w:val="00826828"/>
    <w:rsid w:val="00826FEF"/>
    <w:rsid w:val="00830694"/>
    <w:rsid w:val="00830897"/>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0665"/>
    <w:rsid w:val="008A3473"/>
    <w:rsid w:val="008A6EB9"/>
    <w:rsid w:val="008A71F6"/>
    <w:rsid w:val="008B0A5A"/>
    <w:rsid w:val="008B0F0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83F"/>
    <w:rsid w:val="008D1EEB"/>
    <w:rsid w:val="008D26F6"/>
    <w:rsid w:val="008D2A3C"/>
    <w:rsid w:val="008D476C"/>
    <w:rsid w:val="008D5F65"/>
    <w:rsid w:val="008D79C2"/>
    <w:rsid w:val="008E1670"/>
    <w:rsid w:val="008E3869"/>
    <w:rsid w:val="008E3892"/>
    <w:rsid w:val="008E3CEF"/>
    <w:rsid w:val="008E5EF4"/>
    <w:rsid w:val="008F1CC5"/>
    <w:rsid w:val="008F67FC"/>
    <w:rsid w:val="009004CA"/>
    <w:rsid w:val="00903C69"/>
    <w:rsid w:val="009042C7"/>
    <w:rsid w:val="00913453"/>
    <w:rsid w:val="00914D70"/>
    <w:rsid w:val="009158E0"/>
    <w:rsid w:val="00916645"/>
    <w:rsid w:val="00916798"/>
    <w:rsid w:val="0092463B"/>
    <w:rsid w:val="009261BE"/>
    <w:rsid w:val="00930161"/>
    <w:rsid w:val="00930717"/>
    <w:rsid w:val="00930DCC"/>
    <w:rsid w:val="00933753"/>
    <w:rsid w:val="00935F1A"/>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A4561"/>
    <w:rsid w:val="009B254E"/>
    <w:rsid w:val="009B3111"/>
    <w:rsid w:val="009B6C5C"/>
    <w:rsid w:val="009B6D2C"/>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3EA"/>
    <w:rsid w:val="00A5769A"/>
    <w:rsid w:val="00A60F74"/>
    <w:rsid w:val="00A63C3F"/>
    <w:rsid w:val="00A6402B"/>
    <w:rsid w:val="00A67D46"/>
    <w:rsid w:val="00A712FD"/>
    <w:rsid w:val="00A8122C"/>
    <w:rsid w:val="00A91AFB"/>
    <w:rsid w:val="00A92D52"/>
    <w:rsid w:val="00A97B5A"/>
    <w:rsid w:val="00AA4DF2"/>
    <w:rsid w:val="00AA5E54"/>
    <w:rsid w:val="00AB0363"/>
    <w:rsid w:val="00AB1E26"/>
    <w:rsid w:val="00AB24F8"/>
    <w:rsid w:val="00AB3E43"/>
    <w:rsid w:val="00AB4473"/>
    <w:rsid w:val="00AB57B4"/>
    <w:rsid w:val="00AB5B32"/>
    <w:rsid w:val="00AB60B4"/>
    <w:rsid w:val="00AB69BD"/>
    <w:rsid w:val="00AB6F26"/>
    <w:rsid w:val="00AC124B"/>
    <w:rsid w:val="00AC1F5A"/>
    <w:rsid w:val="00AC5168"/>
    <w:rsid w:val="00AC690A"/>
    <w:rsid w:val="00AD3238"/>
    <w:rsid w:val="00AD439D"/>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6B6C"/>
    <w:rsid w:val="00B07E05"/>
    <w:rsid w:val="00B12040"/>
    <w:rsid w:val="00B134FD"/>
    <w:rsid w:val="00B13F1B"/>
    <w:rsid w:val="00B140B7"/>
    <w:rsid w:val="00B14368"/>
    <w:rsid w:val="00B14B63"/>
    <w:rsid w:val="00B15F92"/>
    <w:rsid w:val="00B16A55"/>
    <w:rsid w:val="00B17C0E"/>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0515"/>
    <w:rsid w:val="00B63F59"/>
    <w:rsid w:val="00B6505B"/>
    <w:rsid w:val="00B657C6"/>
    <w:rsid w:val="00B664DD"/>
    <w:rsid w:val="00B67B8A"/>
    <w:rsid w:val="00B72033"/>
    <w:rsid w:val="00B763C2"/>
    <w:rsid w:val="00B7700A"/>
    <w:rsid w:val="00B806C7"/>
    <w:rsid w:val="00B81B9C"/>
    <w:rsid w:val="00B833F2"/>
    <w:rsid w:val="00B83788"/>
    <w:rsid w:val="00B842FF"/>
    <w:rsid w:val="00B862F0"/>
    <w:rsid w:val="00B8796D"/>
    <w:rsid w:val="00B9066E"/>
    <w:rsid w:val="00B90F9F"/>
    <w:rsid w:val="00B91EE8"/>
    <w:rsid w:val="00B93E45"/>
    <w:rsid w:val="00B967EB"/>
    <w:rsid w:val="00B9798D"/>
    <w:rsid w:val="00BA02B4"/>
    <w:rsid w:val="00BA1BFF"/>
    <w:rsid w:val="00BA3D81"/>
    <w:rsid w:val="00BA3DEC"/>
    <w:rsid w:val="00BA5FD1"/>
    <w:rsid w:val="00BA7056"/>
    <w:rsid w:val="00BA7E1A"/>
    <w:rsid w:val="00BB021C"/>
    <w:rsid w:val="00BB0B18"/>
    <w:rsid w:val="00BB1F5A"/>
    <w:rsid w:val="00BB2078"/>
    <w:rsid w:val="00BB4342"/>
    <w:rsid w:val="00BB5B52"/>
    <w:rsid w:val="00BC28D8"/>
    <w:rsid w:val="00BC6479"/>
    <w:rsid w:val="00BC6A46"/>
    <w:rsid w:val="00BC72F8"/>
    <w:rsid w:val="00BC73B7"/>
    <w:rsid w:val="00BD0A1B"/>
    <w:rsid w:val="00BD22DF"/>
    <w:rsid w:val="00BD3DBA"/>
    <w:rsid w:val="00BD5384"/>
    <w:rsid w:val="00BD6CBF"/>
    <w:rsid w:val="00BE22AE"/>
    <w:rsid w:val="00BE2CD0"/>
    <w:rsid w:val="00BE44EF"/>
    <w:rsid w:val="00BE4B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D0"/>
    <w:rsid w:val="00CA722C"/>
    <w:rsid w:val="00CA7C81"/>
    <w:rsid w:val="00CA7F55"/>
    <w:rsid w:val="00CB1383"/>
    <w:rsid w:val="00CB1F32"/>
    <w:rsid w:val="00CB2218"/>
    <w:rsid w:val="00CB3458"/>
    <w:rsid w:val="00CB5C8D"/>
    <w:rsid w:val="00CB63F4"/>
    <w:rsid w:val="00CC0109"/>
    <w:rsid w:val="00CC1ED9"/>
    <w:rsid w:val="00CC235A"/>
    <w:rsid w:val="00CC2FA6"/>
    <w:rsid w:val="00CC3DA9"/>
    <w:rsid w:val="00CD3C59"/>
    <w:rsid w:val="00CD5408"/>
    <w:rsid w:val="00CD5C7A"/>
    <w:rsid w:val="00CD5E59"/>
    <w:rsid w:val="00CD5F24"/>
    <w:rsid w:val="00CD6421"/>
    <w:rsid w:val="00CE0BEC"/>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51C4"/>
    <w:rsid w:val="00D26A47"/>
    <w:rsid w:val="00D30220"/>
    <w:rsid w:val="00D350FB"/>
    <w:rsid w:val="00D35A0F"/>
    <w:rsid w:val="00D366CE"/>
    <w:rsid w:val="00D461AA"/>
    <w:rsid w:val="00D5366A"/>
    <w:rsid w:val="00D56D48"/>
    <w:rsid w:val="00D627E0"/>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A5559"/>
    <w:rsid w:val="00DB07BB"/>
    <w:rsid w:val="00DB14F2"/>
    <w:rsid w:val="00DB1C5D"/>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E004EE"/>
    <w:rsid w:val="00E00F7E"/>
    <w:rsid w:val="00E022F9"/>
    <w:rsid w:val="00E03AEE"/>
    <w:rsid w:val="00E069A7"/>
    <w:rsid w:val="00E0755F"/>
    <w:rsid w:val="00E1048F"/>
    <w:rsid w:val="00E116ED"/>
    <w:rsid w:val="00E130C6"/>
    <w:rsid w:val="00E20993"/>
    <w:rsid w:val="00E20CF6"/>
    <w:rsid w:val="00E2158F"/>
    <w:rsid w:val="00E3170B"/>
    <w:rsid w:val="00E33A07"/>
    <w:rsid w:val="00E4144B"/>
    <w:rsid w:val="00E437D8"/>
    <w:rsid w:val="00E44A46"/>
    <w:rsid w:val="00E4634E"/>
    <w:rsid w:val="00E463A3"/>
    <w:rsid w:val="00E470BC"/>
    <w:rsid w:val="00E5156B"/>
    <w:rsid w:val="00E519E6"/>
    <w:rsid w:val="00E567CA"/>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09A"/>
    <w:rsid w:val="00EB4950"/>
    <w:rsid w:val="00EB619C"/>
    <w:rsid w:val="00EC0A11"/>
    <w:rsid w:val="00EC1652"/>
    <w:rsid w:val="00EC3CDC"/>
    <w:rsid w:val="00EC43D6"/>
    <w:rsid w:val="00EC4758"/>
    <w:rsid w:val="00ED4823"/>
    <w:rsid w:val="00ED5934"/>
    <w:rsid w:val="00ED5F0E"/>
    <w:rsid w:val="00ED7301"/>
    <w:rsid w:val="00EE16DE"/>
    <w:rsid w:val="00EE3C26"/>
    <w:rsid w:val="00EE55B9"/>
    <w:rsid w:val="00EF0390"/>
    <w:rsid w:val="00EF263C"/>
    <w:rsid w:val="00EF2C29"/>
    <w:rsid w:val="00EF3324"/>
    <w:rsid w:val="00EF46D2"/>
    <w:rsid w:val="00EF6785"/>
    <w:rsid w:val="00EF693F"/>
    <w:rsid w:val="00EF7595"/>
    <w:rsid w:val="00EF7DD0"/>
    <w:rsid w:val="00F02B30"/>
    <w:rsid w:val="00F0511A"/>
    <w:rsid w:val="00F107BF"/>
    <w:rsid w:val="00F11DD3"/>
    <w:rsid w:val="00F15148"/>
    <w:rsid w:val="00F15463"/>
    <w:rsid w:val="00F15D10"/>
    <w:rsid w:val="00F15D88"/>
    <w:rsid w:val="00F15E2F"/>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7848"/>
    <w:rsid w:val="00FA0510"/>
    <w:rsid w:val="00FA2426"/>
    <w:rsid w:val="00FA3CE7"/>
    <w:rsid w:val="00FA659A"/>
    <w:rsid w:val="00FB23F3"/>
    <w:rsid w:val="00FB5A66"/>
    <w:rsid w:val="00FB5B2F"/>
    <w:rsid w:val="00FC036C"/>
    <w:rsid w:val="00FC0608"/>
    <w:rsid w:val="00FC1A68"/>
    <w:rsid w:val="00FC59DD"/>
    <w:rsid w:val="00FC6239"/>
    <w:rsid w:val="00FC7747"/>
    <w:rsid w:val="00FD2097"/>
    <w:rsid w:val="00FD2BFD"/>
    <w:rsid w:val="00FD3402"/>
    <w:rsid w:val="00FD42B7"/>
    <w:rsid w:val="00FE0DA8"/>
    <w:rsid w:val="00FE10A9"/>
    <w:rsid w:val="00FE1317"/>
    <w:rsid w:val="00FE2174"/>
    <w:rsid w:val="00FE6204"/>
    <w:rsid w:val="00FE6491"/>
    <w:rsid w:val="00FE6A56"/>
    <w:rsid w:val="00FF323C"/>
    <w:rsid w:val="00FF4066"/>
    <w:rsid w:val="00FF7150"/>
    <w:rsid w:val="07DF15F8"/>
    <w:rsid w:val="08EC706B"/>
    <w:rsid w:val="0D8B43CC"/>
    <w:rsid w:val="0F433B63"/>
    <w:rsid w:val="1235261C"/>
    <w:rsid w:val="1A3B578B"/>
    <w:rsid w:val="27F34941"/>
    <w:rsid w:val="3A7838BB"/>
    <w:rsid w:val="3CAE1060"/>
    <w:rsid w:val="466013C5"/>
    <w:rsid w:val="470F1B58"/>
    <w:rsid w:val="4A516A7D"/>
    <w:rsid w:val="4A626DE5"/>
    <w:rsid w:val="4CA90842"/>
    <w:rsid w:val="560315CB"/>
    <w:rsid w:val="575A5A81"/>
    <w:rsid w:val="5D667C17"/>
    <w:rsid w:val="63DB0104"/>
    <w:rsid w:val="66303C92"/>
    <w:rsid w:val="66747957"/>
    <w:rsid w:val="66B269D4"/>
    <w:rsid w:val="6B874D63"/>
    <w:rsid w:val="6C6E1D56"/>
    <w:rsid w:val="6E640D2A"/>
    <w:rsid w:val="75D43102"/>
    <w:rsid w:val="761738EE"/>
    <w:rsid w:val="77CA3F36"/>
    <w:rsid w:val="7FBD1765"/>
    <w:rsid w:val="7FC02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3">
    <w:name w:val="Body Text Indent 2"/>
    <w:basedOn w:val="1"/>
    <w:link w:val="12"/>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正文文本缩进 Char"/>
    <w:link w:val="2"/>
    <w:qFormat/>
    <w:uiPriority w:val="0"/>
    <w:rPr>
      <w:rFonts w:ascii="汉仪书宋二简" w:hAnsi="汉仪书宋二简" w:eastAsia="汉仪书宋二简"/>
      <w:spacing w:val="20"/>
      <w:w w:val="110"/>
      <w:kern w:val="10"/>
      <w:sz w:val="23"/>
      <w:szCs w:val="23"/>
    </w:rPr>
  </w:style>
  <w:style w:type="character" w:customStyle="1" w:styleId="12">
    <w:name w:val="正文文本缩进 2 Char"/>
    <w:link w:val="3"/>
    <w:qFormat/>
    <w:uiPriority w:val="0"/>
    <w:rPr>
      <w:rFonts w:ascii="汉仪书宋二简" w:hAnsi="汉仪书宋二简" w:eastAsia="汉仪书宋二简"/>
      <w:spacing w:val="20"/>
      <w:w w:val="110"/>
      <w:kern w:val="10"/>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3488</Words>
  <Characters>3823</Characters>
  <Lines>24</Lines>
  <Paragraphs>6</Paragraphs>
  <TotalTime>1</TotalTime>
  <ScaleCrop>false</ScaleCrop>
  <LinksUpToDate>false</LinksUpToDate>
  <CharactersWithSpaces>3828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2020-09-25T06:21:00Z</dcterms:created>
  <dc:creator>Administrator</dc:creator>
  <cp:lastModifiedBy>cy</cp:lastModifiedBy>
  <cp:lastPrinted>2022-11-30T03:11:00Z</cp:lastPrinted>
  <dcterms:modified xsi:type="dcterms:W3CDTF">2022-11-30T10:31:46Z</dcterms:modified>
  <dc:title>深圳市土地使用权出让公告</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87BC4676387D4AEDB9DEBDA402E545AF</vt:lpwstr>
  </property>
</Properties>
</file>