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spacing w:val="20"/>
          <w:w w:val="110"/>
          <w:kern w:val="10"/>
          <w:sz w:val="40"/>
        </w:rPr>
      </w:pPr>
      <w:r>
        <w:rPr>
          <w:rFonts w:hint="eastAsia" w:ascii="黑体" w:eastAsia="黑体"/>
          <w:spacing w:val="20"/>
          <w:w w:val="110"/>
          <w:kern w:val="10"/>
          <w:sz w:val="40"/>
        </w:rPr>
        <w:t>深圳市土地使用权出让公告</w:t>
      </w:r>
    </w:p>
    <w:p>
      <w:pPr>
        <w:tabs>
          <w:tab w:val="left" w:pos="8460"/>
        </w:tabs>
        <w:spacing w:line="400" w:lineRule="exact"/>
        <w:jc w:val="center"/>
        <w:rPr>
          <w:rFonts w:ascii="汉仪书宋二简" w:eastAsia="汉仪书宋二简"/>
          <w:spacing w:val="20"/>
          <w:w w:val="110"/>
          <w:kern w:val="10"/>
        </w:rPr>
      </w:pPr>
      <w:r>
        <w:rPr>
          <w:rFonts w:hint="eastAsia" w:ascii="汉仪书宋二简" w:eastAsia="汉仪书宋二简"/>
          <w:spacing w:val="20"/>
          <w:w w:val="110"/>
          <w:kern w:val="10"/>
          <w:sz w:val="23"/>
        </w:rPr>
        <w:t>深土交告</w:t>
      </w:r>
      <w:r>
        <w:rPr>
          <w:rFonts w:hint="eastAsia" w:ascii="宋体" w:hAnsi="宋体"/>
          <w:color w:val="000000"/>
          <w:spacing w:val="20"/>
          <w:w w:val="110"/>
          <w:kern w:val="10"/>
          <w:sz w:val="23"/>
        </w:rPr>
        <w:t>〔2022〕</w:t>
      </w:r>
      <w:r>
        <w:rPr>
          <w:rFonts w:hint="default" w:ascii="宋体" w:hAnsi="宋体"/>
          <w:color w:val="000000"/>
          <w:spacing w:val="20"/>
          <w:w w:val="110"/>
          <w:kern w:val="10"/>
          <w:sz w:val="23"/>
          <w:lang w:val="en-IE"/>
        </w:rPr>
        <w:t>72</w:t>
      </w:r>
      <w:r>
        <w:rPr>
          <w:rFonts w:hint="eastAsia" w:ascii="汉仪书宋二简" w:eastAsia="汉仪书宋二简"/>
          <w:spacing w:val="20"/>
          <w:w w:val="110"/>
          <w:kern w:val="10"/>
          <w:sz w:val="23"/>
        </w:rPr>
        <w:t>号</w:t>
      </w:r>
    </w:p>
    <w:p>
      <w:pPr>
        <w:tabs>
          <w:tab w:val="left" w:pos="8460"/>
        </w:tabs>
        <w:spacing w:line="400" w:lineRule="exact"/>
        <w:jc w:val="center"/>
        <w:rPr>
          <w:rFonts w:ascii="汉仪书宋二简" w:eastAsia="汉仪书宋二简"/>
          <w:spacing w:val="20"/>
          <w:w w:val="110"/>
          <w:kern w:val="10"/>
        </w:rPr>
      </w:pP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根据有关法律、法规，深圳市规划和自然资源局坪山管理局（以下简称市规划和自然资源局坪山管理局）委托深</w:t>
      </w:r>
      <w:r>
        <w:rPr>
          <w:rFonts w:hint="eastAsia" w:ascii="宋体" w:hAnsi="宋体" w:eastAsia="宋体" w:cs="Times New Roman"/>
          <w:color w:val="000000" w:themeColor="text1"/>
          <w:spacing w:val="20"/>
          <w:kern w:val="10"/>
          <w:sz w:val="23"/>
          <w:szCs w:val="23"/>
          <w:highlight w:val="none"/>
          <w14:textFill>
            <w14:solidFill>
              <w14:schemeClr w14:val="tx1"/>
            </w14:solidFill>
          </w14:textFill>
        </w:rPr>
        <w:t>圳交易集团有限公司（深圳公共资源交易中心）</w:t>
      </w:r>
      <w:r>
        <w:rPr>
          <w:rFonts w:hint="eastAsia" w:ascii="宋体" w:hAnsi="宋体"/>
          <w:color w:val="000000"/>
          <w:spacing w:val="20"/>
          <w:kern w:val="10"/>
          <w:sz w:val="23"/>
          <w:szCs w:val="23"/>
        </w:rPr>
        <w:t>在深圳市福田区红荔西路8007号土地房产交易大厦（以下简称交易大厦）3楼，以挂牌方式公开出让宗地代码为</w:t>
      </w:r>
      <w:r>
        <w:rPr>
          <w:rFonts w:ascii="宋体" w:hAnsi="宋体"/>
          <w:color w:val="000000"/>
          <w:spacing w:val="20"/>
          <w:kern w:val="10"/>
          <w:sz w:val="23"/>
          <w:szCs w:val="23"/>
        </w:rPr>
        <w:t>440310201003GB00461</w:t>
      </w:r>
      <w:r>
        <w:rPr>
          <w:rFonts w:hint="eastAsia" w:ascii="宋体" w:hAnsi="宋体"/>
          <w:color w:val="000000"/>
          <w:spacing w:val="20"/>
          <w:kern w:val="10"/>
          <w:sz w:val="23"/>
          <w:szCs w:val="23"/>
        </w:rPr>
        <w:t>宗地的使用权，公告期自</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default" w:ascii="宋体" w:hAnsi="宋体"/>
          <w:color w:val="000000"/>
          <w:spacing w:val="20"/>
          <w:kern w:val="10"/>
          <w:sz w:val="23"/>
          <w:szCs w:val="23"/>
          <w:lang w:val="en-IE"/>
        </w:rPr>
        <w:t>11</w:t>
      </w:r>
      <w:r>
        <w:rPr>
          <w:rFonts w:hint="eastAsia" w:ascii="宋体" w:hAnsi="宋体"/>
          <w:color w:val="000000"/>
          <w:spacing w:val="20"/>
          <w:kern w:val="10"/>
          <w:sz w:val="23"/>
          <w:szCs w:val="23"/>
        </w:rPr>
        <w:t>月</w:t>
      </w:r>
      <w:r>
        <w:rPr>
          <w:rFonts w:hint="default" w:ascii="宋体" w:hAnsi="宋体"/>
          <w:color w:val="000000"/>
          <w:spacing w:val="20"/>
          <w:kern w:val="10"/>
          <w:sz w:val="23"/>
          <w:szCs w:val="23"/>
          <w:lang w:val="en-IE"/>
        </w:rPr>
        <w:t>21</w:t>
      </w:r>
      <w:r>
        <w:rPr>
          <w:rFonts w:hint="eastAsia" w:ascii="宋体" w:hAnsi="宋体"/>
          <w:color w:val="000000"/>
          <w:spacing w:val="20"/>
          <w:kern w:val="10"/>
          <w:sz w:val="23"/>
          <w:szCs w:val="23"/>
        </w:rPr>
        <w:t>日至</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default" w:ascii="宋体" w:hAnsi="宋体"/>
          <w:color w:val="000000"/>
          <w:spacing w:val="20"/>
          <w:kern w:val="10"/>
          <w:sz w:val="23"/>
          <w:szCs w:val="23"/>
          <w:lang w:val="en-IE"/>
        </w:rPr>
        <w:t>12</w:t>
      </w:r>
      <w:r>
        <w:rPr>
          <w:rFonts w:hint="eastAsia" w:ascii="宋体" w:hAnsi="宋体"/>
          <w:color w:val="000000"/>
          <w:spacing w:val="20"/>
          <w:kern w:val="10"/>
          <w:sz w:val="23"/>
          <w:szCs w:val="23"/>
        </w:rPr>
        <w:t>月</w:t>
      </w:r>
      <w:r>
        <w:rPr>
          <w:rFonts w:hint="default" w:ascii="宋体" w:hAnsi="宋体"/>
          <w:color w:val="000000"/>
          <w:spacing w:val="20"/>
          <w:kern w:val="10"/>
          <w:sz w:val="23"/>
          <w:szCs w:val="23"/>
          <w:lang w:val="en-IE"/>
        </w:rPr>
        <w:t>10</w:t>
      </w:r>
      <w:r>
        <w:rPr>
          <w:rFonts w:hint="eastAsia" w:ascii="宋体" w:hAnsi="宋体"/>
          <w:color w:val="000000"/>
          <w:spacing w:val="20"/>
          <w:kern w:val="10"/>
          <w:sz w:val="23"/>
          <w:szCs w:val="23"/>
        </w:rPr>
        <w:t>日，挂牌期自</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default" w:ascii="宋体" w:hAnsi="宋体"/>
          <w:color w:val="000000"/>
          <w:spacing w:val="20"/>
          <w:kern w:val="10"/>
          <w:sz w:val="23"/>
          <w:szCs w:val="23"/>
          <w:lang w:val="en-IE"/>
        </w:rPr>
        <w:t>12</w:t>
      </w:r>
      <w:r>
        <w:rPr>
          <w:rFonts w:hint="eastAsia" w:ascii="宋体" w:hAnsi="宋体"/>
          <w:color w:val="000000"/>
          <w:spacing w:val="20"/>
          <w:kern w:val="10"/>
          <w:sz w:val="23"/>
          <w:szCs w:val="23"/>
        </w:rPr>
        <w:t>月</w:t>
      </w:r>
      <w:r>
        <w:rPr>
          <w:rFonts w:hint="default" w:ascii="宋体" w:hAnsi="宋体"/>
          <w:color w:val="000000"/>
          <w:spacing w:val="20"/>
          <w:kern w:val="10"/>
          <w:sz w:val="23"/>
          <w:szCs w:val="23"/>
          <w:lang w:val="en-IE"/>
        </w:rPr>
        <w:t>11</w:t>
      </w:r>
      <w:r>
        <w:rPr>
          <w:rFonts w:hint="eastAsia" w:ascii="宋体" w:hAnsi="宋体"/>
          <w:color w:val="000000"/>
          <w:spacing w:val="20"/>
          <w:kern w:val="10"/>
          <w:sz w:val="23"/>
          <w:szCs w:val="23"/>
        </w:rPr>
        <w:t>日至</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default" w:ascii="宋体" w:hAnsi="宋体"/>
          <w:color w:val="000000"/>
          <w:spacing w:val="20"/>
          <w:kern w:val="10"/>
          <w:sz w:val="23"/>
          <w:szCs w:val="23"/>
          <w:lang w:val="en-IE"/>
        </w:rPr>
        <w:t>12</w:t>
      </w:r>
      <w:r>
        <w:rPr>
          <w:rFonts w:hint="eastAsia" w:ascii="宋体" w:hAnsi="宋体"/>
          <w:color w:val="000000"/>
          <w:spacing w:val="20"/>
          <w:kern w:val="10"/>
          <w:sz w:val="23"/>
          <w:szCs w:val="23"/>
        </w:rPr>
        <w:t>月</w:t>
      </w:r>
      <w:r>
        <w:rPr>
          <w:rFonts w:hint="default" w:ascii="宋体" w:hAnsi="宋体"/>
          <w:color w:val="000000"/>
          <w:spacing w:val="20"/>
          <w:kern w:val="10"/>
          <w:sz w:val="23"/>
          <w:szCs w:val="23"/>
          <w:lang w:val="en-IE"/>
        </w:rPr>
        <w:t>20</w:t>
      </w:r>
      <w:r>
        <w:rPr>
          <w:rFonts w:hint="eastAsia" w:ascii="宋体" w:hAnsi="宋体"/>
          <w:color w:val="000000"/>
          <w:spacing w:val="20"/>
          <w:kern w:val="10"/>
          <w:sz w:val="23"/>
          <w:szCs w:val="23"/>
        </w:rPr>
        <w:t>日</w:t>
      </w:r>
      <w:r>
        <w:rPr>
          <w:rFonts w:hint="default" w:ascii="宋体" w:hAnsi="宋体"/>
          <w:color w:val="000000"/>
          <w:spacing w:val="20"/>
          <w:kern w:val="10"/>
          <w:sz w:val="23"/>
          <w:szCs w:val="23"/>
          <w:lang w:val="en-IE"/>
        </w:rPr>
        <w:t>15</w:t>
      </w:r>
      <w:r>
        <w:rPr>
          <w:rFonts w:hint="eastAsia" w:ascii="宋体" w:hAnsi="宋体"/>
          <w:color w:val="000000"/>
          <w:spacing w:val="20"/>
          <w:kern w:val="10"/>
          <w:sz w:val="23"/>
          <w:szCs w:val="23"/>
        </w:rPr>
        <w:t>时止。现予公告。</w:t>
      </w:r>
    </w:p>
    <w:p>
      <w:pPr>
        <w:spacing w:line="400" w:lineRule="exact"/>
        <w:ind w:firstLine="542" w:firstLineChars="200"/>
        <w:rPr>
          <w:rFonts w:hint="eastAsia" w:ascii="宋体" w:hAnsi="宋体" w:eastAsia="宋体"/>
          <w:b/>
          <w:color w:val="000000"/>
          <w:spacing w:val="20"/>
          <w:kern w:val="10"/>
          <w:sz w:val="23"/>
          <w:szCs w:val="23"/>
          <w:lang w:eastAsia="zh-CN"/>
        </w:rPr>
      </w:pPr>
      <w:r>
        <w:rPr>
          <w:rFonts w:hint="eastAsia" w:ascii="宋体" w:hAnsi="宋体"/>
          <w:b/>
          <w:color w:val="000000"/>
          <w:spacing w:val="20"/>
          <w:kern w:val="10"/>
          <w:sz w:val="23"/>
          <w:szCs w:val="23"/>
        </w:rPr>
        <w:t>一、宗地情况</w:t>
      </w:r>
    </w:p>
    <w:tbl>
      <w:tblPr>
        <w:tblStyle w:val="4"/>
        <w:tblpPr w:leftFromText="180" w:rightFromText="180" w:vertAnchor="text" w:horzAnchor="margin" w:tblpXSpec="center" w:tblpY="173"/>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992"/>
        <w:gridCol w:w="709"/>
        <w:gridCol w:w="1417"/>
        <w:gridCol w:w="1181"/>
        <w:gridCol w:w="1170"/>
        <w:gridCol w:w="1335"/>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95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w:t>
            </w: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代码</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宗地号</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280" w:lineRule="exact"/>
              <w:ind w:left="-302" w:leftChars="-144" w:firstLine="283" w:firstLineChars="14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位置</w:t>
            </w: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用途</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b/>
                <w:color w:val="000000"/>
                <w:kern w:val="10"/>
                <w:sz w:val="20"/>
                <w:szCs w:val="20"/>
              </w:rPr>
            </w:pPr>
            <w:r>
              <w:rPr>
                <w:rFonts w:hint="eastAsia" w:ascii="汉仪书宋二简" w:eastAsia="汉仪书宋二简"/>
                <w:b/>
                <w:color w:val="000000"/>
                <w:kern w:val="10"/>
                <w:sz w:val="20"/>
                <w:szCs w:val="20"/>
              </w:rPr>
              <w:t>准入行业</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类别</w:t>
            </w:r>
          </w:p>
        </w:tc>
        <w:tc>
          <w:tcPr>
            <w:tcW w:w="118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b/>
                <w:color w:val="000000"/>
                <w:kern w:val="10"/>
                <w:sz w:val="20"/>
                <w:szCs w:val="20"/>
              </w:rPr>
            </w:pPr>
            <w:r>
              <w:rPr>
                <w:rFonts w:hint="eastAsia" w:ascii="汉仪书宋二简" w:eastAsia="汉仪书宋二简"/>
                <w:b/>
                <w:color w:val="000000"/>
                <w:kern w:val="10"/>
                <w:sz w:val="20"/>
                <w:szCs w:val="20"/>
              </w:rPr>
              <w:t>土地面积</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（平方米）</w:t>
            </w:r>
          </w:p>
        </w:tc>
        <w:tc>
          <w:tcPr>
            <w:tcW w:w="117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建筑面积</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（平方米）</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汉仪书宋二简" w:eastAsia="汉仪书宋二简"/>
                <w:b/>
                <w:color w:val="000000"/>
                <w:kern w:val="10"/>
                <w:sz w:val="20"/>
                <w:szCs w:val="20"/>
              </w:rPr>
            </w:pPr>
            <w:r>
              <w:rPr>
                <w:rFonts w:hint="eastAsia" w:ascii="汉仪书宋二简" w:eastAsia="汉仪书宋二简"/>
                <w:b/>
                <w:color w:val="000000"/>
                <w:kern w:val="10"/>
                <w:sz w:val="20"/>
                <w:szCs w:val="20"/>
              </w:rPr>
              <w:t>挂牌起始价</w:t>
            </w:r>
          </w:p>
          <w:p>
            <w:pPr>
              <w:widowControl/>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（人民币、万元）</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竞买（投标）保证金（人民币、万元）</w:t>
            </w:r>
          </w:p>
        </w:tc>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rPr>
        <w:tc>
          <w:tcPr>
            <w:tcW w:w="95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ascii="汉仪书宋二简" w:eastAsia="汉仪书宋二简"/>
                <w:color w:val="000000"/>
                <w:kern w:val="10"/>
                <w:sz w:val="20"/>
                <w:szCs w:val="20"/>
              </w:rPr>
              <w:t>440310201003GB00461</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G</w:t>
            </w:r>
            <w:r>
              <w:rPr>
                <w:rFonts w:ascii="汉仪书宋二简" w:eastAsia="汉仪书宋二简"/>
                <w:color w:val="000000"/>
                <w:kern w:val="10"/>
                <w:sz w:val="20"/>
                <w:szCs w:val="20"/>
              </w:rPr>
              <w:t>14312</w:t>
            </w:r>
          </w:p>
          <w:p>
            <w:pPr>
              <w:tabs>
                <w:tab w:val="left" w:pos="8460"/>
              </w:tabs>
              <w:spacing w:line="280" w:lineRule="exact"/>
              <w:jc w:val="center"/>
              <w:rPr>
                <w:rFonts w:ascii="汉仪书宋二简" w:eastAsia="汉仪书宋二简"/>
                <w:color w:val="000000"/>
                <w:kern w:val="10"/>
                <w:sz w:val="20"/>
                <w:szCs w:val="20"/>
              </w:rPr>
            </w:pPr>
            <w:r>
              <w:rPr>
                <w:rFonts w:ascii="汉仪书宋二简" w:eastAsia="汉仪书宋二简"/>
                <w:color w:val="000000"/>
                <w:kern w:val="10"/>
                <w:sz w:val="20"/>
                <w:szCs w:val="20"/>
              </w:rPr>
              <w:t>-0226</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坪山区坑梓街道</w:t>
            </w: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普通工业用地</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新一代信息技术产业</w:t>
            </w:r>
          </w:p>
        </w:tc>
        <w:tc>
          <w:tcPr>
            <w:tcW w:w="118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ascii="汉仪书宋二简" w:eastAsia="汉仪书宋二简"/>
                <w:color w:val="000000"/>
                <w:kern w:val="10"/>
                <w:sz w:val="20"/>
                <w:szCs w:val="20"/>
              </w:rPr>
              <w:t>13361.35</w:t>
            </w:r>
          </w:p>
        </w:tc>
        <w:tc>
          <w:tcPr>
            <w:tcW w:w="117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ascii="汉仪书宋二简" w:eastAsia="汉仪书宋二简"/>
                <w:color w:val="000000"/>
                <w:kern w:val="10"/>
                <w:sz w:val="20"/>
                <w:szCs w:val="20"/>
              </w:rPr>
              <w:t>53445</w:t>
            </w:r>
          </w:p>
        </w:tc>
        <w:tc>
          <w:tcPr>
            <w:tcW w:w="133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ascii="汉仪书宋二简" w:eastAsia="汉仪书宋二简"/>
                <w:color w:val="000000"/>
                <w:kern w:val="10"/>
                <w:sz w:val="20"/>
                <w:szCs w:val="20"/>
              </w:rPr>
              <w:t>3380</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ascii="汉仪书宋二简" w:eastAsia="汉仪书宋二简"/>
                <w:color w:val="000000"/>
                <w:kern w:val="10"/>
                <w:sz w:val="20"/>
                <w:szCs w:val="20"/>
              </w:rPr>
              <w:t>676</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20</w:t>
            </w:r>
          </w:p>
        </w:tc>
      </w:tr>
    </w:tbl>
    <w:p>
      <w:pPr>
        <w:spacing w:after="240" w:afterAutospacing="0"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上述宗地的具体情况以《深圳市国有建设用地使用权出让合同</w:t>
      </w:r>
      <w:r>
        <w:rPr>
          <w:rFonts w:hint="eastAsia" w:ascii="宋体" w:hAnsi="宋体"/>
          <w:color w:val="000000"/>
          <w:spacing w:val="20"/>
          <w:kern w:val="10"/>
          <w:sz w:val="23"/>
          <w:szCs w:val="23"/>
        </w:rPr>
        <w:t>》（样本，以下简称《出让合同》）为准。</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二、宗地出让条件</w:t>
      </w:r>
      <w:bookmarkStart w:id="0" w:name="_GoBack"/>
      <w:bookmarkEnd w:id="0"/>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（一）竞得人应按本公告规定签订《成交确认书》</w:t>
      </w:r>
      <w:r>
        <w:rPr>
          <w:rFonts w:hint="eastAsia" w:ascii="宋体" w:hAnsi="宋体" w:eastAsia="宋体" w:cs="Times New Roman"/>
          <w:color w:val="000000"/>
          <w:spacing w:val="20"/>
          <w:kern w:val="10"/>
          <w:sz w:val="23"/>
          <w:szCs w:val="23"/>
          <w:highlight w:val="none"/>
          <w:lang w:val="en-IE" w:eastAsia="zh-CN"/>
        </w:rPr>
        <w:t>《</w:t>
      </w:r>
      <w:r>
        <w:rPr>
          <w:rFonts w:hint="eastAsia" w:ascii="宋体" w:hAnsi="宋体" w:eastAsia="宋体" w:cs="Times New Roman"/>
          <w:color w:val="000000"/>
          <w:spacing w:val="20"/>
          <w:kern w:val="10"/>
          <w:sz w:val="23"/>
          <w:szCs w:val="23"/>
          <w:highlight w:val="none"/>
        </w:rPr>
        <w:t>深圳市坪山区产业用地建设和使用监管协议书</w:t>
      </w:r>
      <w:r>
        <w:rPr>
          <w:rFonts w:hint="eastAsia" w:ascii="宋体" w:hAnsi="宋体" w:eastAsia="宋体" w:cs="Times New Roman"/>
          <w:color w:val="000000"/>
          <w:spacing w:val="20"/>
          <w:kern w:val="10"/>
          <w:sz w:val="23"/>
          <w:szCs w:val="23"/>
          <w:highlight w:val="none"/>
          <w:lang w:eastAsia="zh-CN"/>
        </w:rPr>
        <w:t>》（</w:t>
      </w:r>
      <w:r>
        <w:rPr>
          <w:rFonts w:hint="eastAsia" w:ascii="宋体" w:hAnsi="宋体" w:eastAsia="宋体" w:cs="Times New Roman"/>
          <w:color w:val="000000"/>
          <w:spacing w:val="20"/>
          <w:kern w:val="10"/>
          <w:sz w:val="23"/>
          <w:szCs w:val="23"/>
          <w:highlight w:val="none"/>
          <w:lang w:val="en-US" w:eastAsia="zh-CN"/>
        </w:rPr>
        <w:t>以下简称</w:t>
      </w:r>
      <w:r>
        <w:rPr>
          <w:rFonts w:hint="eastAsia" w:ascii="宋体" w:hAnsi="宋体" w:cs="Times New Roman"/>
          <w:color w:val="000000"/>
          <w:spacing w:val="20"/>
          <w:kern w:val="10"/>
          <w:sz w:val="23"/>
          <w:szCs w:val="23"/>
          <w:highlight w:val="none"/>
          <w:lang w:val="en-US" w:eastAsia="zh-CN"/>
        </w:rPr>
        <w:t>产业</w:t>
      </w:r>
      <w:r>
        <w:rPr>
          <w:rFonts w:hint="eastAsia" w:ascii="宋体" w:hAnsi="宋体" w:eastAsia="宋体" w:cs="Times New Roman"/>
          <w:color w:val="000000"/>
          <w:spacing w:val="20"/>
          <w:kern w:val="10"/>
          <w:sz w:val="23"/>
          <w:szCs w:val="23"/>
          <w:highlight w:val="none"/>
          <w:lang w:val="en-US" w:eastAsia="zh-CN"/>
        </w:rPr>
        <w:t>监管协议</w:t>
      </w:r>
      <w:r>
        <w:rPr>
          <w:rFonts w:hint="eastAsia" w:ascii="宋体" w:hAnsi="宋体" w:eastAsia="宋体" w:cs="Times New Roman"/>
          <w:color w:val="000000"/>
          <w:spacing w:val="20"/>
          <w:kern w:val="10"/>
          <w:sz w:val="23"/>
          <w:szCs w:val="23"/>
          <w:highlight w:val="none"/>
          <w:lang w:eastAsia="zh-CN"/>
        </w:rPr>
        <w:t>）</w:t>
      </w:r>
      <w:r>
        <w:rPr>
          <w:rFonts w:hint="eastAsia" w:ascii="宋体" w:hAnsi="宋体" w:eastAsia="宋体" w:cs="Times New Roman"/>
          <w:color w:val="000000"/>
          <w:spacing w:val="20"/>
          <w:kern w:val="10"/>
          <w:sz w:val="23"/>
          <w:szCs w:val="23"/>
          <w:highlight w:val="none"/>
        </w:rPr>
        <w:t>和《出让合同》，并自签订《出让合同》之日起15个工作日内一次性付清成交价款。</w:t>
      </w:r>
    </w:p>
    <w:p>
      <w:pPr>
        <w:spacing w:line="400" w:lineRule="exact"/>
        <w:ind w:firstLine="540" w:firstLineChars="200"/>
        <w:rPr>
          <w:rFonts w:hint="eastAsia"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二）竞得人缴纳地价款时，应凭自然资源主管部门开具的《缴款通知书》到深圳市各区税务局办税服务厅或者登录深圳市电子税务局进行缴费，具体流程详见《国有土地使用权出让收入缴款及竞买保证金退转操作指引》。</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（三）竞得人应遵守法律、法规和《出让合同》规定，严格按照土地用途和有关部门审定的规划设计方案使用和开发建设。</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四</w:t>
      </w:r>
      <w:r>
        <w:rPr>
          <w:rFonts w:hint="eastAsia" w:ascii="宋体" w:hAnsi="宋体"/>
          <w:color w:val="000000"/>
          <w:spacing w:val="20"/>
          <w:kern w:val="10"/>
          <w:sz w:val="23"/>
          <w:szCs w:val="23"/>
        </w:rPr>
        <w:t xml:space="preserve">）本次出让宗地项目建成后，建设用地使用权及建筑物限整体转让，初始登记后不得办理分证；允许抵押,但抵押金额不得超出合同剩余年期地价与建筑物残值之和。  </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具体产权要求，以《出让合同》为准。</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五</w:t>
      </w:r>
      <w:r>
        <w:rPr>
          <w:rFonts w:hint="eastAsia" w:ascii="宋体" w:hAnsi="宋体"/>
          <w:color w:val="000000"/>
          <w:spacing w:val="20"/>
          <w:kern w:val="10"/>
          <w:sz w:val="23"/>
          <w:szCs w:val="23"/>
        </w:rPr>
        <w:t>）本次出让宗地须自《出让合同》签订之日起1.</w:t>
      </w:r>
      <w:r>
        <w:rPr>
          <w:rFonts w:ascii="宋体" w:hAnsi="宋体"/>
          <w:color w:val="000000"/>
          <w:spacing w:val="20"/>
          <w:kern w:val="10"/>
          <w:sz w:val="23"/>
          <w:szCs w:val="23"/>
        </w:rPr>
        <w:t>5</w:t>
      </w:r>
      <w:r>
        <w:rPr>
          <w:rFonts w:hint="eastAsia" w:ascii="宋体" w:hAnsi="宋体"/>
          <w:color w:val="000000"/>
          <w:spacing w:val="20"/>
          <w:kern w:val="10"/>
          <w:sz w:val="23"/>
          <w:szCs w:val="23"/>
        </w:rPr>
        <w:t>年内开工，3</w:t>
      </w:r>
      <w:r>
        <w:rPr>
          <w:rFonts w:ascii="宋体" w:hAnsi="宋体"/>
          <w:color w:val="000000"/>
          <w:spacing w:val="20"/>
          <w:kern w:val="10"/>
          <w:sz w:val="23"/>
          <w:szCs w:val="23"/>
        </w:rPr>
        <w:t>.5</w:t>
      </w:r>
      <w:r>
        <w:rPr>
          <w:rFonts w:hint="eastAsia" w:ascii="宋体" w:hAnsi="宋体"/>
          <w:color w:val="000000"/>
          <w:spacing w:val="20"/>
          <w:kern w:val="10"/>
          <w:sz w:val="23"/>
          <w:szCs w:val="23"/>
        </w:rPr>
        <w:t>年内竣工。</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六</w:t>
      </w:r>
      <w:r>
        <w:rPr>
          <w:rFonts w:hint="eastAsia" w:ascii="宋体" w:hAnsi="宋体"/>
          <w:color w:val="000000"/>
          <w:spacing w:val="20"/>
          <w:kern w:val="10"/>
          <w:sz w:val="23"/>
          <w:szCs w:val="23"/>
        </w:rPr>
        <w:t>）该用地涉及斜坡类地质灾害中易发区，竞得人须按地质灾害危险性评估报告的结论采取相应的地质灾害防治措施。</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三、竞买人主体资格要求</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具备下列条件的,可独立申请（不接受联合竞买）竞买本次出让宗地：</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（一）竞买申请人应为深圳注册的企业法人；</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（二）竞买申请人应当获得国家高新技术企业认证；</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（三）竞买申请人从事该地块准入行业不少于5年。</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四、竞买申请程序</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（一）竞买咨询</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有意参与竞买的企业可就监管协议等有关情况向深圳市坪山区投资推广服务署（以下简称坪山区投资推广服务署）咨询。</w:t>
      </w:r>
    </w:p>
    <w:p>
      <w:pPr>
        <w:spacing w:line="400" w:lineRule="exact"/>
        <w:ind w:firstLine="540" w:firstLineChars="200"/>
        <w:rPr>
          <w:rFonts w:hint="eastAsia" w:ascii="宋体" w:hAnsi="宋体"/>
          <w:color w:val="000000"/>
          <w:spacing w:val="20"/>
          <w:kern w:val="10"/>
          <w:sz w:val="23"/>
          <w:szCs w:val="23"/>
        </w:rPr>
      </w:pPr>
      <w:r>
        <w:rPr>
          <w:rFonts w:hint="default" w:ascii="宋体" w:hAnsi="宋体"/>
          <w:color w:val="000000"/>
          <w:spacing w:val="20"/>
          <w:kern w:val="10"/>
          <w:sz w:val="23"/>
          <w:szCs w:val="23"/>
        </w:rPr>
        <w:t>（二）网上注册</w:t>
      </w:r>
    </w:p>
    <w:p>
      <w:pPr>
        <w:spacing w:line="400" w:lineRule="exact"/>
        <w:ind w:firstLine="540" w:firstLineChars="200"/>
        <w:rPr>
          <w:rFonts w:hint="default" w:ascii="宋体" w:hAnsi="宋体"/>
          <w:color w:val="000000"/>
          <w:spacing w:val="20"/>
          <w:kern w:val="10"/>
          <w:sz w:val="23"/>
          <w:szCs w:val="23"/>
        </w:rPr>
      </w:pPr>
      <w:r>
        <w:rPr>
          <w:rFonts w:hint="default" w:ascii="宋体" w:hAnsi="宋体"/>
          <w:color w:val="000000"/>
          <w:spacing w:val="20"/>
          <w:kern w:val="10"/>
          <w:sz w:val="23"/>
          <w:szCs w:val="23"/>
        </w:rPr>
        <w:t>竞买申请人应在深圳公共资源交易公共服务平台的统一用户中心（</w:t>
      </w:r>
      <w:r>
        <w:rPr>
          <w:rFonts w:hint="default" w:ascii="宋体" w:hAnsi="宋体"/>
          <w:color w:val="000000"/>
          <w:spacing w:val="20"/>
          <w:kern w:val="10"/>
          <w:sz w:val="23"/>
          <w:szCs w:val="23"/>
        </w:rPr>
        <w:fldChar w:fldCharType="begin"/>
      </w:r>
      <w:r>
        <w:rPr>
          <w:rFonts w:hint="default" w:ascii="宋体" w:hAnsi="宋体"/>
          <w:color w:val="000000"/>
          <w:spacing w:val="20"/>
          <w:kern w:val="10"/>
          <w:sz w:val="23"/>
          <w:szCs w:val="23"/>
        </w:rPr>
        <w:instrText xml:space="preserve"> HYPERLINK "https://trade.szggzy.com/ggzy/center/" \l "/login" \t "https://new.szggzy.com/jygg/_blank" </w:instrText>
      </w:r>
      <w:r>
        <w:rPr>
          <w:rFonts w:hint="default" w:ascii="宋体" w:hAnsi="宋体"/>
          <w:color w:val="000000"/>
          <w:spacing w:val="20"/>
          <w:kern w:val="10"/>
          <w:sz w:val="23"/>
          <w:szCs w:val="23"/>
        </w:rPr>
        <w:fldChar w:fldCharType="separate"/>
      </w:r>
      <w:r>
        <w:rPr>
          <w:rFonts w:hint="default" w:ascii="宋体" w:hAnsi="宋体"/>
          <w:color w:val="000000"/>
          <w:spacing w:val="20"/>
          <w:kern w:val="10"/>
          <w:sz w:val="23"/>
          <w:szCs w:val="23"/>
        </w:rPr>
        <w:t>https://trade.szggzy.com/ggzy/center/#/login</w:t>
      </w:r>
      <w:r>
        <w:rPr>
          <w:rFonts w:hint="default" w:ascii="宋体" w:hAnsi="宋体"/>
          <w:color w:val="000000"/>
          <w:spacing w:val="20"/>
          <w:kern w:val="10"/>
          <w:sz w:val="23"/>
          <w:szCs w:val="23"/>
        </w:rPr>
        <w:fldChar w:fldCharType="end"/>
      </w:r>
      <w:r>
        <w:rPr>
          <w:rFonts w:hint="default" w:ascii="宋体" w:hAnsi="宋体"/>
          <w:color w:val="000000"/>
          <w:spacing w:val="20"/>
          <w:kern w:val="10"/>
          <w:sz w:val="23"/>
          <w:szCs w:val="23"/>
        </w:rPr>
        <w:t>）进行网上注册。网上注册的程序和要求详见深圳公共资源交易公共服务平台网站中的操作指引（</w:t>
      </w:r>
      <w:r>
        <w:rPr>
          <w:rFonts w:hint="default" w:ascii="宋体" w:hAnsi="宋体"/>
          <w:color w:val="000000"/>
          <w:spacing w:val="20"/>
          <w:kern w:val="10"/>
          <w:sz w:val="23"/>
          <w:szCs w:val="23"/>
        </w:rPr>
        <w:fldChar w:fldCharType="begin"/>
      </w:r>
      <w:r>
        <w:rPr>
          <w:rFonts w:hint="default" w:ascii="宋体" w:hAnsi="宋体"/>
          <w:color w:val="000000"/>
          <w:spacing w:val="20"/>
          <w:kern w:val="10"/>
          <w:sz w:val="23"/>
          <w:szCs w:val="23"/>
        </w:rPr>
        <w:instrText xml:space="preserve"> HYPERLINK "https://new.szggzy.com/jyfw/details.html?contentId=1717872" \t "https://new.szggzy.com/jygg/_blank" </w:instrText>
      </w:r>
      <w:r>
        <w:rPr>
          <w:rFonts w:hint="default" w:ascii="宋体" w:hAnsi="宋体"/>
          <w:color w:val="000000"/>
          <w:spacing w:val="20"/>
          <w:kern w:val="10"/>
          <w:sz w:val="23"/>
          <w:szCs w:val="23"/>
        </w:rPr>
        <w:fldChar w:fldCharType="separate"/>
      </w:r>
      <w:r>
        <w:rPr>
          <w:rFonts w:hint="default" w:ascii="宋体" w:hAnsi="宋体"/>
          <w:color w:val="000000"/>
          <w:spacing w:val="20"/>
          <w:kern w:val="10"/>
          <w:sz w:val="23"/>
          <w:szCs w:val="23"/>
        </w:rPr>
        <w:t>https://new.szggzy.com/jyfw/details.html?contentId=1717872</w:t>
      </w:r>
      <w:r>
        <w:rPr>
          <w:rFonts w:hint="default" w:ascii="宋体" w:hAnsi="宋体"/>
          <w:color w:val="000000"/>
          <w:spacing w:val="20"/>
          <w:kern w:val="10"/>
          <w:sz w:val="23"/>
          <w:szCs w:val="23"/>
        </w:rPr>
        <w:fldChar w:fldCharType="end"/>
      </w:r>
      <w:r>
        <w:rPr>
          <w:rFonts w:hint="default" w:ascii="宋体" w:hAnsi="宋体"/>
          <w:color w:val="000000"/>
          <w:spacing w:val="20"/>
          <w:kern w:val="10"/>
          <w:sz w:val="23"/>
          <w:szCs w:val="23"/>
        </w:rPr>
        <w:t>）。</w:t>
      </w:r>
    </w:p>
    <w:p>
      <w:pPr>
        <w:spacing w:line="400" w:lineRule="exact"/>
        <w:ind w:firstLine="540" w:firstLineChars="200"/>
        <w:rPr>
          <w:rFonts w:hint="default" w:ascii="宋体" w:hAnsi="宋体"/>
          <w:color w:val="000000"/>
          <w:spacing w:val="20"/>
          <w:kern w:val="10"/>
          <w:sz w:val="23"/>
          <w:szCs w:val="23"/>
        </w:rPr>
      </w:pPr>
      <w:r>
        <w:rPr>
          <w:rFonts w:hint="default" w:ascii="宋体" w:hAnsi="宋体"/>
          <w:color w:val="000000"/>
          <w:spacing w:val="20"/>
          <w:kern w:val="10"/>
          <w:sz w:val="23"/>
          <w:szCs w:val="23"/>
        </w:rPr>
        <w:t>（三）申请竞买</w:t>
      </w:r>
    </w:p>
    <w:p>
      <w:pPr>
        <w:spacing w:line="400" w:lineRule="exact"/>
        <w:ind w:firstLine="540" w:firstLineChars="200"/>
        <w:rPr>
          <w:rFonts w:hint="default" w:ascii="宋体" w:hAnsi="宋体"/>
          <w:color w:val="000000"/>
          <w:spacing w:val="20"/>
          <w:kern w:val="10"/>
          <w:sz w:val="23"/>
          <w:szCs w:val="23"/>
        </w:rPr>
      </w:pPr>
      <w:r>
        <w:rPr>
          <w:rFonts w:hint="default" w:ascii="宋体" w:hAnsi="宋体"/>
          <w:color w:val="000000"/>
          <w:spacing w:val="20"/>
          <w:kern w:val="10"/>
          <w:sz w:val="23"/>
          <w:szCs w:val="23"/>
        </w:rPr>
        <w:t>竞买申请人网上注册后，登录统一用户中心，在深圳土地矿业权交易平台选择意向竞买的宗地，提出竞买申请。</w:t>
      </w:r>
    </w:p>
    <w:p>
      <w:pPr>
        <w:spacing w:line="400" w:lineRule="exact"/>
        <w:ind w:firstLine="540" w:firstLineChars="200"/>
        <w:rPr>
          <w:rFonts w:hint="default" w:ascii="宋体" w:hAnsi="宋体"/>
          <w:color w:val="000000"/>
          <w:spacing w:val="20"/>
          <w:kern w:val="10"/>
          <w:sz w:val="23"/>
          <w:szCs w:val="23"/>
        </w:rPr>
      </w:pPr>
      <w:r>
        <w:rPr>
          <w:rFonts w:hint="default" w:ascii="宋体" w:hAnsi="宋体"/>
          <w:color w:val="000000"/>
          <w:spacing w:val="20"/>
          <w:kern w:val="10"/>
          <w:sz w:val="23"/>
          <w:szCs w:val="23"/>
        </w:rPr>
        <w:t>（四）交纳竞买（投标）保证金</w:t>
      </w:r>
    </w:p>
    <w:p>
      <w:pPr>
        <w:spacing w:line="400" w:lineRule="exact"/>
        <w:ind w:firstLine="540" w:firstLineChars="200"/>
        <w:rPr>
          <w:rFonts w:hint="default" w:ascii="宋体" w:hAnsi="宋体"/>
          <w:color w:val="000000"/>
          <w:spacing w:val="20"/>
          <w:kern w:val="10"/>
          <w:sz w:val="23"/>
          <w:szCs w:val="23"/>
        </w:rPr>
      </w:pPr>
      <w:r>
        <w:rPr>
          <w:rFonts w:hint="default" w:ascii="宋体" w:hAnsi="宋体"/>
          <w:color w:val="000000"/>
          <w:spacing w:val="20"/>
          <w:kern w:val="10"/>
          <w:sz w:val="23"/>
          <w:szCs w:val="23"/>
        </w:rPr>
        <w:t>竞买申请人提出竞买申请后，按入账申请单提示交纳竞买（投标）保证金，竞买（投标）保证金不得由其他单位或个人代交。具体详见操作指引。</w:t>
      </w:r>
    </w:p>
    <w:p>
      <w:pPr>
        <w:spacing w:line="400" w:lineRule="exact"/>
        <w:ind w:firstLine="540" w:firstLineChars="200"/>
        <w:rPr>
          <w:rFonts w:hint="default" w:ascii="宋体" w:hAnsi="宋体"/>
          <w:color w:val="000000"/>
          <w:spacing w:val="20"/>
          <w:kern w:val="10"/>
          <w:sz w:val="23"/>
          <w:szCs w:val="23"/>
        </w:rPr>
      </w:pPr>
      <w:r>
        <w:rPr>
          <w:rFonts w:hint="default" w:ascii="宋体" w:hAnsi="宋体"/>
          <w:color w:val="000000"/>
          <w:spacing w:val="20"/>
          <w:kern w:val="10"/>
          <w:sz w:val="23"/>
          <w:szCs w:val="23"/>
        </w:rPr>
        <w:t>竞买申请人可通过深圳土地矿业权交易平台及时查询竞买（投标）保证金到账情况。竞买（投标）保证金的到账截止时间为2022年12月</w:t>
      </w:r>
      <w:r>
        <w:rPr>
          <w:rFonts w:hint="eastAsia" w:ascii="宋体" w:hAnsi="宋体"/>
          <w:color w:val="000000"/>
          <w:spacing w:val="20"/>
          <w:kern w:val="10"/>
          <w:sz w:val="23"/>
          <w:szCs w:val="23"/>
          <w:lang w:val="en-US" w:eastAsia="zh-CN"/>
        </w:rPr>
        <w:t>18</w:t>
      </w:r>
      <w:r>
        <w:rPr>
          <w:rFonts w:hint="default" w:ascii="宋体" w:hAnsi="宋体"/>
          <w:color w:val="000000"/>
          <w:spacing w:val="20"/>
          <w:kern w:val="10"/>
          <w:sz w:val="23"/>
          <w:szCs w:val="23"/>
        </w:rPr>
        <w:t>日15时整（以深圳土地矿业权交易平台网站显示的银行到账时间为准）。      </w:t>
      </w:r>
    </w:p>
    <w:p>
      <w:pPr>
        <w:spacing w:line="400" w:lineRule="exact"/>
        <w:ind w:firstLine="540" w:firstLineChars="200"/>
        <w:rPr>
          <w:rFonts w:hint="default" w:ascii="宋体" w:hAnsi="宋体"/>
          <w:color w:val="000000"/>
          <w:spacing w:val="20"/>
          <w:kern w:val="10"/>
          <w:sz w:val="23"/>
          <w:szCs w:val="23"/>
        </w:rPr>
      </w:pPr>
      <w:r>
        <w:rPr>
          <w:rFonts w:hint="default" w:ascii="宋体" w:hAnsi="宋体"/>
          <w:color w:val="000000"/>
          <w:spacing w:val="20"/>
          <w:kern w:val="10"/>
          <w:sz w:val="23"/>
          <w:szCs w:val="23"/>
        </w:rPr>
        <w:t>（五）申请确认竞买资格</w:t>
      </w:r>
    </w:p>
    <w:p>
      <w:pPr>
        <w:spacing w:line="400" w:lineRule="exact"/>
        <w:ind w:firstLine="540" w:firstLineChars="200"/>
        <w:rPr>
          <w:rFonts w:hint="default" w:ascii="宋体" w:hAnsi="宋体"/>
          <w:color w:val="000000"/>
          <w:spacing w:val="20"/>
          <w:kern w:val="10"/>
          <w:sz w:val="23"/>
          <w:szCs w:val="23"/>
        </w:rPr>
      </w:pPr>
      <w:r>
        <w:rPr>
          <w:rFonts w:hint="default" w:ascii="宋体" w:hAnsi="宋体"/>
          <w:color w:val="000000"/>
          <w:spacing w:val="20"/>
          <w:kern w:val="10"/>
          <w:sz w:val="23"/>
          <w:szCs w:val="23"/>
        </w:rPr>
        <w:t>竞买申请人按时足额交纳竞买（投标）保证金后，可登录深圳土地矿业权交易平台网站查看《竞买申请受理回执》并打印该回执，2022年12月</w:t>
      </w:r>
      <w:r>
        <w:rPr>
          <w:rFonts w:hint="eastAsia" w:ascii="宋体" w:hAnsi="宋体"/>
          <w:color w:val="000000"/>
          <w:spacing w:val="20"/>
          <w:kern w:val="10"/>
          <w:sz w:val="23"/>
          <w:szCs w:val="23"/>
          <w:lang w:val="en-US" w:eastAsia="zh-CN"/>
        </w:rPr>
        <w:t>20</w:t>
      </w:r>
      <w:r>
        <w:rPr>
          <w:rFonts w:hint="default" w:ascii="宋体" w:hAnsi="宋体"/>
          <w:color w:val="000000"/>
          <w:spacing w:val="20"/>
          <w:kern w:val="10"/>
          <w:sz w:val="23"/>
          <w:szCs w:val="23"/>
        </w:rPr>
        <w:t>日14时30分前（工作日），到交易大厦3楼土地业务受理窗口提交书面材料，申请确认竞买资格。申请确认竞买资格须提交的材料详见《深圳市土地使用权挂牌出让竞买须知》（以下简称《竞买须知》）。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五、确定竞得人的办法</w:t>
      </w:r>
    </w:p>
    <w:p>
      <w:pPr>
        <w:spacing w:line="400" w:lineRule="exact"/>
        <w:ind w:firstLine="540" w:firstLineChars="200"/>
        <w:rPr>
          <w:rFonts w:hint="default" w:ascii="宋体" w:hAnsi="宋体"/>
          <w:color w:val="000000"/>
          <w:spacing w:val="20"/>
          <w:kern w:val="10"/>
          <w:sz w:val="23"/>
          <w:szCs w:val="23"/>
        </w:rPr>
      </w:pPr>
      <w:r>
        <w:rPr>
          <w:rFonts w:hint="default" w:ascii="宋体" w:hAnsi="宋体"/>
          <w:color w:val="000000"/>
          <w:spacing w:val="20"/>
          <w:kern w:val="10"/>
          <w:sz w:val="23"/>
          <w:szCs w:val="23"/>
        </w:rPr>
        <w:t>深圳土地矿业权交易平台在挂牌期内（工作日）接受竞买人的电脑报价，电脑报价截止时间为2022年12月</w:t>
      </w:r>
      <w:r>
        <w:rPr>
          <w:rFonts w:hint="eastAsia" w:ascii="宋体" w:hAnsi="宋体"/>
          <w:color w:val="000000"/>
          <w:spacing w:val="20"/>
          <w:kern w:val="10"/>
          <w:sz w:val="23"/>
          <w:szCs w:val="23"/>
          <w:lang w:val="en-US" w:eastAsia="zh-CN"/>
        </w:rPr>
        <w:t>20</w:t>
      </w:r>
      <w:r>
        <w:rPr>
          <w:rFonts w:hint="default" w:ascii="宋体" w:hAnsi="宋体"/>
          <w:color w:val="000000"/>
          <w:spacing w:val="20"/>
          <w:kern w:val="10"/>
          <w:sz w:val="23"/>
          <w:szCs w:val="23"/>
        </w:rPr>
        <w:t>日15时整。竞买人如需进行电脑报价，应到交易大厦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六、成交确认</w:t>
      </w:r>
    </w:p>
    <w:p>
      <w:pPr>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竞得人应在成交后即时签订《成交确认书》。</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七、竞买资格条件核实</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竞得人应自签订《成交确认书》之日起5个工作日内，向坪山区投资推广服务署提出竞买资格条件核实申请。</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八、签订</w:t>
      </w:r>
      <w:r>
        <w:rPr>
          <w:rFonts w:hint="eastAsia" w:ascii="宋体" w:hAnsi="宋体" w:eastAsia="宋体" w:cs="Times New Roman"/>
          <w:b/>
          <w:color w:val="000000"/>
          <w:spacing w:val="20"/>
          <w:kern w:val="10"/>
          <w:sz w:val="23"/>
          <w:szCs w:val="23"/>
          <w:highlight w:val="none"/>
          <w:lang w:val="en-US" w:eastAsia="zh-CN"/>
        </w:rPr>
        <w:t>监管协议</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经审查，符合竞买资格条件的竞得人，应自签订《成交确认书》之日起10个工作日内，与坪山区投资推广服务署签订</w:t>
      </w:r>
      <w:r>
        <w:rPr>
          <w:rFonts w:hint="eastAsia" w:ascii="宋体" w:hAnsi="宋体" w:cs="Times New Roman"/>
          <w:color w:val="000000"/>
          <w:spacing w:val="20"/>
          <w:kern w:val="10"/>
          <w:sz w:val="23"/>
          <w:szCs w:val="23"/>
          <w:highlight w:val="none"/>
          <w:lang w:val="en-US" w:eastAsia="zh-CN"/>
        </w:rPr>
        <w:t>产业</w:t>
      </w:r>
      <w:r>
        <w:rPr>
          <w:rFonts w:hint="eastAsia" w:ascii="宋体" w:hAnsi="宋体" w:eastAsia="宋体" w:cs="Times New Roman"/>
          <w:color w:val="000000"/>
          <w:spacing w:val="20"/>
          <w:kern w:val="10"/>
          <w:sz w:val="23"/>
          <w:szCs w:val="23"/>
          <w:highlight w:val="none"/>
          <w:lang w:val="en-US" w:eastAsia="zh-CN"/>
        </w:rPr>
        <w:t>监管协议</w:t>
      </w:r>
      <w:r>
        <w:rPr>
          <w:rFonts w:hint="eastAsia" w:ascii="宋体" w:hAnsi="宋体" w:eastAsia="宋体" w:cs="Times New Roman"/>
          <w:color w:val="000000"/>
          <w:spacing w:val="20"/>
          <w:kern w:val="10"/>
          <w:sz w:val="23"/>
          <w:szCs w:val="23"/>
          <w:highlight w:val="none"/>
        </w:rPr>
        <w:t>。</w:t>
      </w:r>
    </w:p>
    <w:p>
      <w:pPr>
        <w:spacing w:line="400" w:lineRule="exact"/>
        <w:ind w:firstLine="542" w:firstLineChars="200"/>
        <w:rPr>
          <w:rFonts w:ascii="宋体" w:hAnsi="宋体" w:eastAsia="宋体" w:cs="Times New Roman"/>
          <w:b/>
          <w:color w:val="000000"/>
          <w:spacing w:val="20"/>
          <w:kern w:val="10"/>
          <w:sz w:val="23"/>
          <w:szCs w:val="23"/>
          <w:highlight w:val="none"/>
        </w:rPr>
      </w:pPr>
      <w:r>
        <w:rPr>
          <w:rFonts w:hint="eastAsia" w:ascii="宋体" w:hAnsi="宋体" w:eastAsia="宋体" w:cs="Times New Roman"/>
          <w:b/>
          <w:color w:val="000000"/>
          <w:spacing w:val="20"/>
          <w:kern w:val="10"/>
          <w:sz w:val="23"/>
          <w:szCs w:val="23"/>
          <w:highlight w:val="none"/>
        </w:rPr>
        <w:t>九、签订出让合同</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已通过竞买资格条件核实的竞得人，应自签订《成交确认书》之日起15个工作日内，持《成交确认书》</w:t>
      </w:r>
      <w:r>
        <w:rPr>
          <w:rFonts w:hint="eastAsia" w:ascii="宋体" w:hAnsi="宋体" w:cs="Times New Roman"/>
          <w:color w:val="000000"/>
          <w:spacing w:val="20"/>
          <w:kern w:val="10"/>
          <w:sz w:val="23"/>
          <w:szCs w:val="23"/>
          <w:highlight w:val="none"/>
          <w:lang w:eastAsia="zh-CN"/>
        </w:rPr>
        <w:t>、</w:t>
      </w:r>
      <w:r>
        <w:rPr>
          <w:rFonts w:hint="eastAsia" w:ascii="宋体" w:hAnsi="宋体" w:eastAsia="宋体" w:cs="Times New Roman"/>
          <w:color w:val="000000"/>
          <w:spacing w:val="20"/>
          <w:kern w:val="10"/>
          <w:sz w:val="23"/>
          <w:szCs w:val="23"/>
          <w:highlight w:val="none"/>
        </w:rPr>
        <w:t>竞买资格条件核实文件</w:t>
      </w:r>
      <w:r>
        <w:rPr>
          <w:rFonts w:hint="eastAsia" w:ascii="宋体" w:hAnsi="宋体" w:cs="Times New Roman"/>
          <w:color w:val="000000"/>
          <w:spacing w:val="20"/>
          <w:kern w:val="10"/>
          <w:sz w:val="23"/>
          <w:szCs w:val="23"/>
          <w:highlight w:val="none"/>
          <w:lang w:val="en-US" w:eastAsia="zh-CN"/>
        </w:rPr>
        <w:t>和</w:t>
      </w:r>
      <w:r>
        <w:rPr>
          <w:rFonts w:hint="eastAsia" w:ascii="宋体" w:hAnsi="宋体"/>
          <w:color w:val="000000"/>
          <w:spacing w:val="20"/>
          <w:kern w:val="10"/>
          <w:sz w:val="23"/>
          <w:szCs w:val="23"/>
        </w:rPr>
        <w:t>产业监管协议</w:t>
      </w:r>
      <w:r>
        <w:rPr>
          <w:rFonts w:hint="eastAsia" w:ascii="宋体" w:hAnsi="宋体" w:eastAsia="宋体" w:cs="Times New Roman"/>
          <w:color w:val="000000"/>
          <w:spacing w:val="20"/>
          <w:kern w:val="10"/>
          <w:sz w:val="23"/>
          <w:szCs w:val="23"/>
          <w:highlight w:val="none"/>
        </w:rPr>
        <w:t>，向市规划和自然资源局坪山管理局申请签订《出让合同》。</w:t>
      </w: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spacing w:val="20"/>
          <w:kern w:val="10"/>
          <w:sz w:val="23"/>
          <w:szCs w:val="23"/>
          <w:highlight w:val="none"/>
        </w:rPr>
        <w:t>未通过竞买资格条件核实的竞得人，取消其竞得资格，竞买（投标）保证金不予退还。</w:t>
      </w:r>
    </w:p>
    <w:p>
      <w:pPr>
        <w:spacing w:line="400" w:lineRule="exact"/>
        <w:ind w:firstLine="542"/>
        <w:rPr>
          <w:rFonts w:ascii="宋体" w:hAnsi="宋体"/>
          <w:b/>
          <w:color w:val="000000"/>
          <w:spacing w:val="20"/>
          <w:kern w:val="10"/>
          <w:sz w:val="23"/>
          <w:szCs w:val="23"/>
        </w:rPr>
      </w:pPr>
      <w:r>
        <w:rPr>
          <w:rFonts w:hint="eastAsia" w:ascii="宋体" w:hAnsi="宋体"/>
          <w:b/>
          <w:color w:val="000000"/>
          <w:spacing w:val="20"/>
          <w:kern w:val="10"/>
          <w:sz w:val="23"/>
          <w:szCs w:val="23"/>
          <w:lang w:val="en-US" w:eastAsia="zh-CN"/>
        </w:rPr>
        <w:t>十</w:t>
      </w:r>
      <w:r>
        <w:rPr>
          <w:rFonts w:hint="eastAsia" w:ascii="宋体" w:hAnsi="宋体"/>
          <w:b/>
          <w:color w:val="000000"/>
          <w:spacing w:val="20"/>
          <w:kern w:val="10"/>
          <w:sz w:val="23"/>
          <w:szCs w:val="23"/>
        </w:rPr>
        <w:t>、其他</w:t>
      </w:r>
    </w:p>
    <w:p>
      <w:pPr>
        <w:spacing w:line="440" w:lineRule="exact"/>
        <w:ind w:firstLine="540" w:firstLineChars="200"/>
        <w:rPr>
          <w:rFonts w:ascii="宋体" w:hAnsi="宋体"/>
          <w:color w:val="000000"/>
          <w:spacing w:val="20"/>
          <w:kern w:val="10"/>
          <w:sz w:val="23"/>
          <w:szCs w:val="23"/>
        </w:rPr>
      </w:pPr>
      <w:r>
        <w:rPr>
          <w:rFonts w:hint="eastAsia" w:ascii="宋体" w:hAnsi="宋体" w:eastAsia="宋体" w:cs="Times New Roman"/>
          <w:color w:val="000000"/>
          <w:spacing w:val="20"/>
          <w:kern w:val="10"/>
          <w:sz w:val="23"/>
          <w:szCs w:val="23"/>
          <w:highlight w:val="none"/>
        </w:rPr>
        <w:t>本公告内容如有调整，将在深圳公共资源交易公共服务平台网站发布补充公告。本公告有关详细资料请参阅挂牌出让文件（包括但不限于本公告、《竞买须知》《成交确认书》《出让合同》、产业发展监管协议、《国有土地使用权出让收入缴款及竞买保证金退转操作指引》等）。本公告同时在深圳市规划和自然资源局、深圳公共资源交易公共服务平台网站发布，挂牌出让文件可在深圳公共资源交易公共服务平台网站下载。需咨询本次出让程序相关问题的，可以书面方式向深圳交易集团有限公司土地矿业权业务分公司提出；其他相关问题，请迳向相关职能部门提出。</w:t>
      </w:r>
    </w:p>
    <w:p>
      <w:pPr>
        <w:spacing w:line="400" w:lineRule="atLeast"/>
        <w:ind w:firstLine="540" w:firstLineChars="200"/>
        <w:rPr>
          <w:rFonts w:hint="eastAsia" w:ascii="宋体" w:hAnsi="宋体"/>
          <w:color w:val="000000"/>
          <w:spacing w:val="20"/>
          <w:kern w:val="10"/>
          <w:sz w:val="23"/>
          <w:szCs w:val="23"/>
        </w:rPr>
      </w:pPr>
    </w:p>
    <w:p>
      <w:pPr>
        <w:spacing w:line="400" w:lineRule="atLeas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深圳市规划和自然资源局坪山管理局</w:t>
      </w:r>
      <w:r>
        <w:rPr>
          <w:rFonts w:hint="eastAsia" w:ascii="宋体" w:hAnsi="宋体"/>
          <w:color w:val="000000"/>
          <w:spacing w:val="20"/>
          <w:kern w:val="10"/>
          <w:sz w:val="23"/>
          <w:szCs w:val="23"/>
          <w:lang w:val="en-US" w:eastAsia="zh-CN"/>
        </w:rPr>
        <w:t xml:space="preserve"> </w:t>
      </w:r>
      <w:r>
        <w:rPr>
          <w:rFonts w:hint="eastAsia" w:ascii="宋体" w:hAnsi="宋体"/>
          <w:color w:val="000000"/>
          <w:spacing w:val="20"/>
          <w:kern w:val="10"/>
          <w:sz w:val="23"/>
          <w:szCs w:val="23"/>
        </w:rPr>
        <w:t>地址：深圳市坪山区</w:t>
      </w:r>
      <w:r>
        <w:rPr>
          <w:rFonts w:hint="eastAsia" w:ascii="宋体" w:hAnsi="宋体"/>
          <w:color w:val="000000"/>
          <w:spacing w:val="20"/>
          <w:kern w:val="10"/>
          <w:sz w:val="23"/>
          <w:szCs w:val="23"/>
          <w:lang w:val="en-US" w:eastAsia="zh-CN"/>
        </w:rPr>
        <w:t>坪慧</w:t>
      </w:r>
      <w:r>
        <w:rPr>
          <w:rFonts w:hint="eastAsia" w:ascii="宋体" w:hAnsi="宋体"/>
          <w:color w:val="000000"/>
          <w:spacing w:val="20"/>
          <w:kern w:val="10"/>
          <w:sz w:val="23"/>
          <w:szCs w:val="23"/>
        </w:rPr>
        <w:t>路6号；咨询电话：（0755）28297925。</w:t>
      </w:r>
    </w:p>
    <w:p>
      <w:pPr>
        <w:spacing w:line="44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深圳市坪山区投资推广服务署</w:t>
      </w:r>
      <w:r>
        <w:rPr>
          <w:rFonts w:hint="eastAsia" w:ascii="宋体" w:hAnsi="宋体"/>
          <w:color w:val="000000"/>
          <w:spacing w:val="20"/>
          <w:kern w:val="10"/>
          <w:sz w:val="23"/>
          <w:szCs w:val="23"/>
          <w:lang w:val="en-US" w:eastAsia="zh-CN"/>
        </w:rPr>
        <w:t xml:space="preserve"> </w:t>
      </w:r>
      <w:r>
        <w:rPr>
          <w:rFonts w:hint="eastAsia" w:ascii="宋体" w:hAnsi="宋体"/>
          <w:color w:val="000000"/>
          <w:spacing w:val="20"/>
          <w:kern w:val="10"/>
          <w:sz w:val="23"/>
          <w:szCs w:val="23"/>
        </w:rPr>
        <w:t>地址：深圳市坪山区坪山大道333号区委区政府523室；咨询电话：（0755）</w:t>
      </w:r>
      <w:r>
        <w:rPr>
          <w:rFonts w:ascii="宋体" w:hAnsi="宋体"/>
          <w:color w:val="000000"/>
          <w:spacing w:val="20"/>
          <w:kern w:val="10"/>
          <w:sz w:val="23"/>
          <w:szCs w:val="23"/>
        </w:rPr>
        <w:t>84622752</w:t>
      </w:r>
      <w:r>
        <w:rPr>
          <w:rFonts w:hint="eastAsia" w:ascii="宋体" w:hAnsi="宋体"/>
          <w:color w:val="000000"/>
          <w:spacing w:val="20"/>
          <w:kern w:val="10"/>
          <w:sz w:val="23"/>
          <w:szCs w:val="23"/>
        </w:rPr>
        <w:t>。</w:t>
      </w:r>
    </w:p>
    <w:p>
      <w:pPr>
        <w:spacing w:line="400" w:lineRule="atLeast"/>
        <w:ind w:firstLine="540" w:firstLineChars="200"/>
        <w:rPr>
          <w:rFonts w:hint="eastAsia" w:ascii="宋体" w:hAnsi="宋体"/>
          <w:color w:val="000000"/>
          <w:spacing w:val="20"/>
          <w:kern w:val="10"/>
          <w:sz w:val="23"/>
          <w:szCs w:val="23"/>
        </w:rPr>
      </w:pPr>
      <w:r>
        <w:rPr>
          <w:rFonts w:hint="default" w:ascii="宋体" w:hAnsi="宋体"/>
          <w:color w:val="000000"/>
          <w:spacing w:val="20"/>
          <w:kern w:val="10"/>
          <w:sz w:val="23"/>
          <w:szCs w:val="23"/>
        </w:rPr>
        <w:t>深圳交易集团有限公司土地矿业权业务分公司</w:t>
      </w:r>
      <w:r>
        <w:rPr>
          <w:rFonts w:hint="default" w:ascii="宋体" w:hAnsi="宋体"/>
          <w:color w:val="000000"/>
          <w:spacing w:val="20"/>
          <w:kern w:val="10"/>
          <w:sz w:val="23"/>
          <w:szCs w:val="23"/>
          <w:lang w:val="en-IE"/>
        </w:rPr>
        <w:t xml:space="preserve"> </w:t>
      </w:r>
      <w:r>
        <w:rPr>
          <w:rFonts w:hint="default" w:ascii="宋体" w:hAnsi="宋体"/>
          <w:color w:val="000000"/>
          <w:spacing w:val="20"/>
          <w:kern w:val="10"/>
          <w:sz w:val="23"/>
          <w:szCs w:val="23"/>
        </w:rPr>
        <w:t>地址：深圳市福田区红荔西路8007号土地房产交易大厦3楼；咨询电话：（0755）82713074、（0755）82713274；网址：</w:t>
      </w:r>
      <w:r>
        <w:rPr>
          <w:rFonts w:hint="default" w:ascii="宋体" w:hAnsi="宋体"/>
          <w:color w:val="000000"/>
          <w:spacing w:val="20"/>
          <w:kern w:val="10"/>
          <w:sz w:val="23"/>
          <w:szCs w:val="23"/>
        </w:rPr>
        <w:fldChar w:fldCharType="begin"/>
      </w:r>
      <w:r>
        <w:rPr>
          <w:rFonts w:hint="default" w:ascii="宋体" w:hAnsi="宋体"/>
          <w:color w:val="000000"/>
          <w:spacing w:val="20"/>
          <w:kern w:val="10"/>
          <w:sz w:val="23"/>
          <w:szCs w:val="23"/>
        </w:rPr>
        <w:instrText xml:space="preserve"> HYPERLINK "https://new.szggzy.com/jygg/list.html?id=tdky" </w:instrText>
      </w:r>
      <w:r>
        <w:rPr>
          <w:rFonts w:hint="default" w:ascii="宋体" w:hAnsi="宋体"/>
          <w:color w:val="000000"/>
          <w:spacing w:val="20"/>
          <w:kern w:val="10"/>
          <w:sz w:val="23"/>
          <w:szCs w:val="23"/>
        </w:rPr>
        <w:fldChar w:fldCharType="separate"/>
      </w:r>
      <w:r>
        <w:rPr>
          <w:rFonts w:hint="default" w:ascii="宋体" w:hAnsi="宋体"/>
          <w:color w:val="000000"/>
          <w:spacing w:val="20"/>
          <w:kern w:val="10"/>
          <w:sz w:val="23"/>
          <w:szCs w:val="23"/>
        </w:rPr>
        <w:t>https://new.szggzy.com/jygg/list.html?id=tdky</w:t>
      </w:r>
      <w:r>
        <w:rPr>
          <w:rFonts w:hint="default" w:ascii="宋体" w:hAnsi="宋体"/>
          <w:color w:val="000000"/>
          <w:spacing w:val="20"/>
          <w:kern w:val="10"/>
          <w:sz w:val="23"/>
          <w:szCs w:val="23"/>
        </w:rPr>
        <w:fldChar w:fldCharType="end"/>
      </w:r>
      <w:r>
        <w:rPr>
          <w:rFonts w:hint="default" w:ascii="宋体" w:hAnsi="宋体"/>
          <w:color w:val="000000"/>
          <w:spacing w:val="20"/>
          <w:kern w:val="10"/>
          <w:sz w:val="23"/>
          <w:szCs w:val="23"/>
        </w:rPr>
        <w:t>。</w:t>
      </w:r>
    </w:p>
    <w:p>
      <w:pPr>
        <w:pStyle w:val="3"/>
        <w:keepNext w:val="0"/>
        <w:keepLines w:val="0"/>
        <w:widowControl/>
        <w:suppressLineNumbers w:val="0"/>
        <w:spacing w:before="0" w:beforeAutospacing="1" w:after="0" w:afterAutospacing="1"/>
        <w:ind w:left="0" w:right="0" w:firstLine="3800"/>
        <w:jc w:val="right"/>
        <w:rPr>
          <w:rFonts w:hint="eastAsia" w:ascii="宋体" w:hAnsi="宋体" w:eastAsia="宋体" w:cs="Times New Roman"/>
          <w:b/>
          <w:bCs/>
          <w:color w:val="000000"/>
          <w:spacing w:val="20"/>
          <w:kern w:val="10"/>
          <w:sz w:val="23"/>
          <w:szCs w:val="23"/>
          <w:highlight w:val="none"/>
          <w:lang w:val="en-US" w:eastAsia="zh-CN" w:bidi="ar-SA"/>
        </w:rPr>
      </w:pPr>
      <w:r>
        <w:rPr>
          <w:rFonts w:hint="default" w:ascii="MicrosoftYaHei" w:hAnsi="MicrosoftYaHei" w:eastAsia="MicrosoftYaHei" w:cs="MicrosoftYaHei"/>
          <w:i w:val="0"/>
          <w:iCs w:val="0"/>
          <w:caps w:val="0"/>
          <w:color w:val="000000"/>
          <w:spacing w:val="0"/>
          <w:sz w:val="27"/>
          <w:szCs w:val="27"/>
          <w:shd w:val="clear" w:fill="FFFFFF"/>
        </w:rPr>
        <w:t> </w:t>
      </w:r>
      <w:r>
        <w:rPr>
          <w:rFonts w:hint="eastAsia" w:ascii="宋体" w:hAnsi="宋体" w:eastAsia="宋体" w:cs="Times New Roman"/>
          <w:b/>
          <w:bCs/>
          <w:color w:val="000000"/>
          <w:spacing w:val="20"/>
          <w:kern w:val="10"/>
          <w:sz w:val="23"/>
          <w:szCs w:val="23"/>
          <w:highlight w:val="none"/>
          <w:lang w:val="en-US" w:eastAsia="zh-CN" w:bidi="ar-SA"/>
        </w:rPr>
        <w:t>出让人：深圳市规划和自然资源局坪山管理局</w:t>
      </w:r>
    </w:p>
    <w:p>
      <w:pPr>
        <w:pStyle w:val="3"/>
        <w:keepNext w:val="0"/>
        <w:keepLines w:val="0"/>
        <w:widowControl/>
        <w:suppressLineNumbers w:val="0"/>
        <w:spacing w:before="0" w:beforeAutospacing="1" w:after="0" w:afterAutospacing="1"/>
        <w:ind w:left="0" w:right="0" w:firstLine="3800"/>
        <w:jc w:val="right"/>
        <w:rPr>
          <w:rFonts w:hint="eastAsia" w:ascii="宋体" w:hAnsi="宋体" w:eastAsia="宋体" w:cs="Times New Roman"/>
          <w:b/>
          <w:bCs/>
          <w:color w:val="000000"/>
          <w:spacing w:val="20"/>
          <w:kern w:val="10"/>
          <w:sz w:val="23"/>
          <w:szCs w:val="23"/>
          <w:highlight w:val="none"/>
          <w:lang w:val="en-US" w:eastAsia="zh-CN" w:bidi="ar-SA"/>
        </w:rPr>
      </w:pPr>
      <w:r>
        <w:rPr>
          <w:rFonts w:hint="eastAsia" w:ascii="宋体" w:hAnsi="宋体" w:eastAsia="宋体" w:cs="Times New Roman"/>
          <w:b/>
          <w:bCs/>
          <w:color w:val="000000"/>
          <w:spacing w:val="20"/>
          <w:kern w:val="10"/>
          <w:sz w:val="23"/>
          <w:szCs w:val="23"/>
          <w:highlight w:val="none"/>
          <w:lang w:val="en-US" w:eastAsia="zh-CN" w:bidi="ar-SA"/>
        </w:rPr>
        <w:t>交易机构：深圳交易集团有限公司</w:t>
      </w:r>
    </w:p>
    <w:p>
      <w:pPr>
        <w:pStyle w:val="3"/>
        <w:keepNext w:val="0"/>
        <w:keepLines w:val="0"/>
        <w:widowControl/>
        <w:suppressLineNumbers w:val="0"/>
        <w:spacing w:before="0" w:beforeAutospacing="1" w:after="0" w:afterAutospacing="1"/>
        <w:ind w:left="0" w:right="0" w:firstLine="3800"/>
        <w:jc w:val="right"/>
        <w:rPr>
          <w:rFonts w:hint="eastAsia" w:ascii="宋体" w:hAnsi="宋体" w:eastAsia="宋体" w:cs="Times New Roman"/>
          <w:b/>
          <w:bCs/>
          <w:color w:val="000000"/>
          <w:spacing w:val="20"/>
          <w:kern w:val="10"/>
          <w:sz w:val="23"/>
          <w:szCs w:val="23"/>
          <w:highlight w:val="none"/>
          <w:lang w:val="en-US" w:eastAsia="zh-CN" w:bidi="ar-SA"/>
        </w:rPr>
      </w:pPr>
      <w:r>
        <w:rPr>
          <w:rFonts w:hint="eastAsia" w:ascii="宋体" w:hAnsi="宋体" w:eastAsia="宋体" w:cs="Times New Roman"/>
          <w:b/>
          <w:bCs/>
          <w:color w:val="000000"/>
          <w:spacing w:val="20"/>
          <w:kern w:val="10"/>
          <w:sz w:val="23"/>
          <w:szCs w:val="23"/>
          <w:highlight w:val="none"/>
          <w:lang w:val="en-US" w:eastAsia="zh-CN" w:bidi="ar-SA"/>
        </w:rPr>
        <w:t>（深圳公共资源交易中心）</w:t>
      </w:r>
    </w:p>
    <w:p>
      <w:pPr>
        <w:pStyle w:val="3"/>
        <w:keepNext w:val="0"/>
        <w:keepLines w:val="0"/>
        <w:widowControl/>
        <w:suppressLineNumbers w:val="0"/>
        <w:spacing w:before="0" w:beforeAutospacing="1" w:after="0" w:afterAutospacing="1"/>
        <w:ind w:left="0" w:right="0" w:firstLine="3800"/>
        <w:jc w:val="right"/>
        <w:rPr>
          <w:rFonts w:hint="eastAsia" w:ascii="宋体" w:hAnsi="宋体" w:eastAsia="宋体" w:cs="Times New Roman"/>
          <w:b/>
          <w:bCs/>
          <w:color w:val="000000"/>
          <w:spacing w:val="20"/>
          <w:kern w:val="10"/>
          <w:sz w:val="23"/>
          <w:szCs w:val="23"/>
          <w:highlight w:val="none"/>
          <w:lang w:val="en-US" w:eastAsia="zh-CN" w:bidi="ar-SA"/>
        </w:rPr>
      </w:pPr>
      <w:r>
        <w:rPr>
          <w:rFonts w:hint="eastAsia" w:ascii="宋体" w:hAnsi="宋体" w:eastAsia="宋体" w:cs="Times New Roman"/>
          <w:b/>
          <w:bCs/>
          <w:color w:val="000000"/>
          <w:spacing w:val="20"/>
          <w:kern w:val="10"/>
          <w:sz w:val="23"/>
          <w:szCs w:val="23"/>
          <w:highlight w:val="none"/>
          <w:lang w:val="en-US" w:eastAsia="zh-CN" w:bidi="ar-SA"/>
        </w:rPr>
        <w:t>2022年</w:t>
      </w:r>
      <w:r>
        <w:rPr>
          <w:rFonts w:hint="eastAsia" w:ascii="宋体" w:hAnsi="宋体" w:cs="Times New Roman"/>
          <w:b/>
          <w:bCs/>
          <w:color w:val="000000"/>
          <w:spacing w:val="20"/>
          <w:kern w:val="10"/>
          <w:sz w:val="23"/>
          <w:szCs w:val="23"/>
          <w:highlight w:val="none"/>
          <w:lang w:val="en-US" w:eastAsia="zh-CN" w:bidi="ar-SA"/>
        </w:rPr>
        <w:t>11</w:t>
      </w:r>
      <w:r>
        <w:rPr>
          <w:rFonts w:hint="eastAsia" w:ascii="宋体" w:hAnsi="宋体" w:eastAsia="宋体" w:cs="Times New Roman"/>
          <w:b/>
          <w:bCs/>
          <w:color w:val="000000"/>
          <w:spacing w:val="20"/>
          <w:kern w:val="10"/>
          <w:sz w:val="23"/>
          <w:szCs w:val="23"/>
          <w:highlight w:val="none"/>
          <w:lang w:val="en-US" w:eastAsia="zh-CN" w:bidi="ar-SA"/>
        </w:rPr>
        <w:t>月</w:t>
      </w:r>
      <w:r>
        <w:rPr>
          <w:rFonts w:hint="eastAsia" w:ascii="宋体" w:hAnsi="宋体" w:cs="Times New Roman"/>
          <w:b/>
          <w:bCs/>
          <w:color w:val="000000"/>
          <w:spacing w:val="20"/>
          <w:kern w:val="10"/>
          <w:sz w:val="23"/>
          <w:szCs w:val="23"/>
          <w:highlight w:val="none"/>
          <w:lang w:val="en-US" w:eastAsia="zh-CN" w:bidi="ar-SA"/>
        </w:rPr>
        <w:t>21</w:t>
      </w:r>
      <w:r>
        <w:rPr>
          <w:rFonts w:hint="eastAsia" w:ascii="宋体" w:hAnsi="宋体" w:eastAsia="宋体" w:cs="Times New Roman"/>
          <w:b/>
          <w:bCs/>
          <w:color w:val="000000"/>
          <w:spacing w:val="20"/>
          <w:kern w:val="10"/>
          <w:sz w:val="23"/>
          <w:szCs w:val="23"/>
          <w:highlight w:val="none"/>
          <w:lang w:val="en-US" w:eastAsia="zh-CN" w:bidi="ar-SA"/>
        </w:rPr>
        <w:t>日</w:t>
      </w:r>
    </w:p>
    <w:p/>
    <w:sectPr>
      <w:footerReference r:id="rId3" w:type="default"/>
      <w:footerReference r:id="rId4" w:type="even"/>
      <w:pgSz w:w="11907" w:h="16839"/>
      <w:pgMar w:top="1259" w:right="851" w:bottom="1616" w:left="1276"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XBSJW--GB1-0">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301AD"/>
    <w:rsid w:val="04EC12F9"/>
    <w:rsid w:val="09BC3ED2"/>
    <w:rsid w:val="0BEC58A2"/>
    <w:rsid w:val="0EED58E7"/>
    <w:rsid w:val="0F8E31E6"/>
    <w:rsid w:val="19CE684B"/>
    <w:rsid w:val="1B7C40A3"/>
    <w:rsid w:val="1C101301"/>
    <w:rsid w:val="1C6431DE"/>
    <w:rsid w:val="231757E2"/>
    <w:rsid w:val="23194B76"/>
    <w:rsid w:val="23702AB5"/>
    <w:rsid w:val="262175A9"/>
    <w:rsid w:val="27E003F2"/>
    <w:rsid w:val="2A771BDF"/>
    <w:rsid w:val="2D97682C"/>
    <w:rsid w:val="2EF22CEA"/>
    <w:rsid w:val="366E458F"/>
    <w:rsid w:val="3A1A272D"/>
    <w:rsid w:val="40926127"/>
    <w:rsid w:val="411D4123"/>
    <w:rsid w:val="439F7436"/>
    <w:rsid w:val="4DB65978"/>
    <w:rsid w:val="51F673C7"/>
    <w:rsid w:val="534744C4"/>
    <w:rsid w:val="55BC0E09"/>
    <w:rsid w:val="5B9873FD"/>
    <w:rsid w:val="5CAE298D"/>
    <w:rsid w:val="5E8301AD"/>
    <w:rsid w:val="60663C94"/>
    <w:rsid w:val="60714A8A"/>
    <w:rsid w:val="699D592F"/>
    <w:rsid w:val="7171360E"/>
    <w:rsid w:val="751D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 w:type="character" w:styleId="7">
    <w:name w:val="Hyperlink"/>
    <w:basedOn w:val="5"/>
    <w:qFormat/>
    <w:uiPriority w:val="0"/>
    <w:rPr>
      <w:color w:val="0000FF"/>
      <w:u w:val="single"/>
    </w:rPr>
  </w:style>
  <w:style w:type="character" w:customStyle="1" w:styleId="8">
    <w:name w:val="fontstyle01"/>
    <w:basedOn w:val="5"/>
    <w:uiPriority w:val="0"/>
    <w:rPr>
      <w:rFonts w:ascii="FZXBSJW--GB1-0" w:hAnsi="FZXBSJW--GB1-0" w:eastAsia="FZXBSJW--GB1-0" w:cs="FZXBSJW--GB1-0"/>
      <w:color w:val="000000"/>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2022-11-15T11:04:00Z</dcterms:created>
  <dc:creator>黄文琛</dc:creator>
  <cp:lastModifiedBy>PP</cp:lastModifiedBy>
  <dcterms:modified xsi:type="dcterms:W3CDTF">2022-11-18T02:46:04Z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96A8598C3A7E4D09914E0A87BD02EEC5</vt:lpwstr>
  </property>
</Properties>
</file>