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cs="Cambria Math"/>
          <w:kern w:val="0"/>
          <w:sz w:val="40"/>
          <w:szCs w:val="40"/>
        </w:rPr>
      </w:pPr>
      <w:r>
        <w:rPr>
          <w:rFonts w:ascii="黑体" w:hAnsi="黑体" w:eastAsia="黑体" w:cs="Cambria Math"/>
          <w:kern w:val="0"/>
          <w:sz w:val="40"/>
          <w:szCs w:val="40"/>
        </w:rPr>
        <w:t>深圳市前海深港现代服务业合作区</w:t>
      </w:r>
    </w:p>
    <w:p>
      <w:pPr>
        <w:widowControl/>
        <w:jc w:val="center"/>
        <w:rPr>
          <w:rFonts w:ascii="黑体" w:hAnsi="黑体" w:eastAsia="黑体" w:cs="Cambria Math"/>
          <w:kern w:val="0"/>
          <w:sz w:val="40"/>
          <w:szCs w:val="40"/>
        </w:rPr>
      </w:pPr>
      <w:r>
        <w:rPr>
          <w:rFonts w:ascii="黑体" w:hAnsi="黑体" w:eastAsia="黑体" w:cs="Cambria Math"/>
          <w:kern w:val="0"/>
          <w:sz w:val="40"/>
          <w:szCs w:val="40"/>
        </w:rPr>
        <w:t>土地使用权出让公告</w:t>
      </w:r>
    </w:p>
    <w:p>
      <w:pPr>
        <w:tabs>
          <w:tab w:val="left" w:pos="8460"/>
        </w:tabs>
        <w:spacing w:line="400" w:lineRule="exact"/>
        <w:jc w:val="center"/>
        <w:rPr>
          <w:rFonts w:ascii="汉仪书宋二简" w:hAnsi="Times New Roman" w:eastAsia="汉仪书宋二简" w:cs="Times New Roman"/>
          <w:spacing w:val="20"/>
          <w:w w:val="110"/>
          <w:kern w:val="10"/>
          <w:sz w:val="23"/>
          <w:szCs w:val="24"/>
        </w:rPr>
      </w:pPr>
      <w:r>
        <w:rPr>
          <w:rFonts w:ascii="汉仪书宋二简" w:hAnsi="Times New Roman" w:eastAsia="汉仪书宋二简" w:cs="Times New Roman"/>
          <w:spacing w:val="20"/>
          <w:w w:val="110"/>
          <w:kern w:val="10"/>
          <w:sz w:val="23"/>
          <w:szCs w:val="24"/>
        </w:rPr>
        <w:t>深土交告〔2022〕</w:t>
      </w:r>
      <w:r>
        <w:rPr>
          <w:rFonts w:hint="eastAsia" w:ascii="汉仪书宋二简" w:hAnsi="Times New Roman" w:eastAsia="汉仪书宋二简" w:cs="Times New Roman"/>
          <w:spacing w:val="20"/>
          <w:w w:val="110"/>
          <w:kern w:val="10"/>
          <w:sz w:val="23"/>
          <w:szCs w:val="24"/>
          <w:lang w:val="en-US" w:eastAsia="zh-CN"/>
        </w:rPr>
        <w:t>67</w:t>
      </w:r>
      <w:r>
        <w:rPr>
          <w:rFonts w:ascii="汉仪书宋二简" w:hAnsi="Times New Roman" w:eastAsia="汉仪书宋二简" w:cs="Times New Roman"/>
          <w:spacing w:val="20"/>
          <w:w w:val="110"/>
          <w:kern w:val="10"/>
          <w:sz w:val="23"/>
          <w:szCs w:val="24"/>
        </w:rPr>
        <w:t>号</w:t>
      </w:r>
    </w:p>
    <w:p>
      <w:pPr>
        <w:pStyle w:val="2"/>
        <w:spacing w:line="400" w:lineRule="exact"/>
        <w:ind w:firstLine="586" w:firstLineChars="200"/>
        <w:rPr>
          <w:color w:val="000000"/>
        </w:rPr>
      </w:pPr>
    </w:p>
    <w:p>
      <w:pPr>
        <w:pStyle w:val="2"/>
        <w:spacing w:line="480" w:lineRule="exact"/>
        <w:ind w:firstLine="429"/>
        <w:jc w:val="left"/>
        <w:rPr>
          <w:rFonts w:cs="汉仪书宋二简"/>
          <w:color w:val="000000"/>
        </w:rPr>
      </w:pPr>
      <w:r>
        <w:rPr>
          <w:rFonts w:hint="eastAsia"/>
          <w:color w:val="000000"/>
        </w:rPr>
        <w:t>根据有关法律、法规，深圳市前海深港现代服务业合作区管理局（以下简称市前海管理局）委托深圳交易集团有限公司（深圳公共资源交易中心），在深圳市福田区红荔西路8007号土地房产交易大厦（以下简称交易大厦）3楼，以挂牌方式公开出让</w:t>
      </w:r>
      <w:r>
        <w:rPr>
          <w:rFonts w:hint="default"/>
          <w:color w:val="000000"/>
        </w:rPr>
        <w:t>T102-0378</w:t>
      </w:r>
      <w:r>
        <w:rPr>
          <w:rFonts w:hint="eastAsia"/>
          <w:color w:val="000000"/>
        </w:rPr>
        <w:t>宗地</w:t>
      </w:r>
      <w:r>
        <w:rPr>
          <w:rFonts w:hint="default"/>
          <w:color w:val="000000"/>
        </w:rPr>
        <w:t>（</w:t>
      </w:r>
      <w:r>
        <w:rPr>
          <w:rFonts w:hint="eastAsia"/>
          <w:color w:val="000000"/>
        </w:rPr>
        <w:t>宗地代码</w:t>
      </w:r>
      <w:r>
        <w:rPr>
          <w:rFonts w:hint="default" w:hAnsi="汉仪书宋二简" w:cs="Times New Roman"/>
          <w:color w:val="000000"/>
          <w:sz w:val="23"/>
          <w:szCs w:val="23"/>
        </w:rPr>
        <w:t>440305201003GB00119</w:t>
      </w:r>
      <w:r>
        <w:rPr>
          <w:rFonts w:cs="Times New Roman"/>
          <w:color w:val="000000"/>
        </w:rPr>
        <w:t>，</w:t>
      </w:r>
      <w:r>
        <w:rPr>
          <w:color w:val="000000"/>
        </w:rPr>
        <w:t>以下简称本宗地</w:t>
      </w:r>
      <w:r>
        <w:rPr>
          <w:rFonts w:hint="default"/>
          <w:color w:val="000000"/>
        </w:rPr>
        <w:t>）</w:t>
      </w:r>
      <w:r>
        <w:rPr>
          <w:rFonts w:hint="eastAsia"/>
          <w:color w:val="000000"/>
        </w:rPr>
        <w:t>的使用权</w:t>
      </w:r>
      <w:r>
        <w:rPr>
          <w:rFonts w:hint="eastAsia"/>
          <w:color w:val="000000"/>
          <w:highlight w:val="none"/>
        </w:rPr>
        <w:t>，公告期自202</w:t>
      </w:r>
      <w:r>
        <w:rPr>
          <w:color w:val="000000"/>
          <w:highlight w:val="none"/>
        </w:rPr>
        <w:t>2</w:t>
      </w:r>
      <w:r>
        <w:rPr>
          <w:rFonts w:hint="eastAsia"/>
          <w:color w:val="000000"/>
          <w:highlight w:val="none"/>
        </w:rPr>
        <w:t>年</w:t>
      </w:r>
      <w:r>
        <w:rPr>
          <w:rFonts w:hint="default"/>
          <w:color w:val="000000"/>
          <w:highlight w:val="none"/>
          <w:lang w:eastAsia="zh-CN"/>
        </w:rPr>
        <w:t>11</w:t>
      </w:r>
      <w:r>
        <w:rPr>
          <w:rFonts w:hint="eastAsia"/>
          <w:color w:val="000000"/>
          <w:highlight w:val="none"/>
        </w:rPr>
        <w:t>月</w:t>
      </w:r>
      <w:r>
        <w:rPr>
          <w:rFonts w:hint="eastAsia"/>
          <w:color w:val="000000"/>
          <w:highlight w:val="none"/>
          <w:lang w:val="en-US" w:eastAsia="zh-CN"/>
        </w:rPr>
        <w:t>11</w:t>
      </w:r>
      <w:r>
        <w:rPr>
          <w:rFonts w:hint="eastAsia"/>
          <w:color w:val="000000"/>
          <w:highlight w:val="none"/>
        </w:rPr>
        <w:t>日至202</w:t>
      </w:r>
      <w:r>
        <w:rPr>
          <w:color w:val="000000"/>
          <w:highlight w:val="none"/>
        </w:rPr>
        <w:t>2</w:t>
      </w:r>
      <w:r>
        <w:rPr>
          <w:rFonts w:hint="eastAsia"/>
          <w:color w:val="000000"/>
          <w:highlight w:val="none"/>
        </w:rPr>
        <w:t>年</w:t>
      </w:r>
      <w:r>
        <w:rPr>
          <w:rFonts w:hint="default"/>
          <w:color w:val="000000"/>
          <w:highlight w:val="none"/>
        </w:rPr>
        <w:t>11</w:t>
      </w:r>
      <w:r>
        <w:rPr>
          <w:rFonts w:hint="eastAsia"/>
          <w:color w:val="000000"/>
          <w:highlight w:val="none"/>
        </w:rPr>
        <w:t>月</w:t>
      </w:r>
      <w:r>
        <w:rPr>
          <w:rFonts w:hint="eastAsia"/>
          <w:color w:val="000000"/>
          <w:highlight w:val="none"/>
          <w:lang w:val="en-US" w:eastAsia="zh-CN"/>
        </w:rPr>
        <w:t>30</w:t>
      </w:r>
      <w:r>
        <w:rPr>
          <w:rFonts w:hint="eastAsia"/>
          <w:color w:val="000000"/>
          <w:highlight w:val="none"/>
        </w:rPr>
        <w:t>日，挂牌期自202</w:t>
      </w:r>
      <w:r>
        <w:rPr>
          <w:color w:val="000000"/>
          <w:highlight w:val="none"/>
        </w:rPr>
        <w:t>2</w:t>
      </w:r>
      <w:r>
        <w:rPr>
          <w:rFonts w:hint="eastAsia"/>
          <w:color w:val="000000"/>
          <w:highlight w:val="none"/>
        </w:rPr>
        <w:t>年</w:t>
      </w:r>
      <w:r>
        <w:rPr>
          <w:rFonts w:hint="default"/>
          <w:color w:val="000000"/>
          <w:highlight w:val="none"/>
        </w:rPr>
        <w:t>12</w:t>
      </w:r>
      <w:r>
        <w:rPr>
          <w:rFonts w:hint="eastAsia"/>
          <w:color w:val="000000"/>
          <w:highlight w:val="none"/>
        </w:rPr>
        <w:t>月</w:t>
      </w:r>
      <w:r>
        <w:rPr>
          <w:rFonts w:hint="eastAsia"/>
          <w:color w:val="000000"/>
          <w:highlight w:val="none"/>
          <w:lang w:val="en-US" w:eastAsia="zh-CN"/>
        </w:rPr>
        <w:t>1</w:t>
      </w:r>
      <w:r>
        <w:rPr>
          <w:rFonts w:hint="eastAsia"/>
          <w:color w:val="000000"/>
          <w:highlight w:val="none"/>
        </w:rPr>
        <w:t>日至202</w:t>
      </w:r>
      <w:r>
        <w:rPr>
          <w:color w:val="000000"/>
          <w:highlight w:val="none"/>
        </w:rPr>
        <w:t>2</w:t>
      </w:r>
      <w:r>
        <w:rPr>
          <w:rFonts w:hint="eastAsia"/>
          <w:color w:val="000000"/>
          <w:highlight w:val="none"/>
        </w:rPr>
        <w:t>年</w:t>
      </w:r>
      <w:r>
        <w:rPr>
          <w:rFonts w:hint="default"/>
          <w:color w:val="000000"/>
          <w:highlight w:val="none"/>
          <w:lang w:eastAsia="zh-CN"/>
        </w:rPr>
        <w:t>12</w:t>
      </w:r>
      <w:r>
        <w:rPr>
          <w:rFonts w:hint="eastAsia"/>
          <w:color w:val="000000"/>
          <w:highlight w:val="none"/>
        </w:rPr>
        <w:t>月</w:t>
      </w:r>
      <w:r>
        <w:rPr>
          <w:rFonts w:hint="eastAsia"/>
          <w:color w:val="000000"/>
          <w:highlight w:val="none"/>
          <w:lang w:val="en-US" w:eastAsia="zh-CN"/>
        </w:rPr>
        <w:t>12</w:t>
      </w:r>
      <w:r>
        <w:rPr>
          <w:rFonts w:hint="eastAsia"/>
          <w:color w:val="000000"/>
          <w:highlight w:val="none"/>
        </w:rPr>
        <w:t>日1</w:t>
      </w:r>
      <w:r>
        <w:rPr>
          <w:rFonts w:hint="eastAsia"/>
          <w:color w:val="000000"/>
          <w:highlight w:val="none"/>
          <w:lang w:val="en-US" w:eastAsia="zh-CN"/>
        </w:rPr>
        <w:t>5</w:t>
      </w:r>
      <w:r>
        <w:rPr>
          <w:rFonts w:hint="eastAsia"/>
          <w:color w:val="000000"/>
          <w:highlight w:val="none"/>
        </w:rPr>
        <w:t>时止。</w:t>
      </w:r>
      <w:r>
        <w:rPr>
          <w:rFonts w:hint="eastAsia" w:cs="汉仪书宋二简"/>
          <w:color w:val="000000"/>
          <w:highlight w:val="none"/>
        </w:rPr>
        <w:t>现予公</w:t>
      </w:r>
      <w:r>
        <w:rPr>
          <w:rFonts w:hint="eastAsia" w:cs="汉仪书宋二简"/>
          <w:color w:val="000000"/>
        </w:rPr>
        <w:t>告。</w:t>
      </w:r>
    </w:p>
    <w:p>
      <w:pPr>
        <w:pStyle w:val="2"/>
        <w:spacing w:line="400" w:lineRule="exact"/>
        <w:ind w:firstLine="433"/>
        <w:jc w:val="left"/>
        <w:rPr>
          <w:color w:val="000000"/>
        </w:rPr>
      </w:pPr>
      <w:r>
        <w:rPr>
          <w:b/>
          <w:bCs/>
          <w:color w:val="000000"/>
        </w:rPr>
        <w:t>一、宗地情况</w:t>
      </w:r>
    </w:p>
    <w:tbl>
      <w:tblPr>
        <w:tblStyle w:val="7"/>
        <w:tblpPr w:leftFromText="180" w:rightFromText="180" w:vertAnchor="text" w:horzAnchor="page" w:tblpX="387" w:tblpY="247"/>
        <w:tblOverlap w:val="never"/>
        <w:tblW w:w="6199" w:type="pct"/>
        <w:tblCellSpacing w:w="0"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4"/>
        <w:gridCol w:w="989"/>
        <w:gridCol w:w="1280"/>
        <w:gridCol w:w="777"/>
        <w:gridCol w:w="930"/>
        <w:gridCol w:w="1270"/>
        <w:gridCol w:w="1100"/>
        <w:gridCol w:w="1433"/>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54" w:type="pct"/>
            <w:vAlign w:val="center"/>
          </w:tcPr>
          <w:p>
            <w:pPr>
              <w:tabs>
                <w:tab w:val="left" w:pos="8460"/>
              </w:tabs>
              <w:spacing w:line="36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宗地代码</w:t>
            </w:r>
          </w:p>
        </w:tc>
        <w:tc>
          <w:tcPr>
            <w:tcW w:w="479" w:type="pct"/>
            <w:vAlign w:val="center"/>
          </w:tcPr>
          <w:p>
            <w:pPr>
              <w:tabs>
                <w:tab w:val="left" w:pos="8460"/>
              </w:tabs>
              <w:spacing w:line="36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宗地号</w:t>
            </w:r>
          </w:p>
        </w:tc>
        <w:tc>
          <w:tcPr>
            <w:tcW w:w="619" w:type="pct"/>
            <w:vAlign w:val="center"/>
          </w:tcPr>
          <w:p>
            <w:pPr>
              <w:tabs>
                <w:tab w:val="left" w:pos="8460"/>
              </w:tabs>
              <w:spacing w:line="36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w:t>
            </w:r>
          </w:p>
          <w:p>
            <w:pPr>
              <w:tabs>
                <w:tab w:val="left" w:pos="8460"/>
              </w:tabs>
              <w:spacing w:line="36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位置</w:t>
            </w:r>
          </w:p>
        </w:tc>
        <w:tc>
          <w:tcPr>
            <w:tcW w:w="376" w:type="pct"/>
            <w:vAlign w:val="center"/>
          </w:tcPr>
          <w:p>
            <w:pPr>
              <w:tabs>
                <w:tab w:val="left" w:pos="8460"/>
              </w:tabs>
              <w:spacing w:line="36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w:t>
            </w:r>
          </w:p>
          <w:p>
            <w:pPr>
              <w:tabs>
                <w:tab w:val="left" w:pos="8460"/>
              </w:tabs>
              <w:spacing w:line="36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用途</w:t>
            </w:r>
          </w:p>
        </w:tc>
        <w:tc>
          <w:tcPr>
            <w:tcW w:w="450" w:type="pct"/>
            <w:vAlign w:val="center"/>
          </w:tcPr>
          <w:p>
            <w:pPr>
              <w:tabs>
                <w:tab w:val="left" w:pos="8460"/>
              </w:tabs>
              <w:spacing w:line="36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土地面积</w:t>
            </w:r>
          </w:p>
          <w:p>
            <w:pPr>
              <w:tabs>
                <w:tab w:val="left" w:pos="8460"/>
              </w:tabs>
              <w:spacing w:line="36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（平方米）</w:t>
            </w:r>
          </w:p>
        </w:tc>
        <w:tc>
          <w:tcPr>
            <w:tcW w:w="615" w:type="pct"/>
            <w:vAlign w:val="center"/>
          </w:tcPr>
          <w:p>
            <w:pPr>
              <w:tabs>
                <w:tab w:val="left" w:pos="8460"/>
              </w:tabs>
              <w:spacing w:line="36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总建筑面积（平方米）</w:t>
            </w:r>
          </w:p>
        </w:tc>
        <w:tc>
          <w:tcPr>
            <w:tcW w:w="532" w:type="pct"/>
            <w:vAlign w:val="center"/>
          </w:tcPr>
          <w:p>
            <w:pPr>
              <w:tabs>
                <w:tab w:val="left" w:pos="8460"/>
              </w:tabs>
              <w:spacing w:line="36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挂牌起始价（人民币、万元）</w:t>
            </w:r>
          </w:p>
        </w:tc>
        <w:tc>
          <w:tcPr>
            <w:tcW w:w="694" w:type="pct"/>
            <w:vAlign w:val="center"/>
          </w:tcPr>
          <w:p>
            <w:pPr>
              <w:tabs>
                <w:tab w:val="left" w:pos="8460"/>
              </w:tabs>
              <w:spacing w:line="36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竞买（投标）保证金（人民币、万元）</w:t>
            </w:r>
          </w:p>
        </w:tc>
        <w:tc>
          <w:tcPr>
            <w:tcW w:w="678" w:type="pct"/>
            <w:vAlign w:val="center"/>
          </w:tcPr>
          <w:p>
            <w:pPr>
              <w:tabs>
                <w:tab w:val="left" w:pos="8460"/>
              </w:tabs>
              <w:spacing w:line="360" w:lineRule="exact"/>
              <w:jc w:val="center"/>
              <w:rPr>
                <w:rFonts w:ascii="汉仪书宋二简" w:eastAsia="汉仪书宋二简"/>
                <w:b/>
                <w:color w:val="000000"/>
                <w:kern w:val="10"/>
                <w:sz w:val="20"/>
                <w:szCs w:val="20"/>
              </w:rPr>
            </w:pPr>
            <w:r>
              <w:rPr>
                <w:rFonts w:hint="eastAsia" w:ascii="汉仪书宋二简" w:eastAsia="汉仪书宋二简"/>
                <w:b/>
                <w:color w:val="000000"/>
                <w:kern w:val="10"/>
                <w:sz w:val="20"/>
                <w:szCs w:val="20"/>
              </w:rPr>
              <w:t>土地使用年限（年）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54" w:type="pct"/>
            <w:vAlign w:val="center"/>
          </w:tcPr>
          <w:p>
            <w:pPr>
              <w:widowControl/>
              <w:jc w:val="left"/>
              <w:rPr>
                <w:rFonts w:ascii="宋体" w:hAnsi="宋体" w:cs="宋体"/>
                <w:kern w:val="0"/>
                <w:sz w:val="18"/>
                <w:szCs w:val="20"/>
              </w:rPr>
            </w:pPr>
            <w:r>
              <w:rPr>
                <w:rFonts w:hint="eastAsia" w:ascii="宋体" w:hAnsi="宋体" w:cs="宋体"/>
                <w:kern w:val="0"/>
                <w:sz w:val="20"/>
                <w:szCs w:val="20"/>
              </w:rPr>
              <w:t>440305201003GB00119</w:t>
            </w:r>
          </w:p>
        </w:tc>
        <w:tc>
          <w:tcPr>
            <w:tcW w:w="479" w:type="pct"/>
            <w:vAlign w:val="center"/>
          </w:tcPr>
          <w:p>
            <w:pPr>
              <w:widowControl/>
              <w:jc w:val="center"/>
              <w:rPr>
                <w:rFonts w:hint="default" w:ascii="宋体" w:hAnsi="宋体" w:cs="宋体"/>
                <w:kern w:val="0"/>
                <w:sz w:val="20"/>
                <w:szCs w:val="20"/>
              </w:rPr>
            </w:pPr>
            <w:r>
              <w:rPr>
                <w:rFonts w:ascii="宋体" w:hAnsi="宋体" w:cs="宋体"/>
                <w:kern w:val="0"/>
                <w:sz w:val="20"/>
                <w:szCs w:val="20"/>
              </w:rPr>
              <w:t>T102-0</w:t>
            </w:r>
            <w:r>
              <w:rPr>
                <w:rFonts w:hint="default" w:ascii="宋体" w:hAnsi="宋体" w:cs="宋体"/>
                <w:kern w:val="0"/>
                <w:sz w:val="20"/>
                <w:szCs w:val="20"/>
              </w:rPr>
              <w:t>378</w:t>
            </w:r>
          </w:p>
        </w:tc>
        <w:tc>
          <w:tcPr>
            <w:tcW w:w="619" w:type="pct"/>
            <w:vAlign w:val="center"/>
          </w:tcPr>
          <w:p>
            <w:pPr>
              <w:widowControl/>
              <w:jc w:val="center"/>
              <w:rPr>
                <w:rFonts w:ascii="04b_21" w:hAnsi="04b_21"/>
                <w:kern w:val="0"/>
                <w:sz w:val="18"/>
                <w:szCs w:val="24"/>
              </w:rPr>
            </w:pPr>
            <w:r>
              <w:rPr>
                <w:rFonts w:hint="eastAsia" w:ascii="宋体" w:hAnsi="宋体" w:cs="宋体"/>
                <w:kern w:val="0"/>
                <w:sz w:val="20"/>
                <w:szCs w:val="20"/>
              </w:rPr>
              <w:t>前湾片区</w:t>
            </w:r>
            <w:r>
              <w:rPr>
                <w:rFonts w:hint="default" w:ascii="宋体" w:hAnsi="宋体" w:cs="宋体"/>
                <w:kern w:val="0"/>
                <w:sz w:val="20"/>
                <w:szCs w:val="20"/>
              </w:rPr>
              <w:t>十</w:t>
            </w:r>
            <w:r>
              <w:rPr>
                <w:rFonts w:hint="eastAsia" w:ascii="宋体" w:hAnsi="宋体" w:cs="宋体"/>
                <w:kern w:val="0"/>
                <w:sz w:val="20"/>
                <w:szCs w:val="20"/>
              </w:rPr>
              <w:t>单元0</w:t>
            </w:r>
            <w:r>
              <w:rPr>
                <w:rFonts w:hint="default" w:ascii="宋体" w:hAnsi="宋体" w:cs="宋体"/>
                <w:kern w:val="0"/>
                <w:sz w:val="20"/>
                <w:szCs w:val="20"/>
              </w:rPr>
              <w:t>1</w:t>
            </w:r>
            <w:r>
              <w:rPr>
                <w:rFonts w:hint="eastAsia" w:ascii="宋体" w:hAnsi="宋体" w:cs="宋体"/>
                <w:kern w:val="0"/>
                <w:sz w:val="20"/>
                <w:szCs w:val="20"/>
              </w:rPr>
              <w:t>街坊</w:t>
            </w:r>
          </w:p>
        </w:tc>
        <w:tc>
          <w:tcPr>
            <w:tcW w:w="376" w:type="pct"/>
            <w:vAlign w:val="center"/>
          </w:tcPr>
          <w:p>
            <w:pPr>
              <w:widowControl/>
              <w:jc w:val="center"/>
              <w:rPr>
                <w:rFonts w:ascii="04b_21" w:hAnsi="04b_21"/>
                <w:kern w:val="0"/>
                <w:sz w:val="18"/>
                <w:szCs w:val="24"/>
              </w:rPr>
            </w:pPr>
            <w:r>
              <w:rPr>
                <w:rFonts w:ascii="宋体" w:hAnsi="宋体" w:cs="宋体"/>
                <w:kern w:val="0"/>
                <w:sz w:val="20"/>
                <w:szCs w:val="20"/>
              </w:rPr>
              <w:t>新型产业用地</w:t>
            </w:r>
          </w:p>
        </w:tc>
        <w:tc>
          <w:tcPr>
            <w:tcW w:w="450" w:type="pct"/>
            <w:noWrap/>
            <w:vAlign w:val="center"/>
          </w:tcPr>
          <w:p>
            <w:pPr>
              <w:widowControl/>
              <w:jc w:val="center"/>
              <w:rPr>
                <w:rFonts w:hint="default" w:ascii="04b_21" w:hAnsi="04b_21"/>
                <w:kern w:val="0"/>
                <w:sz w:val="18"/>
                <w:szCs w:val="24"/>
              </w:rPr>
            </w:pPr>
            <w:r>
              <w:rPr>
                <w:rFonts w:hint="default" w:ascii="宋体" w:hAnsi="宋体" w:cs="宋体"/>
                <w:kern w:val="0"/>
                <w:sz w:val="20"/>
                <w:szCs w:val="20"/>
              </w:rPr>
              <w:t>64504.46</w:t>
            </w:r>
          </w:p>
        </w:tc>
        <w:tc>
          <w:tcPr>
            <w:tcW w:w="615" w:type="pct"/>
            <w:vAlign w:val="center"/>
          </w:tcPr>
          <w:p>
            <w:pPr>
              <w:widowControl/>
              <w:jc w:val="center"/>
              <w:rPr>
                <w:rFonts w:hint="default" w:ascii="宋体" w:hAnsi="宋体" w:cs="宋体"/>
                <w:kern w:val="0"/>
                <w:sz w:val="20"/>
                <w:szCs w:val="20"/>
              </w:rPr>
            </w:pPr>
            <w:r>
              <w:rPr>
                <w:rFonts w:hint="default" w:ascii="宋体" w:hAnsi="宋体" w:cs="宋体"/>
                <w:kern w:val="0"/>
                <w:sz w:val="20"/>
                <w:szCs w:val="20"/>
              </w:rPr>
              <w:t>337950</w:t>
            </w:r>
          </w:p>
        </w:tc>
        <w:tc>
          <w:tcPr>
            <w:tcW w:w="532" w:type="pct"/>
            <w:vAlign w:val="center"/>
          </w:tcPr>
          <w:p>
            <w:pPr>
              <w:widowControl/>
              <w:jc w:val="center"/>
              <w:rPr>
                <w:rFonts w:hint="default" w:ascii="宋体" w:hAnsi="宋体" w:eastAsia="宋体" w:cs="宋体"/>
                <w:kern w:val="0"/>
                <w:sz w:val="20"/>
                <w:szCs w:val="20"/>
                <w:highlight w:val="none"/>
                <w:lang w:eastAsia="zh-CN"/>
              </w:rPr>
            </w:pPr>
            <w:r>
              <w:rPr>
                <w:rFonts w:hint="default" w:ascii="宋体" w:hAnsi="宋体" w:cs="宋体"/>
                <w:kern w:val="0"/>
                <w:sz w:val="20"/>
                <w:szCs w:val="20"/>
                <w:highlight w:val="none"/>
                <w:lang w:eastAsia="zh-CN"/>
              </w:rPr>
              <w:t>198100</w:t>
            </w:r>
          </w:p>
        </w:tc>
        <w:tc>
          <w:tcPr>
            <w:tcW w:w="694" w:type="pct"/>
            <w:vAlign w:val="center"/>
          </w:tcPr>
          <w:p>
            <w:pPr>
              <w:widowControl/>
              <w:jc w:val="center"/>
              <w:rPr>
                <w:rFonts w:hint="default" w:ascii="宋体" w:hAnsi="宋体" w:eastAsia="宋体" w:cs="宋体"/>
                <w:kern w:val="0"/>
                <w:sz w:val="20"/>
                <w:szCs w:val="20"/>
                <w:lang w:eastAsia="zh-CN"/>
              </w:rPr>
            </w:pPr>
            <w:r>
              <w:rPr>
                <w:rFonts w:hint="default" w:ascii="宋体" w:hAnsi="宋体" w:cs="宋体"/>
                <w:kern w:val="0"/>
                <w:sz w:val="20"/>
                <w:szCs w:val="20"/>
                <w:lang w:eastAsia="zh-CN"/>
              </w:rPr>
              <w:t>99050</w:t>
            </w:r>
          </w:p>
        </w:tc>
        <w:tc>
          <w:tcPr>
            <w:tcW w:w="678" w:type="pct"/>
            <w:vAlign w:val="center"/>
          </w:tcPr>
          <w:p>
            <w:pPr>
              <w:widowControl/>
              <w:jc w:val="center"/>
              <w:rPr>
                <w:rFonts w:hint="default" w:ascii="宋体" w:hAnsi="宋体" w:cs="宋体"/>
                <w:kern w:val="0"/>
                <w:sz w:val="20"/>
                <w:szCs w:val="20"/>
              </w:rPr>
            </w:pPr>
            <w:r>
              <w:rPr>
                <w:rFonts w:hint="default" w:ascii="宋体" w:hAnsi="宋体" w:cs="宋体"/>
                <w:kern w:val="0"/>
                <w:sz w:val="20"/>
                <w:szCs w:val="20"/>
              </w:rPr>
              <w:t>50</w:t>
            </w:r>
          </w:p>
        </w:tc>
      </w:tr>
    </w:tbl>
    <w:p>
      <w:pPr>
        <w:pStyle w:val="2"/>
        <w:spacing w:line="480" w:lineRule="exact"/>
        <w:ind w:firstLine="429"/>
        <w:rPr>
          <w:color w:val="000000"/>
        </w:rPr>
      </w:pPr>
      <w:r>
        <w:rPr>
          <w:color w:val="000000"/>
        </w:rPr>
        <w:t>本宗地</w:t>
      </w:r>
      <w:r>
        <w:rPr>
          <w:rFonts w:hint="eastAsia"/>
          <w:color w:val="000000"/>
        </w:rPr>
        <w:t>的</w:t>
      </w:r>
      <w:r>
        <w:rPr>
          <w:color w:val="000000"/>
        </w:rPr>
        <w:t>具体情况以《深圳市前海深港现代服务业合作区</w:t>
      </w:r>
      <w:r>
        <w:rPr>
          <w:rFonts w:hint="eastAsia"/>
          <w:color w:val="000000"/>
        </w:rPr>
        <w:t>国有建设用地</w:t>
      </w:r>
      <w:r>
        <w:rPr>
          <w:color w:val="000000"/>
        </w:rPr>
        <w:t>使用权出让合同》（样本，以下简称《出让合同》）为准。</w:t>
      </w:r>
    </w:p>
    <w:p>
      <w:pPr>
        <w:pStyle w:val="2"/>
        <w:spacing w:line="400" w:lineRule="exact"/>
        <w:ind w:firstLine="433"/>
        <w:rPr>
          <w:b/>
          <w:bCs/>
          <w:color w:val="000000"/>
        </w:rPr>
      </w:pPr>
      <w:r>
        <w:rPr>
          <w:b/>
          <w:bCs/>
          <w:color w:val="000000"/>
        </w:rPr>
        <w:t>二、</w:t>
      </w:r>
      <w:r>
        <w:rPr>
          <w:rFonts w:hint="eastAsia"/>
          <w:b/>
          <w:bCs/>
          <w:color w:val="000000"/>
        </w:rPr>
        <w:t>宗地</w:t>
      </w:r>
      <w:r>
        <w:rPr>
          <w:b/>
          <w:bCs/>
          <w:color w:val="000000"/>
        </w:rPr>
        <w:t>出让条件</w:t>
      </w:r>
    </w:p>
    <w:p>
      <w:pPr>
        <w:widowControl/>
        <w:tabs>
          <w:tab w:val="left" w:pos="8460"/>
        </w:tabs>
        <w:spacing w:line="480" w:lineRule="exact"/>
        <w:ind w:firstLine="586" w:firstLineChars="200"/>
        <w:textAlignment w:val="center"/>
        <w:rPr>
          <w:rFonts w:ascii="汉仪书宋二简" w:hAnsi="汉仪书宋二简" w:eastAsia="汉仪书宋二简" w:cs="Times New Roman"/>
          <w:color w:val="000000"/>
          <w:spacing w:val="20"/>
          <w:w w:val="110"/>
          <w:kern w:val="10"/>
          <w:sz w:val="23"/>
          <w:szCs w:val="23"/>
        </w:rPr>
      </w:pPr>
      <w:r>
        <w:rPr>
          <w:rFonts w:hint="eastAsia" w:ascii="汉仪书宋二简" w:hAnsi="汉仪书宋二简" w:eastAsia="汉仪书宋二简" w:cs="Times New Roman"/>
          <w:color w:val="000000"/>
          <w:spacing w:val="20"/>
          <w:w w:val="110"/>
          <w:kern w:val="10"/>
          <w:sz w:val="23"/>
          <w:szCs w:val="23"/>
        </w:rPr>
        <w:t>（一）本宗地采用“不竞地价、竞无偿移交且产权归市前海管理局的研发用房建筑面积”</w:t>
      </w:r>
      <w:r>
        <w:rPr>
          <w:rFonts w:hint="eastAsia" w:ascii="汉仪书宋二简" w:hAnsi="汉仪书宋二简" w:eastAsia="汉仪书宋二简" w:cs="Times New Roman"/>
          <w:color w:val="000000"/>
          <w:spacing w:val="20"/>
          <w:w w:val="110"/>
          <w:kern w:val="10"/>
          <w:sz w:val="23"/>
          <w:szCs w:val="23"/>
          <w:lang w:val="en-US" w:eastAsia="zh-CN"/>
        </w:rPr>
        <w:t>规则</w:t>
      </w:r>
      <w:r>
        <w:rPr>
          <w:rFonts w:hint="eastAsia" w:ascii="汉仪书宋二简" w:hAnsi="汉仪书宋二简" w:eastAsia="汉仪书宋二简" w:cs="Times New Roman"/>
          <w:color w:val="000000"/>
          <w:spacing w:val="20"/>
          <w:w w:val="110"/>
          <w:kern w:val="10"/>
          <w:sz w:val="23"/>
          <w:szCs w:val="23"/>
        </w:rPr>
        <w:t>挂牌出让,即:无偿移交且产权归市前海管理局的研发用房建筑面积</w:t>
      </w:r>
      <w:r>
        <w:rPr>
          <w:rFonts w:hint="default" w:ascii="汉仪书宋二简" w:hAnsi="汉仪书宋二简" w:eastAsia="汉仪书宋二简" w:cs="Times New Roman"/>
          <w:color w:val="000000"/>
          <w:spacing w:val="20"/>
          <w:w w:val="110"/>
          <w:kern w:val="10"/>
          <w:sz w:val="23"/>
          <w:szCs w:val="23"/>
        </w:rPr>
        <w:t>，</w:t>
      </w:r>
      <w:r>
        <w:rPr>
          <w:rFonts w:hint="eastAsia" w:ascii="汉仪书宋二简" w:hAnsi="汉仪书宋二简" w:eastAsia="汉仪书宋二简" w:cs="Times New Roman"/>
          <w:color w:val="000000"/>
          <w:spacing w:val="20"/>
          <w:w w:val="110"/>
          <w:kern w:val="10"/>
          <w:sz w:val="23"/>
          <w:szCs w:val="23"/>
        </w:rPr>
        <w:t>达到竞无偿移交研发用房最高建筑面积（202320平方米）后，通过摇号方式确定竞得人。</w:t>
      </w:r>
    </w:p>
    <w:p>
      <w:pPr>
        <w:widowControl/>
        <w:tabs>
          <w:tab w:val="left" w:pos="8460"/>
        </w:tabs>
        <w:spacing w:line="480" w:lineRule="exact"/>
        <w:ind w:firstLine="586" w:firstLineChars="200"/>
        <w:textAlignment w:val="center"/>
        <w:rPr>
          <w:rFonts w:hint="eastAsia" w:ascii="汉仪书宋二简" w:hAnsi="汉仪书宋二简" w:eastAsia="汉仪书宋二简" w:cs="Times New Roman"/>
          <w:color w:val="000000"/>
          <w:spacing w:val="20"/>
          <w:w w:val="110"/>
          <w:kern w:val="10"/>
          <w:sz w:val="23"/>
          <w:szCs w:val="23"/>
        </w:rPr>
      </w:pPr>
      <w:r>
        <w:rPr>
          <w:rFonts w:hint="eastAsia" w:ascii="汉仪书宋二简" w:hAnsi="汉仪书宋二简" w:eastAsia="汉仪书宋二简" w:cs="Times New Roman"/>
          <w:color w:val="000000"/>
          <w:spacing w:val="20"/>
          <w:w w:val="110"/>
          <w:kern w:val="10"/>
          <w:sz w:val="23"/>
          <w:szCs w:val="23"/>
        </w:rPr>
        <w:t>未达到无偿移交研发用房最高建筑面积时，以无偿移交研发用房面积多者得的原则确定竞得人;达到无偿移交研发用房最高建筑面积，如只有1个竞买人，则确定其为竞得人，如有2个或2个以上竞买人接受该无偿移交研发用房最高建筑面积，则通过摇号方式确定竞得人，所有接受无偿移交研发用房最高建筑面积的竞买人可申请参加摇号。摇号具体细则详见《深圳市国有建设用地使用权出让现场摇号操作指引》。</w:t>
      </w:r>
    </w:p>
    <w:p>
      <w:pPr>
        <w:tabs>
          <w:tab w:val="left" w:pos="8460"/>
        </w:tabs>
        <w:spacing w:line="480" w:lineRule="exact"/>
        <w:ind w:firstLine="586" w:firstLineChars="200"/>
        <w:rPr>
          <w:rFonts w:hint="eastAsia" w:ascii="汉仪书宋二简" w:hAnsi="汉仪书宋二简" w:eastAsia="汉仪书宋二简" w:cs="Times New Roman"/>
          <w:color w:val="000000"/>
          <w:spacing w:val="20"/>
          <w:w w:val="110"/>
          <w:kern w:val="10"/>
          <w:sz w:val="23"/>
          <w:szCs w:val="23"/>
        </w:rPr>
      </w:pPr>
      <w:r>
        <w:rPr>
          <w:rFonts w:hint="eastAsia" w:ascii="汉仪书宋二简" w:hAnsi="汉仪书宋二简" w:eastAsia="汉仪书宋二简" w:cs="Times New Roman"/>
          <w:i w:val="0"/>
          <w:caps w:val="0"/>
          <w:color w:val="000000"/>
          <w:spacing w:val="20"/>
          <w:w w:val="110"/>
          <w:kern w:val="10"/>
          <w:sz w:val="23"/>
          <w:szCs w:val="23"/>
          <w:lang w:eastAsia="zh-CN"/>
        </w:rPr>
        <w:t>（</w:t>
      </w:r>
      <w:r>
        <w:rPr>
          <w:rFonts w:hint="default" w:ascii="汉仪书宋二简" w:hAnsi="汉仪书宋二简" w:eastAsia="汉仪书宋二简" w:cs="Times New Roman"/>
          <w:i w:val="0"/>
          <w:caps w:val="0"/>
          <w:color w:val="000000"/>
          <w:spacing w:val="20"/>
          <w:w w:val="110"/>
          <w:kern w:val="10"/>
          <w:sz w:val="23"/>
          <w:szCs w:val="23"/>
          <w:lang w:eastAsia="zh-CN"/>
        </w:rPr>
        <w:t>二</w:t>
      </w:r>
      <w:r>
        <w:rPr>
          <w:rFonts w:hint="eastAsia" w:ascii="汉仪书宋二简" w:hAnsi="汉仪书宋二简" w:eastAsia="汉仪书宋二简" w:cs="Times New Roman"/>
          <w:i w:val="0"/>
          <w:caps w:val="0"/>
          <w:color w:val="000000"/>
          <w:spacing w:val="20"/>
          <w:w w:val="110"/>
          <w:kern w:val="10"/>
          <w:sz w:val="23"/>
          <w:szCs w:val="23"/>
          <w:lang w:eastAsia="zh-CN"/>
        </w:rPr>
        <w:t>）</w:t>
      </w:r>
      <w:r>
        <w:rPr>
          <w:rFonts w:hint="eastAsia" w:ascii="汉仪书宋二简" w:hAnsi="汉仪书宋二简" w:eastAsia="汉仪书宋二简" w:cs="Times New Roman"/>
          <w:i w:val="0"/>
          <w:caps w:val="0"/>
          <w:color w:val="000000"/>
          <w:spacing w:val="20"/>
          <w:w w:val="110"/>
          <w:kern w:val="10"/>
          <w:sz w:val="23"/>
          <w:szCs w:val="23"/>
        </w:rPr>
        <w:t>竞得人缴纳地价款时，应凭</w:t>
      </w:r>
      <w:r>
        <w:rPr>
          <w:rFonts w:hint="eastAsia" w:ascii="汉仪书宋二简" w:hAnsi="汉仪书宋二简" w:eastAsia="汉仪书宋二简" w:cs="Times New Roman"/>
          <w:i w:val="0"/>
          <w:caps w:val="0"/>
          <w:color w:val="000000"/>
          <w:spacing w:val="20"/>
          <w:w w:val="110"/>
          <w:kern w:val="10"/>
          <w:sz w:val="23"/>
          <w:szCs w:val="23"/>
          <w:lang w:val="en-US" w:eastAsia="zh-CN"/>
        </w:rPr>
        <w:t>市前海管理局</w:t>
      </w:r>
      <w:r>
        <w:rPr>
          <w:rFonts w:hint="eastAsia" w:ascii="汉仪书宋二简" w:hAnsi="汉仪书宋二简" w:eastAsia="汉仪书宋二简" w:cs="Times New Roman"/>
          <w:i w:val="0"/>
          <w:caps w:val="0"/>
          <w:color w:val="000000"/>
          <w:spacing w:val="20"/>
          <w:w w:val="110"/>
          <w:kern w:val="10"/>
          <w:sz w:val="23"/>
          <w:szCs w:val="23"/>
        </w:rPr>
        <w:t>开具的《缴款通知书》到深圳市各区税务局办税服务厅或者登录深圳市电子税务局进行缴费，具体流程详见《</w:t>
      </w:r>
      <w:r>
        <w:rPr>
          <w:rFonts w:hint="eastAsia" w:ascii="汉仪书宋二简" w:hAnsi="汉仪书宋二简" w:eastAsia="汉仪书宋二简" w:cs="Times New Roman"/>
          <w:color w:val="000000"/>
          <w:spacing w:val="20"/>
          <w:w w:val="110"/>
          <w:kern w:val="10"/>
          <w:sz w:val="23"/>
          <w:szCs w:val="23"/>
        </w:rPr>
        <w:t>国有土地使用权出让收入缴款及竞买保证金退转操作指引》。</w:t>
      </w:r>
    </w:p>
    <w:p>
      <w:pPr>
        <w:pStyle w:val="2"/>
        <w:spacing w:line="480" w:lineRule="exact"/>
        <w:ind w:firstLine="586" w:firstLineChars="200"/>
        <w:rPr>
          <w:rFonts w:hint="eastAsia"/>
        </w:rPr>
      </w:pPr>
      <w:r>
        <w:rPr>
          <w:rFonts w:hint="eastAsia"/>
        </w:rPr>
        <w:t>（</w:t>
      </w:r>
      <w:r>
        <w:rPr>
          <w:rFonts w:hint="default"/>
          <w:lang w:eastAsia="zh-CN"/>
        </w:rPr>
        <w:t>三</w:t>
      </w:r>
      <w:r>
        <w:rPr>
          <w:rFonts w:hint="eastAsia"/>
        </w:rPr>
        <w:t>）</w:t>
      </w:r>
      <w:r>
        <w:rPr>
          <w:rFonts w:hint="eastAsia"/>
          <w:lang w:val="en-US" w:eastAsia="zh-CN"/>
        </w:rPr>
        <w:t>本宗地竞得人</w:t>
      </w:r>
      <w:r>
        <w:rPr>
          <w:rFonts w:hint="eastAsia"/>
        </w:rPr>
        <w:t>须落实海绵城市建设、绿色建筑、装配式建筑、建筑信息模型（BIM）技术应用的相关规定。</w:t>
      </w:r>
    </w:p>
    <w:p>
      <w:pPr>
        <w:pStyle w:val="2"/>
        <w:spacing w:line="480" w:lineRule="exact"/>
        <w:ind w:firstLine="586" w:firstLineChars="200"/>
        <w:rPr>
          <w:rFonts w:hint="default" w:eastAsia="汉仪书宋二简"/>
          <w:color w:val="000000"/>
          <w:lang w:val="en-US" w:eastAsia="zh-CN"/>
        </w:rPr>
      </w:pPr>
      <w:r>
        <w:rPr>
          <w:rFonts w:hint="eastAsia"/>
        </w:rPr>
        <w:t>（</w:t>
      </w:r>
      <w:r>
        <w:rPr>
          <w:rFonts w:hint="default"/>
          <w:lang w:eastAsia="zh-CN"/>
        </w:rPr>
        <w:t>四</w:t>
      </w:r>
      <w:r>
        <w:rPr>
          <w:rFonts w:hint="eastAsia"/>
        </w:rPr>
        <w:t>）本宗地竞得人须按地质灾害危险性评估报告及土壤环境调查评估报告的结论采取相应的防治措施。</w:t>
      </w:r>
    </w:p>
    <w:p>
      <w:pPr>
        <w:pStyle w:val="2"/>
        <w:spacing w:line="480" w:lineRule="exact"/>
        <w:ind w:firstLine="586" w:firstLineChars="200"/>
        <w:rPr>
          <w:color w:val="000000"/>
        </w:rPr>
      </w:pPr>
      <w:r>
        <w:rPr>
          <w:rFonts w:hint="eastAsia"/>
          <w:color w:val="000000"/>
        </w:rPr>
        <w:t>（</w:t>
      </w:r>
      <w:r>
        <w:rPr>
          <w:rFonts w:hint="default"/>
          <w:color w:val="000000"/>
          <w:lang w:eastAsia="zh-CN"/>
        </w:rPr>
        <w:t>五</w:t>
      </w:r>
      <w:r>
        <w:rPr>
          <w:rFonts w:hint="eastAsia"/>
          <w:color w:val="000000"/>
        </w:rPr>
        <w:t>）竞得人应遵守法律、法规和《出让合同》规定，严格按照土地用途和有关部门审定的规划设计方案使用和开发建设。本宗地的规划设计、开发建设和运营管理等应满足《T102-0</w:t>
      </w:r>
      <w:r>
        <w:rPr>
          <w:rFonts w:hint="default"/>
          <w:color w:val="000000"/>
        </w:rPr>
        <w:t>378</w:t>
      </w:r>
      <w:r>
        <w:rPr>
          <w:rFonts w:hint="eastAsia"/>
          <w:color w:val="000000"/>
        </w:rPr>
        <w:t>宗地规划设计条件》和</w:t>
      </w:r>
      <w:r>
        <w:rPr>
          <w:rFonts w:hint="default"/>
          <w:color w:val="000000"/>
        </w:rPr>
        <w:t>本</w:t>
      </w:r>
      <w:r>
        <w:rPr>
          <w:rFonts w:hint="eastAsia"/>
          <w:color w:val="000000"/>
        </w:rPr>
        <w:t>宗地的</w:t>
      </w:r>
      <w:r>
        <w:rPr>
          <w:rFonts w:hint="default"/>
          <w:color w:val="000000"/>
        </w:rPr>
        <w:t>《深圳市前海深港现代服务业合作区产业发展监管协议书》</w:t>
      </w:r>
      <w:r>
        <w:rPr>
          <w:rFonts w:hint="eastAsia"/>
          <w:color w:val="000000"/>
        </w:rPr>
        <w:t>《深圳市前海深港现代服务业合作区建设项目质量安全监管协议书》（以下简称</w:t>
      </w:r>
      <w:r>
        <w:rPr>
          <w:rFonts w:hint="default"/>
          <w:color w:val="000000"/>
        </w:rPr>
        <w:t>《产业监管协议书》</w:t>
      </w:r>
      <w:r>
        <w:rPr>
          <w:rFonts w:hint="eastAsia"/>
          <w:color w:val="000000"/>
        </w:rPr>
        <w:t>《建设质量安全监管协议书》）有关规定和要求。</w:t>
      </w:r>
    </w:p>
    <w:p>
      <w:pPr>
        <w:pStyle w:val="2"/>
        <w:spacing w:line="480" w:lineRule="exact"/>
        <w:ind w:firstLine="586" w:firstLineChars="200"/>
        <w:rPr>
          <w:color w:val="000000"/>
        </w:rPr>
      </w:pPr>
      <w:r>
        <w:rPr>
          <w:rFonts w:hint="eastAsia"/>
          <w:color w:val="000000"/>
        </w:rPr>
        <w:t>（</w:t>
      </w:r>
      <w:r>
        <w:rPr>
          <w:rFonts w:hint="default"/>
          <w:color w:val="000000"/>
          <w:lang w:eastAsia="zh-CN"/>
        </w:rPr>
        <w:t>六</w:t>
      </w:r>
      <w:r>
        <w:rPr>
          <w:rFonts w:hint="eastAsia"/>
          <w:color w:val="000000"/>
        </w:rPr>
        <w:t>）本宗地按现状出让，竞得人对此无异议。</w:t>
      </w:r>
    </w:p>
    <w:p>
      <w:pPr>
        <w:pStyle w:val="2"/>
        <w:spacing w:line="480" w:lineRule="exact"/>
        <w:ind w:firstLine="586" w:firstLineChars="200"/>
        <w:rPr>
          <w:color w:val="000000"/>
        </w:rPr>
      </w:pPr>
      <w:r>
        <w:rPr>
          <w:rFonts w:hint="eastAsia"/>
          <w:color w:val="000000"/>
        </w:rPr>
        <w:t>（</w:t>
      </w:r>
      <w:r>
        <w:rPr>
          <w:rFonts w:hint="default"/>
          <w:color w:val="000000"/>
          <w:lang w:eastAsia="zh-CN"/>
        </w:rPr>
        <w:t>七</w:t>
      </w:r>
      <w:r>
        <w:rPr>
          <w:rFonts w:hint="eastAsia"/>
          <w:color w:val="000000"/>
        </w:rPr>
        <w:t>）本宗地用地范围与规划市政设施无冲突，若涉及现状管线的改迁或保护，需取得管线产权单位或运营单位的同意。</w:t>
      </w:r>
    </w:p>
    <w:p>
      <w:pPr>
        <w:pStyle w:val="2"/>
        <w:spacing w:line="480" w:lineRule="exact"/>
        <w:ind w:firstLine="586" w:firstLineChars="200"/>
        <w:rPr>
          <w:color w:val="000000"/>
        </w:rPr>
      </w:pPr>
      <w:r>
        <w:rPr>
          <w:rFonts w:hint="eastAsia"/>
          <w:color w:val="000000"/>
        </w:rPr>
        <w:t>（</w:t>
      </w:r>
      <w:r>
        <w:rPr>
          <w:rFonts w:hint="default"/>
          <w:color w:val="000000"/>
          <w:lang w:eastAsia="zh-CN"/>
        </w:rPr>
        <w:t>八</w:t>
      </w:r>
      <w:r>
        <w:rPr>
          <w:rFonts w:hint="eastAsia"/>
          <w:color w:val="000000"/>
        </w:rPr>
        <w:t>）本宗地不得分宗。</w:t>
      </w:r>
    </w:p>
    <w:p>
      <w:pPr>
        <w:pStyle w:val="2"/>
        <w:spacing w:line="480" w:lineRule="exact"/>
        <w:ind w:firstLine="586" w:firstLineChars="200"/>
        <w:rPr>
          <w:rFonts w:hint="eastAsia"/>
          <w:color w:val="000000"/>
        </w:rPr>
      </w:pPr>
      <w:r>
        <w:rPr>
          <w:rFonts w:hint="eastAsia"/>
          <w:color w:val="000000"/>
        </w:rPr>
        <w:t>（</w:t>
      </w:r>
      <w:r>
        <w:rPr>
          <w:rFonts w:hint="default"/>
          <w:color w:val="000000"/>
          <w:lang w:eastAsia="zh-CN"/>
        </w:rPr>
        <w:t>九</w:t>
      </w:r>
      <w:r>
        <w:rPr>
          <w:rFonts w:hint="eastAsia"/>
          <w:color w:val="000000"/>
        </w:rPr>
        <w:t>）本宗地项目建成后，研发用房（含物业管理用房）、研发配套用房与配套宿舍限全年期自持。</w:t>
      </w:r>
    </w:p>
    <w:p>
      <w:pPr>
        <w:pStyle w:val="2"/>
        <w:spacing w:line="480" w:lineRule="exact"/>
        <w:ind w:firstLine="586" w:firstLineChars="200"/>
        <w:rPr>
          <w:color w:val="000000"/>
        </w:rPr>
      </w:pPr>
      <w:r>
        <w:rPr>
          <w:rFonts w:hint="eastAsia"/>
          <w:color w:val="000000"/>
        </w:rPr>
        <w:t>未经市前海管理局允许，土地出让期内不得直接转让、以股权转让（导致企业控股权或实际控制权发生变更的转让）或变更的方式变相转让建设用地使用权以及附着于该土地上的建（构）筑物及附属设施。</w:t>
      </w:r>
    </w:p>
    <w:p>
      <w:pPr>
        <w:pStyle w:val="2"/>
        <w:numPr>
          <w:ilvl w:val="0"/>
          <w:numId w:val="1"/>
        </w:numPr>
        <w:spacing w:line="480" w:lineRule="exact"/>
        <w:ind w:firstLine="586" w:firstLineChars="200"/>
        <w:rPr>
          <w:rFonts w:hint="eastAsia"/>
          <w:color w:val="000000"/>
        </w:rPr>
      </w:pPr>
      <w:r>
        <w:rPr>
          <w:rFonts w:hint="eastAsia"/>
          <w:color w:val="000000"/>
        </w:rPr>
        <w:t>本宗地竞得人须在办理相关报建手续前，应与市前海管理局签订宗地的</w:t>
      </w:r>
      <w:r>
        <w:rPr>
          <w:rFonts w:hint="default"/>
          <w:color w:val="000000"/>
        </w:rPr>
        <w:t>《产业监管协议书》</w:t>
      </w:r>
      <w:r>
        <w:rPr>
          <w:rFonts w:hint="eastAsia"/>
          <w:color w:val="000000"/>
        </w:rPr>
        <w:t>《建设质量安全监管协议书》。</w:t>
      </w:r>
    </w:p>
    <w:p>
      <w:pPr>
        <w:pStyle w:val="2"/>
        <w:spacing w:line="480" w:lineRule="exact"/>
        <w:ind w:firstLine="586" w:firstLineChars="200"/>
        <w:rPr>
          <w:rFonts w:hint="eastAsia"/>
          <w:color w:val="000000"/>
        </w:rPr>
      </w:pPr>
      <w:r>
        <w:rPr>
          <w:rFonts w:hint="eastAsia"/>
          <w:color w:val="000000"/>
          <w:lang w:eastAsia="zh-CN"/>
        </w:rPr>
        <w:t>（</w:t>
      </w:r>
      <w:r>
        <w:rPr>
          <w:rFonts w:hint="eastAsia"/>
          <w:color w:val="000000"/>
          <w:lang w:val="en-US" w:eastAsia="zh-CN"/>
        </w:rPr>
        <w:t>十一</w:t>
      </w:r>
      <w:r>
        <w:rPr>
          <w:rFonts w:hint="eastAsia"/>
          <w:color w:val="000000"/>
          <w:lang w:eastAsia="zh-CN"/>
        </w:rPr>
        <w:t>）</w:t>
      </w:r>
      <w:r>
        <w:rPr>
          <w:rFonts w:hint="eastAsia"/>
          <w:color w:val="000000"/>
        </w:rPr>
        <w:t>本宗地竞得人须</w:t>
      </w:r>
      <w:r>
        <w:rPr>
          <w:rFonts w:hint="eastAsia"/>
          <w:color w:val="000000"/>
          <w:lang w:eastAsia="zh-CN"/>
        </w:rPr>
        <w:t>自签订</w:t>
      </w:r>
      <w:r>
        <w:rPr>
          <w:rFonts w:hint="eastAsia"/>
          <w:color w:val="000000"/>
          <w:lang w:val="en-US" w:eastAsia="zh-CN"/>
        </w:rPr>
        <w:t>出让</w:t>
      </w:r>
      <w:r>
        <w:rPr>
          <w:rFonts w:hint="eastAsia"/>
          <w:color w:val="000000"/>
          <w:lang w:eastAsia="zh-CN"/>
        </w:rPr>
        <w:t>合同之日起12个月内开工建设，72个月内应全部竣工并投入使用。</w:t>
      </w:r>
    </w:p>
    <w:p>
      <w:pPr>
        <w:pStyle w:val="2"/>
        <w:spacing w:line="480" w:lineRule="exact"/>
        <w:ind w:firstLine="586" w:firstLineChars="200"/>
      </w:pPr>
      <w:r>
        <w:rPr>
          <w:rFonts w:hint="eastAsia"/>
          <w:color w:val="000000"/>
        </w:rPr>
        <w:t>（十</w:t>
      </w:r>
      <w:r>
        <w:rPr>
          <w:rFonts w:hint="eastAsia"/>
          <w:color w:val="000000"/>
          <w:lang w:val="en-US" w:eastAsia="zh-CN"/>
        </w:rPr>
        <w:t>二</w:t>
      </w:r>
      <w:r>
        <w:rPr>
          <w:rFonts w:hint="eastAsia"/>
          <w:color w:val="000000"/>
        </w:rPr>
        <w:t>）本宗地具体产权要求及其他事项规定，以《出让合同》为准</w:t>
      </w:r>
      <w:r>
        <w:rPr>
          <w:rFonts w:hint="eastAsia" w:cs="汉仪书宋二简"/>
          <w:color w:val="000000"/>
        </w:rPr>
        <w:t>，涉及的公共配套设施产权按相关规定和约定移交。</w:t>
      </w:r>
    </w:p>
    <w:p>
      <w:pPr>
        <w:pStyle w:val="2"/>
        <w:spacing w:line="400" w:lineRule="exact"/>
        <w:ind w:firstLine="588" w:firstLineChars="200"/>
      </w:pPr>
      <w:r>
        <w:rPr>
          <w:b/>
          <w:bCs/>
        </w:rPr>
        <w:t>三、</w:t>
      </w:r>
      <w:r>
        <w:rPr>
          <w:rFonts w:hint="eastAsia"/>
          <w:b/>
          <w:bCs/>
        </w:rPr>
        <w:t>竞买人</w:t>
      </w:r>
      <w:r>
        <w:rPr>
          <w:b/>
          <w:bCs/>
        </w:rPr>
        <w:t>主体资格要求</w:t>
      </w:r>
    </w:p>
    <w:p>
      <w:pPr>
        <w:tabs>
          <w:tab w:val="left" w:pos="8460"/>
        </w:tabs>
        <w:spacing w:line="480" w:lineRule="exact"/>
        <w:ind w:firstLine="586" w:firstLineChars="200"/>
        <w:rPr>
          <w:rFonts w:hint="eastAsia" w:ascii="汉仪书宋二简" w:hAnsi="汉仪书宋二简" w:eastAsia="汉仪书宋二简" w:cs="汉仪书宋二简"/>
          <w:spacing w:val="20"/>
          <w:w w:val="110"/>
          <w:kern w:val="10"/>
          <w:sz w:val="23"/>
          <w:szCs w:val="23"/>
        </w:rPr>
      </w:pPr>
      <w:r>
        <w:rPr>
          <w:rFonts w:hint="eastAsia" w:ascii="汉仪书宋二简" w:hAnsi="汉仪书宋二简" w:eastAsia="汉仪书宋二简" w:cs="汉仪书宋二简"/>
          <w:spacing w:val="20"/>
          <w:w w:val="110"/>
          <w:kern w:val="10"/>
          <w:sz w:val="23"/>
          <w:szCs w:val="23"/>
        </w:rPr>
        <w:t>竞买申请人应为注册地在深圳市的企业法人</w:t>
      </w:r>
      <w:r>
        <w:rPr>
          <w:rFonts w:hint="default" w:ascii="汉仪书宋二简" w:hAnsi="汉仪书宋二简" w:eastAsia="汉仪书宋二简" w:cs="汉仪书宋二简"/>
          <w:spacing w:val="20"/>
          <w:w w:val="110"/>
          <w:kern w:val="10"/>
          <w:sz w:val="23"/>
          <w:szCs w:val="23"/>
        </w:rPr>
        <w:t>，</w:t>
      </w:r>
      <w:r>
        <w:rPr>
          <w:rFonts w:hint="eastAsia" w:ascii="汉仪书宋二简" w:hAnsi="汉仪书宋二简" w:eastAsia="汉仪书宋二简" w:cs="汉仪书宋二简"/>
          <w:spacing w:val="20"/>
          <w:w w:val="110"/>
          <w:kern w:val="10"/>
          <w:sz w:val="23"/>
          <w:szCs w:val="23"/>
        </w:rPr>
        <w:t>可独立申请（不接受联合申请）竞买本宗地。</w:t>
      </w:r>
    </w:p>
    <w:p>
      <w:pPr>
        <w:pStyle w:val="2"/>
        <w:spacing w:line="400" w:lineRule="exact"/>
        <w:ind w:firstLine="588" w:firstLineChars="200"/>
        <w:rPr>
          <w:b/>
          <w:bCs/>
        </w:rPr>
      </w:pPr>
      <w:r>
        <w:rPr>
          <w:b/>
          <w:bCs/>
        </w:rPr>
        <w:t>四、竞买申请程序</w:t>
      </w:r>
    </w:p>
    <w:p>
      <w:pPr>
        <w:pStyle w:val="2"/>
        <w:spacing w:line="480" w:lineRule="exact"/>
        <w:ind w:firstLine="586" w:firstLineChars="200"/>
        <w:rPr>
          <w:color w:val="000000"/>
        </w:rPr>
      </w:pPr>
      <w:r>
        <w:rPr>
          <w:rFonts w:hint="eastAsia"/>
          <w:color w:val="000000"/>
        </w:rPr>
        <w:t>（一）网上注册</w:t>
      </w:r>
    </w:p>
    <w:p>
      <w:pPr>
        <w:pStyle w:val="2"/>
        <w:spacing w:line="480" w:lineRule="exact"/>
        <w:ind w:firstLine="586" w:firstLineChars="200"/>
        <w:rPr>
          <w:color w:val="000000"/>
        </w:rPr>
      </w:pPr>
      <w:r>
        <w:rPr>
          <w:rFonts w:hint="eastAsia"/>
          <w:color w:val="000000"/>
        </w:rPr>
        <w:t>竞买申请人应登录深圳土地矿业权交易平台（https://td.szggzy.com）进行网上注册。网上注册的程序和要求详见深圳土地矿业权交易平台网站中的操作指引。</w:t>
      </w:r>
    </w:p>
    <w:p>
      <w:pPr>
        <w:pStyle w:val="2"/>
        <w:spacing w:line="480" w:lineRule="exact"/>
        <w:ind w:firstLine="586" w:firstLineChars="200"/>
        <w:rPr>
          <w:color w:val="000000"/>
        </w:rPr>
      </w:pPr>
      <w:r>
        <w:rPr>
          <w:rFonts w:hint="eastAsia"/>
          <w:color w:val="000000"/>
        </w:rPr>
        <w:t>（二）申请竞买</w:t>
      </w:r>
    </w:p>
    <w:p>
      <w:pPr>
        <w:pStyle w:val="2"/>
        <w:spacing w:line="480" w:lineRule="exact"/>
        <w:ind w:firstLine="586" w:firstLineChars="200"/>
        <w:rPr>
          <w:color w:val="000000"/>
        </w:rPr>
      </w:pPr>
      <w:r>
        <w:rPr>
          <w:rFonts w:hint="eastAsia"/>
          <w:color w:val="000000"/>
        </w:rPr>
        <w:t>竞买申请人网上注册后，应按照操作指引有关要求，选择意向竞买的宗地，提出竞买申请。</w:t>
      </w:r>
    </w:p>
    <w:p>
      <w:pPr>
        <w:pStyle w:val="2"/>
        <w:spacing w:line="480" w:lineRule="exact"/>
        <w:ind w:firstLine="586" w:firstLineChars="200"/>
        <w:rPr>
          <w:color w:val="000000"/>
        </w:rPr>
      </w:pPr>
      <w:r>
        <w:rPr>
          <w:rFonts w:hint="eastAsia"/>
          <w:color w:val="000000"/>
        </w:rPr>
        <w:t>（三）交纳竞买（投标）保证金</w:t>
      </w:r>
    </w:p>
    <w:p>
      <w:pPr>
        <w:pStyle w:val="2"/>
        <w:spacing w:line="480" w:lineRule="exact"/>
        <w:ind w:firstLine="586" w:firstLineChars="200"/>
        <w:rPr>
          <w:color w:val="000000"/>
        </w:rPr>
      </w:pPr>
      <w:r>
        <w:rPr>
          <w:rFonts w:hint="eastAsia"/>
          <w:color w:val="000000"/>
        </w:rPr>
        <w:t>竞买申请人提出竞买申请后，按入账申请单提示交纳竞买（投标）保证金，竞买（投标）保证金不得由其他单位或个人代交。具体详见操作指引。</w:t>
      </w:r>
    </w:p>
    <w:p>
      <w:pPr>
        <w:pStyle w:val="2"/>
        <w:spacing w:line="480" w:lineRule="exact"/>
        <w:ind w:firstLine="586" w:firstLineChars="200"/>
        <w:rPr>
          <w:color w:val="000000"/>
          <w:highlight w:val="none"/>
        </w:rPr>
      </w:pPr>
      <w:r>
        <w:rPr>
          <w:rFonts w:hint="eastAsia"/>
          <w:color w:val="000000"/>
        </w:rPr>
        <w:t>竞买申请人可通过深圳土地矿业权交易平台及时查询竞买</w:t>
      </w:r>
      <w:r>
        <w:rPr>
          <w:rFonts w:hint="eastAsia"/>
          <w:color w:val="000000"/>
          <w:highlight w:val="none"/>
        </w:rPr>
        <w:t>（投标）保证金到账情况。竞买（投标）保证金的到账截止时间为202</w:t>
      </w:r>
      <w:r>
        <w:rPr>
          <w:color w:val="000000"/>
          <w:highlight w:val="none"/>
        </w:rPr>
        <w:t>2</w:t>
      </w:r>
      <w:r>
        <w:rPr>
          <w:rFonts w:hint="eastAsia"/>
          <w:color w:val="000000"/>
          <w:highlight w:val="none"/>
        </w:rPr>
        <w:t>年</w:t>
      </w:r>
      <w:r>
        <w:rPr>
          <w:rFonts w:hint="default"/>
          <w:color w:val="000000"/>
          <w:highlight w:val="none"/>
        </w:rPr>
        <w:t>1</w:t>
      </w:r>
      <w:r>
        <w:rPr>
          <w:rFonts w:hint="eastAsia"/>
          <w:color w:val="000000"/>
          <w:highlight w:val="none"/>
          <w:lang w:val="en-US" w:eastAsia="zh-CN"/>
        </w:rPr>
        <w:t>2</w:t>
      </w:r>
      <w:r>
        <w:rPr>
          <w:rFonts w:hint="eastAsia"/>
          <w:color w:val="000000"/>
          <w:highlight w:val="none"/>
        </w:rPr>
        <w:t>月</w:t>
      </w:r>
      <w:r>
        <w:rPr>
          <w:rFonts w:hint="eastAsia"/>
          <w:color w:val="000000"/>
          <w:highlight w:val="none"/>
          <w:lang w:val="en-US" w:eastAsia="zh-CN"/>
        </w:rPr>
        <w:t>10</w:t>
      </w:r>
      <w:r>
        <w:rPr>
          <w:rFonts w:hint="eastAsia"/>
          <w:color w:val="000000"/>
          <w:highlight w:val="none"/>
        </w:rPr>
        <w:t>日15时整（以深圳土地矿业权交易平台网站显示的银行到账时间为准）。</w:t>
      </w:r>
    </w:p>
    <w:p>
      <w:pPr>
        <w:pStyle w:val="2"/>
        <w:spacing w:line="480" w:lineRule="exact"/>
        <w:ind w:firstLine="586" w:firstLineChars="200"/>
        <w:rPr>
          <w:color w:val="000000"/>
          <w:highlight w:val="none"/>
        </w:rPr>
      </w:pPr>
      <w:r>
        <w:rPr>
          <w:rFonts w:hint="eastAsia"/>
          <w:color w:val="000000"/>
          <w:highlight w:val="none"/>
        </w:rPr>
        <w:t>（四）申请确认竞买资格</w:t>
      </w:r>
    </w:p>
    <w:p>
      <w:pPr>
        <w:pStyle w:val="2"/>
        <w:spacing w:line="480" w:lineRule="exact"/>
        <w:ind w:firstLine="586" w:firstLineChars="200"/>
        <w:rPr>
          <w:color w:val="000000"/>
        </w:rPr>
      </w:pPr>
      <w:r>
        <w:rPr>
          <w:rFonts w:hint="eastAsia"/>
          <w:color w:val="000000"/>
          <w:highlight w:val="none"/>
        </w:rPr>
        <w:t>竞买申请人按时足额交纳竞买（投标）保证金后，可登录深圳土地矿业权交易平台网站查看《竞买申请受理回执》并打印该回执，在202</w:t>
      </w:r>
      <w:r>
        <w:rPr>
          <w:color w:val="000000"/>
          <w:highlight w:val="none"/>
        </w:rPr>
        <w:t>2</w:t>
      </w:r>
      <w:r>
        <w:rPr>
          <w:rFonts w:hint="eastAsia"/>
          <w:color w:val="000000"/>
          <w:highlight w:val="none"/>
        </w:rPr>
        <w:t>年</w:t>
      </w:r>
      <w:r>
        <w:rPr>
          <w:rFonts w:hint="default"/>
          <w:color w:val="000000"/>
          <w:highlight w:val="none"/>
        </w:rPr>
        <w:t>1</w:t>
      </w:r>
      <w:r>
        <w:rPr>
          <w:rFonts w:hint="eastAsia"/>
          <w:color w:val="000000"/>
          <w:highlight w:val="none"/>
          <w:lang w:val="en-US" w:eastAsia="zh-CN"/>
        </w:rPr>
        <w:t>2</w:t>
      </w:r>
      <w:r>
        <w:rPr>
          <w:rFonts w:hint="eastAsia"/>
          <w:color w:val="000000"/>
          <w:highlight w:val="none"/>
          <w:u w:val="none"/>
        </w:rPr>
        <w:t>月</w:t>
      </w:r>
      <w:r>
        <w:rPr>
          <w:rFonts w:hint="eastAsia"/>
          <w:color w:val="000000"/>
          <w:highlight w:val="none"/>
          <w:u w:val="none"/>
          <w:lang w:val="en-US" w:eastAsia="zh-CN"/>
        </w:rPr>
        <w:t>12</w:t>
      </w:r>
      <w:r>
        <w:rPr>
          <w:rFonts w:hint="eastAsia"/>
          <w:color w:val="000000"/>
          <w:highlight w:val="none"/>
        </w:rPr>
        <w:t>日</w:t>
      </w:r>
      <w:r>
        <w:rPr>
          <w:rFonts w:hint="eastAsia"/>
          <w:color w:val="000000"/>
          <w:highlight w:val="none"/>
          <w:lang w:val="en-US" w:eastAsia="zh-CN"/>
        </w:rPr>
        <w:t>14</w:t>
      </w:r>
      <w:r>
        <w:rPr>
          <w:rFonts w:hint="eastAsia"/>
          <w:color w:val="000000"/>
          <w:highlight w:val="none"/>
        </w:rPr>
        <w:t>时30分前（工作日），到交易大厦3楼土地业务受理窗口提交书面材料，申</w:t>
      </w:r>
      <w:r>
        <w:rPr>
          <w:rFonts w:hint="eastAsia"/>
          <w:color w:val="000000"/>
        </w:rPr>
        <w:t>请确认竞买资格。申请确认竞买资格须提交的材料详见《深圳市土地使用权挂牌出让竞买须知》（以下简称《竞买须知》）。</w:t>
      </w:r>
    </w:p>
    <w:p>
      <w:pPr>
        <w:pStyle w:val="2"/>
        <w:spacing w:line="480" w:lineRule="exact"/>
        <w:ind w:firstLine="588" w:firstLineChars="200"/>
        <w:rPr>
          <w:b/>
        </w:rPr>
      </w:pPr>
      <w:r>
        <w:rPr>
          <w:rFonts w:hint="eastAsia"/>
          <w:b/>
        </w:rPr>
        <w:t>五、确定竞</w:t>
      </w:r>
      <w:bookmarkStart w:id="0" w:name="_GoBack"/>
      <w:bookmarkEnd w:id="0"/>
      <w:r>
        <w:rPr>
          <w:rFonts w:hint="eastAsia"/>
          <w:b/>
        </w:rPr>
        <w:t>得人的办法</w:t>
      </w:r>
    </w:p>
    <w:p>
      <w:pPr>
        <w:spacing w:line="480" w:lineRule="exact"/>
        <w:ind w:firstLine="586" w:firstLineChars="200"/>
        <w:rPr>
          <w:rFonts w:ascii="汉仪书宋二简" w:hAnsi="汉仪书宋二简" w:eastAsia="汉仪书宋二简" w:cs="Times New Roman"/>
          <w:color w:val="000000"/>
          <w:spacing w:val="20"/>
          <w:w w:val="110"/>
          <w:kern w:val="10"/>
          <w:sz w:val="23"/>
          <w:szCs w:val="23"/>
        </w:rPr>
      </w:pPr>
      <w:r>
        <w:rPr>
          <w:rFonts w:hint="eastAsia" w:ascii="汉仪书宋二简" w:hAnsi="汉仪书宋二简" w:eastAsia="汉仪书宋二简" w:cs="Times New Roman"/>
          <w:color w:val="000000"/>
          <w:spacing w:val="20"/>
          <w:w w:val="110"/>
          <w:kern w:val="10"/>
          <w:sz w:val="23"/>
          <w:szCs w:val="23"/>
        </w:rPr>
        <w:t>深圳土地矿业权交易平台在挂牌期内（工作日）接受竞买人的电脑报价，电脑报价截止时</w:t>
      </w:r>
      <w:r>
        <w:rPr>
          <w:rFonts w:hint="eastAsia" w:ascii="汉仪书宋二简" w:hAnsi="汉仪书宋二简" w:eastAsia="汉仪书宋二简" w:cs="Times New Roman"/>
          <w:color w:val="000000"/>
          <w:spacing w:val="20"/>
          <w:w w:val="110"/>
          <w:kern w:val="10"/>
          <w:sz w:val="23"/>
          <w:szCs w:val="23"/>
          <w:highlight w:val="none"/>
        </w:rPr>
        <w:t>间为202</w:t>
      </w:r>
      <w:r>
        <w:rPr>
          <w:rFonts w:ascii="汉仪书宋二简" w:hAnsi="汉仪书宋二简" w:eastAsia="汉仪书宋二简" w:cs="Times New Roman"/>
          <w:color w:val="000000"/>
          <w:spacing w:val="20"/>
          <w:w w:val="110"/>
          <w:kern w:val="10"/>
          <w:sz w:val="23"/>
          <w:szCs w:val="23"/>
          <w:highlight w:val="none"/>
        </w:rPr>
        <w:t>2</w:t>
      </w:r>
      <w:r>
        <w:rPr>
          <w:rFonts w:hint="eastAsia" w:ascii="汉仪书宋二简" w:hAnsi="汉仪书宋二简" w:eastAsia="汉仪书宋二简" w:cs="Times New Roman"/>
          <w:color w:val="000000"/>
          <w:spacing w:val="20"/>
          <w:w w:val="110"/>
          <w:kern w:val="10"/>
          <w:sz w:val="23"/>
          <w:szCs w:val="23"/>
          <w:highlight w:val="none"/>
        </w:rPr>
        <w:t>年</w:t>
      </w:r>
      <w:r>
        <w:rPr>
          <w:rFonts w:hint="default" w:ascii="汉仪书宋二简" w:hAnsi="汉仪书宋二简" w:eastAsia="汉仪书宋二简" w:cs="Times New Roman"/>
          <w:color w:val="000000"/>
          <w:spacing w:val="20"/>
          <w:w w:val="110"/>
          <w:kern w:val="10"/>
          <w:sz w:val="23"/>
          <w:szCs w:val="23"/>
          <w:highlight w:val="none"/>
        </w:rPr>
        <w:t>12</w:t>
      </w:r>
      <w:r>
        <w:rPr>
          <w:rFonts w:hint="eastAsia" w:ascii="汉仪书宋二简" w:hAnsi="汉仪书宋二简" w:eastAsia="汉仪书宋二简" w:cs="Times New Roman"/>
          <w:color w:val="000000"/>
          <w:spacing w:val="20"/>
          <w:w w:val="110"/>
          <w:kern w:val="10"/>
          <w:sz w:val="23"/>
          <w:szCs w:val="23"/>
          <w:highlight w:val="none"/>
        </w:rPr>
        <w:t>月</w:t>
      </w:r>
      <w:r>
        <w:rPr>
          <w:rFonts w:hint="eastAsia" w:ascii="汉仪书宋二简" w:hAnsi="汉仪书宋二简" w:eastAsia="汉仪书宋二简" w:cs="Times New Roman"/>
          <w:color w:val="000000"/>
          <w:spacing w:val="20"/>
          <w:w w:val="110"/>
          <w:kern w:val="10"/>
          <w:sz w:val="23"/>
          <w:szCs w:val="23"/>
          <w:highlight w:val="none"/>
          <w:lang w:val="en-US" w:eastAsia="zh-CN"/>
        </w:rPr>
        <w:t>12</w:t>
      </w:r>
      <w:r>
        <w:rPr>
          <w:rFonts w:hint="eastAsia" w:ascii="汉仪书宋二简" w:hAnsi="汉仪书宋二简" w:eastAsia="汉仪书宋二简" w:cs="Times New Roman"/>
          <w:color w:val="000000"/>
          <w:spacing w:val="20"/>
          <w:w w:val="110"/>
          <w:kern w:val="10"/>
          <w:sz w:val="23"/>
          <w:szCs w:val="23"/>
          <w:highlight w:val="none"/>
        </w:rPr>
        <w:t>日</w:t>
      </w:r>
      <w:r>
        <w:rPr>
          <w:rFonts w:hint="eastAsia" w:ascii="汉仪书宋二简" w:hAnsi="汉仪书宋二简" w:eastAsia="汉仪书宋二简" w:cs="Times New Roman"/>
          <w:color w:val="000000"/>
          <w:spacing w:val="20"/>
          <w:w w:val="110"/>
          <w:kern w:val="10"/>
          <w:sz w:val="23"/>
          <w:szCs w:val="23"/>
          <w:highlight w:val="none"/>
          <w:lang w:val="en-US" w:eastAsia="zh-CN"/>
        </w:rPr>
        <w:t>15</w:t>
      </w:r>
      <w:r>
        <w:rPr>
          <w:rFonts w:hint="eastAsia" w:ascii="汉仪书宋二简" w:hAnsi="汉仪书宋二简" w:eastAsia="汉仪书宋二简" w:cs="Times New Roman"/>
          <w:color w:val="000000"/>
          <w:spacing w:val="20"/>
          <w:w w:val="110"/>
          <w:kern w:val="10"/>
          <w:sz w:val="23"/>
          <w:szCs w:val="23"/>
        </w:rPr>
        <w:t>时整。竞买人如需进行电脑报价的，应到交易大厦3楼使用专用电脑报价终端进行报价，电脑报价的要求详见《竞买须知》。电脑报价截止时，属“1人竞买”的，将根据竞买人的电脑报价情况和《竞买须知》的规定确定竞得人；</w:t>
      </w:r>
      <w:r>
        <w:rPr>
          <w:rFonts w:hint="eastAsia" w:ascii="汉仪书宋二简" w:hAnsi="汉仪书宋二简" w:eastAsia="汉仪书宋二简" w:cs="汉仪书宋二简"/>
          <w:color w:val="000000"/>
          <w:spacing w:val="20"/>
          <w:w w:val="110"/>
          <w:kern w:val="10"/>
          <w:sz w:val="23"/>
          <w:szCs w:val="23"/>
        </w:rPr>
        <w:t>属“多人竞买”的，将在电脑报价截止时间届满后即时进入现场竞价程序，采用</w:t>
      </w:r>
      <w:r>
        <w:rPr>
          <w:rFonts w:hint="eastAsia" w:ascii="汉仪书宋二简" w:hAnsi="汉仪书宋二简" w:eastAsia="汉仪书宋二简" w:cs="Times New Roman"/>
          <w:color w:val="000000"/>
          <w:spacing w:val="20"/>
          <w:w w:val="110"/>
          <w:kern w:val="10"/>
          <w:sz w:val="23"/>
          <w:szCs w:val="23"/>
        </w:rPr>
        <w:t>不竞地价、竞无偿移交且产权归市前海管理局的研发用房建筑面积</w:t>
      </w:r>
      <w:r>
        <w:rPr>
          <w:rFonts w:hint="eastAsia" w:ascii="汉仪书宋二简" w:hAnsi="汉仪书宋二简" w:eastAsia="汉仪书宋二简" w:cs="汉仪书宋二简"/>
          <w:color w:val="000000"/>
          <w:spacing w:val="20"/>
          <w:w w:val="110"/>
          <w:kern w:val="10"/>
          <w:sz w:val="23"/>
          <w:szCs w:val="23"/>
        </w:rPr>
        <w:t>的办法确定竞</w:t>
      </w:r>
      <w:r>
        <w:rPr>
          <w:rFonts w:hint="eastAsia" w:ascii="汉仪书宋二简" w:hAnsi="汉仪书宋二简" w:eastAsia="汉仪书宋二简" w:cs="汉仪书宋二简"/>
          <w:color w:val="000000"/>
          <w:spacing w:val="20"/>
          <w:w w:val="110"/>
          <w:kern w:val="10"/>
          <w:sz w:val="23"/>
          <w:szCs w:val="23"/>
          <w:highlight w:val="none"/>
        </w:rPr>
        <w:t>得人；</w:t>
      </w:r>
      <w:r>
        <w:rPr>
          <w:rFonts w:hint="eastAsia" w:ascii="汉仪书宋二简" w:hAnsi="汉仪书宋二简" w:eastAsia="汉仪书宋二简" w:cs="Times New Roman"/>
          <w:color w:val="000000"/>
          <w:spacing w:val="20"/>
          <w:w w:val="110"/>
          <w:kern w:val="10"/>
          <w:sz w:val="23"/>
          <w:szCs w:val="23"/>
        </w:rPr>
        <w:t>达到竞无偿移交研发用房最高建筑面积（202320平方米）后，通过摇号方式确定竞得人</w:t>
      </w:r>
      <w:r>
        <w:rPr>
          <w:rFonts w:hint="eastAsia" w:ascii="汉仪书宋二简" w:hAnsi="汉仪书宋二简" w:eastAsia="汉仪书宋二简" w:cs="汉仪书宋二简"/>
          <w:color w:val="000000"/>
          <w:spacing w:val="20"/>
          <w:w w:val="110"/>
          <w:kern w:val="10"/>
          <w:sz w:val="23"/>
          <w:szCs w:val="23"/>
          <w:highlight w:val="none"/>
        </w:rPr>
        <w:t>，参与摇号的竞买人需在竞价活动结束后当场确认摇号资格。当日现场竞价活动结束后组织现场摇号活动，具体规则以《竞买须知》《</w:t>
      </w:r>
      <w:r>
        <w:rPr>
          <w:rFonts w:hint="eastAsia" w:ascii="汉仪书宋二简" w:hAnsi="汉仪书宋二简" w:eastAsia="汉仪书宋二简" w:cs="汉仪书宋二简"/>
          <w:color w:val="000000"/>
          <w:spacing w:val="20"/>
          <w:w w:val="110"/>
          <w:kern w:val="10"/>
          <w:sz w:val="23"/>
          <w:szCs w:val="23"/>
          <w:highlight w:val="none"/>
          <w:lang w:bidi="ar"/>
        </w:rPr>
        <w:t>深圳市国有建设用地使用权出让现场</w:t>
      </w:r>
      <w:r>
        <w:rPr>
          <w:rFonts w:hint="eastAsia" w:ascii="汉仪书宋二简" w:hAnsi="汉仪书宋二简" w:eastAsia="汉仪书宋二简" w:cs="汉仪书宋二简"/>
          <w:color w:val="000000"/>
          <w:spacing w:val="20"/>
          <w:w w:val="110"/>
          <w:kern w:val="10"/>
          <w:sz w:val="23"/>
          <w:szCs w:val="23"/>
          <w:lang w:bidi="ar"/>
        </w:rPr>
        <w:t>摇号操作指引》</w:t>
      </w:r>
      <w:r>
        <w:rPr>
          <w:rFonts w:hint="eastAsia" w:ascii="汉仪书宋二简" w:hAnsi="汉仪书宋二简" w:eastAsia="汉仪书宋二简" w:cs="汉仪书宋二简"/>
          <w:color w:val="000000"/>
          <w:spacing w:val="20"/>
          <w:w w:val="110"/>
          <w:kern w:val="10"/>
          <w:sz w:val="23"/>
          <w:szCs w:val="23"/>
        </w:rPr>
        <w:t>为准。</w:t>
      </w:r>
    </w:p>
    <w:p>
      <w:pPr>
        <w:pStyle w:val="2"/>
        <w:spacing w:line="480" w:lineRule="exact"/>
        <w:ind w:firstLine="588" w:firstLineChars="200"/>
        <w:rPr>
          <w:b/>
        </w:rPr>
      </w:pPr>
      <w:r>
        <w:rPr>
          <w:rFonts w:hint="eastAsia"/>
          <w:b/>
        </w:rPr>
        <w:t>六、成交</w:t>
      </w:r>
      <w:r>
        <w:rPr>
          <w:b/>
        </w:rPr>
        <w:t>与</w:t>
      </w:r>
      <w:r>
        <w:rPr>
          <w:rFonts w:hint="eastAsia"/>
          <w:b/>
        </w:rPr>
        <w:t>缴纳</w:t>
      </w:r>
      <w:r>
        <w:rPr>
          <w:b/>
        </w:rPr>
        <w:t>地价款</w:t>
      </w:r>
    </w:p>
    <w:p>
      <w:pPr>
        <w:spacing w:line="480" w:lineRule="exact"/>
        <w:ind w:firstLine="586" w:firstLineChars="200"/>
        <w:rPr>
          <w:rFonts w:ascii="汉仪书宋二简" w:hAnsi="汉仪书宋二简" w:eastAsia="汉仪书宋二简" w:cs="汉仪书宋二简"/>
          <w:color w:val="000000"/>
          <w:spacing w:val="20"/>
          <w:w w:val="110"/>
          <w:kern w:val="10"/>
          <w:sz w:val="23"/>
          <w:szCs w:val="23"/>
        </w:rPr>
      </w:pPr>
      <w:r>
        <w:rPr>
          <w:rFonts w:hint="eastAsia" w:ascii="汉仪书宋二简" w:hAnsi="汉仪书宋二简" w:eastAsia="汉仪书宋二简" w:cs="汉仪书宋二简"/>
          <w:color w:val="000000"/>
          <w:spacing w:val="20"/>
          <w:w w:val="110"/>
          <w:kern w:val="10"/>
          <w:sz w:val="23"/>
          <w:szCs w:val="23"/>
        </w:rPr>
        <w:t>竞得人须在成交后即时签订《成交确认书》，并自签订《成交确认书》之日起5个工作日内一次性付清成交地价款。</w:t>
      </w:r>
    </w:p>
    <w:p>
      <w:pPr>
        <w:spacing w:line="400" w:lineRule="exact"/>
        <w:ind w:firstLine="588" w:firstLineChars="200"/>
        <w:rPr>
          <w:rFonts w:ascii="汉仪书宋二简" w:hAnsi="汉仪书宋二简" w:eastAsia="汉仪书宋二简" w:cs="Times New Roman"/>
          <w:b/>
          <w:bCs/>
          <w:color w:val="000000"/>
          <w:spacing w:val="20"/>
          <w:w w:val="110"/>
          <w:kern w:val="10"/>
          <w:sz w:val="23"/>
          <w:szCs w:val="23"/>
        </w:rPr>
      </w:pPr>
      <w:r>
        <w:rPr>
          <w:rFonts w:hint="default" w:ascii="汉仪书宋二简" w:hAnsi="汉仪书宋二简" w:eastAsia="汉仪书宋二简" w:cs="Times New Roman"/>
          <w:b/>
          <w:bCs/>
          <w:color w:val="000000"/>
          <w:spacing w:val="20"/>
          <w:w w:val="110"/>
          <w:kern w:val="10"/>
          <w:sz w:val="23"/>
          <w:szCs w:val="23"/>
        </w:rPr>
        <w:t>七</w:t>
      </w:r>
      <w:r>
        <w:rPr>
          <w:rFonts w:hint="eastAsia" w:ascii="汉仪书宋二简" w:hAnsi="汉仪书宋二简" w:eastAsia="汉仪书宋二简" w:cs="Times New Roman"/>
          <w:b/>
          <w:bCs/>
          <w:color w:val="000000"/>
          <w:spacing w:val="20"/>
          <w:w w:val="110"/>
          <w:kern w:val="10"/>
          <w:sz w:val="23"/>
          <w:szCs w:val="23"/>
        </w:rPr>
        <w:t>、签订出让合同</w:t>
      </w:r>
    </w:p>
    <w:p>
      <w:pPr>
        <w:spacing w:line="480" w:lineRule="exact"/>
        <w:ind w:firstLine="586" w:firstLineChars="200"/>
        <w:rPr>
          <w:rFonts w:ascii="汉仪书宋二简" w:hAnsi="汉仪书宋二简" w:eastAsia="汉仪书宋二简" w:cs="Times New Roman"/>
          <w:bCs/>
          <w:color w:val="000000"/>
          <w:spacing w:val="20"/>
          <w:w w:val="110"/>
          <w:kern w:val="10"/>
          <w:sz w:val="23"/>
          <w:szCs w:val="23"/>
        </w:rPr>
      </w:pPr>
      <w:r>
        <w:rPr>
          <w:rFonts w:hint="eastAsia" w:ascii="汉仪书宋二简" w:hAnsi="汉仪书宋二简" w:eastAsia="汉仪书宋二简" w:cs="汉仪书宋二简"/>
          <w:color w:val="000000"/>
          <w:spacing w:val="20"/>
          <w:w w:val="110"/>
          <w:kern w:val="10"/>
          <w:sz w:val="23"/>
          <w:szCs w:val="23"/>
        </w:rPr>
        <w:t>竞得人</w:t>
      </w:r>
      <w:r>
        <w:rPr>
          <w:rFonts w:hint="eastAsia" w:ascii="汉仪书宋二简" w:hAnsi="汉仪书宋二简" w:eastAsia="汉仪书宋二简" w:cs="Times New Roman"/>
          <w:bCs/>
          <w:color w:val="000000"/>
          <w:spacing w:val="20"/>
          <w:w w:val="110"/>
          <w:kern w:val="10"/>
          <w:sz w:val="23"/>
          <w:szCs w:val="23"/>
        </w:rPr>
        <w:t>须持成交确认书</w:t>
      </w:r>
      <w:r>
        <w:rPr>
          <w:rFonts w:hint="default" w:ascii="汉仪书宋二简" w:hAnsi="汉仪书宋二简" w:eastAsia="汉仪书宋二简" w:cs="Times New Roman"/>
          <w:bCs/>
          <w:color w:val="000000"/>
          <w:spacing w:val="20"/>
          <w:w w:val="110"/>
          <w:kern w:val="10"/>
          <w:sz w:val="23"/>
          <w:szCs w:val="23"/>
        </w:rPr>
        <w:t>、缴费凭证</w:t>
      </w:r>
      <w:r>
        <w:rPr>
          <w:rFonts w:hint="eastAsia" w:ascii="汉仪书宋二简" w:hAnsi="汉仪书宋二简" w:eastAsia="汉仪书宋二简" w:cs="Times New Roman"/>
          <w:bCs/>
          <w:color w:val="000000"/>
          <w:spacing w:val="20"/>
          <w:w w:val="110"/>
          <w:kern w:val="10"/>
          <w:sz w:val="23"/>
          <w:szCs w:val="23"/>
        </w:rPr>
        <w:t>等有关材料向市前海管理局申请签订《出让合同》。</w:t>
      </w:r>
    </w:p>
    <w:p>
      <w:pPr>
        <w:pStyle w:val="2"/>
        <w:spacing w:line="400" w:lineRule="exact"/>
        <w:ind w:firstLine="588" w:firstLineChars="200"/>
        <w:rPr>
          <w:b/>
          <w:bCs/>
          <w:color w:val="000000"/>
        </w:rPr>
      </w:pPr>
      <w:r>
        <w:rPr>
          <w:rFonts w:hint="default"/>
          <w:b/>
          <w:bCs/>
          <w:color w:val="000000"/>
        </w:rPr>
        <w:t>八</w:t>
      </w:r>
      <w:r>
        <w:rPr>
          <w:rFonts w:hint="eastAsia"/>
          <w:b/>
          <w:bCs/>
          <w:color w:val="000000"/>
        </w:rPr>
        <w:t>、其他</w:t>
      </w:r>
    </w:p>
    <w:p>
      <w:pPr>
        <w:spacing w:line="480" w:lineRule="exact"/>
        <w:ind w:firstLine="586" w:firstLineChars="200"/>
        <w:rPr>
          <w:rFonts w:ascii="汉仪书宋二简" w:hAnsi="汉仪书宋二简" w:eastAsia="汉仪书宋二简" w:cs="Times New Roman"/>
          <w:bCs/>
          <w:color w:val="000000"/>
          <w:spacing w:val="20"/>
          <w:w w:val="110"/>
          <w:kern w:val="10"/>
          <w:sz w:val="23"/>
          <w:szCs w:val="23"/>
        </w:rPr>
      </w:pPr>
      <w:r>
        <w:rPr>
          <w:rFonts w:hint="eastAsia" w:ascii="汉仪书宋二简" w:hAnsi="汉仪书宋二简" w:eastAsia="汉仪书宋二简" w:cs="汉仪书宋二简"/>
          <w:color w:val="000000"/>
          <w:spacing w:val="20"/>
          <w:w w:val="110"/>
          <w:kern w:val="10"/>
          <w:sz w:val="23"/>
          <w:szCs w:val="23"/>
        </w:rPr>
        <w:t>本公告内容如有调整，将在深圳土地矿业权交易平台</w:t>
      </w:r>
      <w:r>
        <w:rPr>
          <w:rFonts w:ascii="汉仪书宋二简" w:hAnsi="汉仪书宋二简" w:eastAsia="汉仪书宋二简" w:cs="汉仪书宋二简"/>
          <w:color w:val="000000"/>
          <w:spacing w:val="20"/>
          <w:w w:val="110"/>
          <w:kern w:val="10"/>
          <w:sz w:val="23"/>
          <w:szCs w:val="23"/>
        </w:rPr>
        <w:t>网站</w:t>
      </w:r>
      <w:r>
        <w:rPr>
          <w:rFonts w:hint="eastAsia" w:ascii="汉仪书宋二简" w:hAnsi="汉仪书宋二简" w:eastAsia="汉仪书宋二简" w:cs="汉仪书宋二简"/>
          <w:color w:val="000000"/>
          <w:spacing w:val="20"/>
          <w:w w:val="110"/>
          <w:kern w:val="10"/>
          <w:sz w:val="23"/>
          <w:szCs w:val="23"/>
        </w:rPr>
        <w:t>发布补充公告，不再另行通知。本公告有关详细资料请参阅挂牌出让文件（包括但不限于本公告、《竞买须知》《成交确认书》《出让合同》《产业监管协议书》《建设质量安全监管协议书》《深圳市国有建设用地使用权出让现场摇号操作指引》《国有土地使用权出让收入缴</w:t>
      </w:r>
      <w:r>
        <w:rPr>
          <w:rFonts w:hint="eastAsia" w:ascii="汉仪书宋二简" w:hAnsi="汉仪书宋二简" w:eastAsia="汉仪书宋二简" w:cs="Times New Roman"/>
          <w:color w:val="000000"/>
          <w:spacing w:val="20"/>
          <w:w w:val="110"/>
          <w:kern w:val="10"/>
          <w:sz w:val="23"/>
          <w:szCs w:val="23"/>
        </w:rPr>
        <w:t>款及竞买保证金退转操作指引》</w:t>
      </w:r>
      <w:r>
        <w:rPr>
          <w:rFonts w:hint="eastAsia" w:ascii="汉仪书宋二简" w:hAnsi="汉仪书宋二简" w:eastAsia="汉仪书宋二简" w:cs="汉仪书宋二简"/>
          <w:color w:val="000000"/>
          <w:spacing w:val="20"/>
          <w:w w:val="110"/>
          <w:kern w:val="10"/>
          <w:sz w:val="23"/>
          <w:szCs w:val="23"/>
        </w:rPr>
        <w:t>等）。本公告同时在市前海管理局、深圳土地矿业权交易平台</w:t>
      </w:r>
      <w:r>
        <w:rPr>
          <w:rFonts w:ascii="汉仪书宋二简" w:hAnsi="汉仪书宋二简" w:eastAsia="汉仪书宋二简" w:cs="汉仪书宋二简"/>
          <w:color w:val="000000"/>
          <w:spacing w:val="20"/>
          <w:w w:val="110"/>
          <w:kern w:val="10"/>
          <w:sz w:val="23"/>
          <w:szCs w:val="23"/>
        </w:rPr>
        <w:t>网站</w:t>
      </w:r>
      <w:r>
        <w:rPr>
          <w:rFonts w:hint="eastAsia" w:ascii="汉仪书宋二简" w:hAnsi="汉仪书宋二简" w:eastAsia="汉仪书宋二简" w:cs="汉仪书宋二简"/>
          <w:color w:val="000000"/>
          <w:spacing w:val="20"/>
          <w:w w:val="110"/>
          <w:kern w:val="10"/>
          <w:sz w:val="23"/>
          <w:szCs w:val="23"/>
        </w:rPr>
        <w:t>发布，挂牌出让文件可在深圳土地矿业权交易平台网站下载。</w:t>
      </w:r>
      <w:r>
        <w:rPr>
          <w:rFonts w:hint="eastAsia" w:ascii="汉仪书宋二简" w:hAnsi="汉仪书宋二简" w:eastAsia="汉仪书宋二简" w:cs="Times New Roman"/>
          <w:bCs/>
          <w:color w:val="000000"/>
          <w:spacing w:val="20"/>
          <w:w w:val="110"/>
          <w:kern w:val="10"/>
          <w:sz w:val="23"/>
          <w:szCs w:val="23"/>
        </w:rPr>
        <w:t>需咨询本公告出让程序相关问题的，可以书面方式向深圳交易集团有限公司土地矿业权业务分公司提出；其他相关问题，请迳向相关职能部门提出。</w:t>
      </w:r>
    </w:p>
    <w:p>
      <w:pPr>
        <w:spacing w:line="480" w:lineRule="exact"/>
        <w:ind w:firstLine="586" w:firstLineChars="200"/>
        <w:jc w:val="left"/>
        <w:rPr>
          <w:rFonts w:ascii="汉仪书宋二简" w:hAnsi="汉仪书宋二简" w:eastAsia="汉仪书宋二简" w:cs="Times New Roman"/>
          <w:bCs/>
          <w:color w:val="000000"/>
          <w:spacing w:val="20"/>
          <w:w w:val="110"/>
          <w:kern w:val="10"/>
          <w:sz w:val="23"/>
          <w:szCs w:val="23"/>
        </w:rPr>
      </w:pPr>
    </w:p>
    <w:p>
      <w:pPr>
        <w:spacing w:line="480" w:lineRule="exact"/>
        <w:ind w:firstLine="586" w:firstLineChars="200"/>
        <w:jc w:val="left"/>
        <w:rPr>
          <w:rFonts w:ascii="汉仪书宋二简" w:hAnsi="汉仪书宋二简" w:eastAsia="汉仪书宋二简" w:cs="Times New Roman"/>
          <w:bCs/>
          <w:color w:val="000000"/>
          <w:spacing w:val="20"/>
          <w:w w:val="110"/>
          <w:kern w:val="10"/>
          <w:sz w:val="23"/>
          <w:szCs w:val="23"/>
        </w:rPr>
      </w:pPr>
      <w:r>
        <w:rPr>
          <w:rFonts w:hint="eastAsia" w:ascii="汉仪书宋二简" w:hAnsi="汉仪书宋二简" w:eastAsia="汉仪书宋二简" w:cs="Times New Roman"/>
          <w:bCs/>
          <w:color w:val="000000"/>
          <w:spacing w:val="20"/>
          <w:w w:val="110"/>
          <w:kern w:val="10"/>
          <w:sz w:val="23"/>
          <w:szCs w:val="23"/>
        </w:rPr>
        <w:t>深圳市前海深港现代服务业合作区管理局</w:t>
      </w:r>
      <w:r>
        <w:rPr>
          <w:rFonts w:ascii="汉仪书宋二简" w:hAnsi="汉仪书宋二简" w:eastAsia="汉仪书宋二简" w:cs="Times New Roman"/>
          <w:bCs/>
          <w:color w:val="000000"/>
          <w:spacing w:val="20"/>
          <w:w w:val="110"/>
          <w:kern w:val="10"/>
          <w:sz w:val="23"/>
          <w:szCs w:val="23"/>
        </w:rPr>
        <w:t xml:space="preserve"> </w:t>
      </w:r>
      <w:r>
        <w:rPr>
          <w:rFonts w:hint="eastAsia" w:ascii="汉仪书宋二简" w:hAnsi="汉仪书宋二简" w:eastAsia="汉仪书宋二简" w:cs="Times New Roman"/>
          <w:bCs/>
          <w:color w:val="000000"/>
          <w:spacing w:val="20"/>
          <w:w w:val="110"/>
          <w:kern w:val="10"/>
          <w:sz w:val="23"/>
          <w:szCs w:val="23"/>
        </w:rPr>
        <w:t>地址：深圳市南山区东滨路与月亮湾大道交汇处南侧前海深港合作区综合办公楼；咨询电话：（0755）</w:t>
      </w:r>
      <w:r>
        <w:rPr>
          <w:rFonts w:hint="default" w:ascii="汉仪书宋二简" w:hAnsi="汉仪书宋二简" w:eastAsia="汉仪书宋二简" w:cs="Times New Roman"/>
          <w:bCs/>
          <w:color w:val="000000"/>
          <w:spacing w:val="20"/>
          <w:w w:val="110"/>
          <w:kern w:val="10"/>
          <w:sz w:val="23"/>
          <w:szCs w:val="23"/>
        </w:rPr>
        <w:t>88105165</w:t>
      </w:r>
      <w:r>
        <w:rPr>
          <w:rFonts w:hint="eastAsia" w:ascii="汉仪书宋二简" w:hAnsi="汉仪书宋二简" w:eastAsia="汉仪书宋二简" w:cs="Times New Roman"/>
          <w:bCs/>
          <w:color w:val="000000"/>
          <w:spacing w:val="20"/>
          <w:w w:val="110"/>
          <w:kern w:val="10"/>
          <w:sz w:val="23"/>
          <w:szCs w:val="23"/>
        </w:rPr>
        <w:t>（规划条件）、（0755）</w:t>
      </w:r>
      <w:r>
        <w:rPr>
          <w:rFonts w:hint="default" w:ascii="汉仪书宋二简" w:hAnsi="汉仪书宋二简" w:eastAsia="汉仪书宋二简" w:cs="Times New Roman"/>
          <w:bCs/>
          <w:color w:val="000000"/>
          <w:spacing w:val="20"/>
          <w:w w:val="110"/>
          <w:kern w:val="10"/>
          <w:sz w:val="23"/>
          <w:szCs w:val="23"/>
        </w:rPr>
        <w:t>88105169</w:t>
      </w:r>
      <w:r>
        <w:rPr>
          <w:rFonts w:hint="eastAsia" w:ascii="汉仪书宋二简" w:hAnsi="汉仪书宋二简" w:eastAsia="汉仪书宋二简" w:cs="Times New Roman"/>
          <w:bCs/>
          <w:color w:val="000000"/>
          <w:spacing w:val="20"/>
          <w:w w:val="110"/>
          <w:kern w:val="10"/>
          <w:sz w:val="23"/>
          <w:szCs w:val="23"/>
        </w:rPr>
        <w:t>（用地出让）；网址：http://qh.sz.gov.cn/。</w:t>
      </w:r>
    </w:p>
    <w:p>
      <w:pPr>
        <w:spacing w:line="480" w:lineRule="exact"/>
        <w:ind w:firstLine="586" w:firstLineChars="200"/>
        <w:jc w:val="left"/>
        <w:rPr>
          <w:rFonts w:ascii="汉仪书宋二简" w:hAnsi="汉仪书宋二简" w:eastAsia="汉仪书宋二简" w:cs="Times New Roman"/>
          <w:bCs/>
          <w:color w:val="000000"/>
          <w:spacing w:val="20"/>
          <w:w w:val="110"/>
          <w:kern w:val="10"/>
          <w:sz w:val="23"/>
          <w:szCs w:val="23"/>
        </w:rPr>
      </w:pPr>
      <w:r>
        <w:rPr>
          <w:rFonts w:hint="eastAsia" w:ascii="汉仪书宋二简" w:hAnsi="汉仪书宋二简" w:eastAsia="汉仪书宋二简" w:cs="Times New Roman"/>
          <w:bCs/>
          <w:color w:val="000000"/>
          <w:spacing w:val="20"/>
          <w:w w:val="110"/>
          <w:kern w:val="10"/>
          <w:sz w:val="23"/>
          <w:szCs w:val="23"/>
        </w:rPr>
        <w:t>深圳交易集团有限公司土地矿业权业务分公司 地址：深圳市福田区红荔西路8007号土地房产交易大厦3楼；咨询电话：（0755）82713074、（0755）82713274；网址：https://td.szggzy.com。</w:t>
      </w:r>
    </w:p>
    <w:p>
      <w:pPr>
        <w:pStyle w:val="2"/>
        <w:spacing w:line="400" w:lineRule="exact"/>
        <w:ind w:firstLine="0" w:firstLineChars="0"/>
        <w:jc w:val="left"/>
        <w:rPr>
          <w:color w:val="000000"/>
        </w:rPr>
      </w:pPr>
    </w:p>
    <w:p>
      <w:pPr>
        <w:spacing w:line="480" w:lineRule="exact"/>
        <w:ind w:firstLine="588" w:firstLineChars="200"/>
        <w:jc w:val="right"/>
        <w:rPr>
          <w:rFonts w:ascii="汉仪书宋二简" w:hAnsi="汉仪书宋二简" w:eastAsia="汉仪书宋二简" w:cs="Times New Roman"/>
          <w:b/>
          <w:color w:val="000000"/>
          <w:spacing w:val="20"/>
          <w:w w:val="110"/>
          <w:kern w:val="10"/>
          <w:sz w:val="23"/>
          <w:szCs w:val="23"/>
        </w:rPr>
      </w:pPr>
      <w:r>
        <w:rPr>
          <w:rFonts w:hint="eastAsia" w:ascii="汉仪书宋二简" w:hAnsi="汉仪书宋二简" w:eastAsia="汉仪书宋二简" w:cs="Times New Roman"/>
          <w:b/>
          <w:color w:val="000000"/>
          <w:spacing w:val="20"/>
          <w:w w:val="110"/>
          <w:kern w:val="10"/>
          <w:sz w:val="23"/>
          <w:szCs w:val="23"/>
        </w:rPr>
        <w:t>出让人：深圳市前海深港现代服务业合作区管理局</w:t>
      </w:r>
    </w:p>
    <w:p>
      <w:pPr>
        <w:spacing w:line="480" w:lineRule="exact"/>
        <w:ind w:firstLine="588" w:firstLineChars="200"/>
        <w:jc w:val="right"/>
        <w:rPr>
          <w:rFonts w:ascii="汉仪书宋二简" w:hAnsi="汉仪书宋二简" w:eastAsia="汉仪书宋二简" w:cs="Times New Roman"/>
          <w:b/>
          <w:color w:val="000000"/>
          <w:spacing w:val="20"/>
          <w:w w:val="110"/>
          <w:kern w:val="10"/>
          <w:sz w:val="23"/>
          <w:szCs w:val="23"/>
        </w:rPr>
      </w:pPr>
      <w:r>
        <w:rPr>
          <w:rFonts w:hint="eastAsia" w:ascii="汉仪书宋二简" w:hAnsi="汉仪书宋二简" w:eastAsia="汉仪书宋二简" w:cs="Times New Roman"/>
          <w:b/>
          <w:color w:val="000000"/>
          <w:spacing w:val="20"/>
          <w:w w:val="110"/>
          <w:kern w:val="10"/>
          <w:sz w:val="23"/>
          <w:szCs w:val="23"/>
        </w:rPr>
        <w:t>交易机构：深圳交易集团有限公司</w:t>
      </w:r>
    </w:p>
    <w:p>
      <w:pPr>
        <w:spacing w:line="480" w:lineRule="exact"/>
        <w:ind w:firstLine="588" w:firstLineChars="200"/>
        <w:jc w:val="right"/>
        <w:rPr>
          <w:rFonts w:ascii="汉仪书宋二简" w:hAnsi="汉仪书宋二简" w:eastAsia="汉仪书宋二简" w:cs="Times New Roman"/>
          <w:b/>
          <w:color w:val="000000"/>
          <w:spacing w:val="20"/>
          <w:w w:val="110"/>
          <w:kern w:val="10"/>
          <w:sz w:val="23"/>
          <w:szCs w:val="23"/>
        </w:rPr>
      </w:pPr>
      <w:r>
        <w:rPr>
          <w:rFonts w:hint="eastAsia" w:ascii="汉仪书宋二简" w:hAnsi="汉仪书宋二简" w:eastAsia="汉仪书宋二简" w:cs="Times New Roman"/>
          <w:b/>
          <w:color w:val="000000"/>
          <w:spacing w:val="20"/>
          <w:w w:val="110"/>
          <w:kern w:val="10"/>
          <w:sz w:val="23"/>
          <w:szCs w:val="23"/>
        </w:rPr>
        <w:t>（深圳公共资源交易中心）</w:t>
      </w:r>
    </w:p>
    <w:p>
      <w:pPr>
        <w:spacing w:line="480" w:lineRule="exact"/>
        <w:ind w:firstLine="586"/>
        <w:jc w:val="right"/>
        <w:rPr>
          <w:rFonts w:ascii="汉仪书宋二简" w:hAnsi="汉仪书宋二简" w:eastAsia="汉仪书宋二简" w:cs="Times New Roman"/>
          <w:b/>
          <w:color w:val="000000"/>
          <w:spacing w:val="20"/>
          <w:w w:val="110"/>
          <w:kern w:val="10"/>
          <w:sz w:val="23"/>
          <w:szCs w:val="23"/>
        </w:rPr>
      </w:pPr>
      <w:r>
        <w:rPr>
          <w:rFonts w:hint="eastAsia" w:ascii="汉仪书宋二简" w:hAnsi="汉仪书宋二简" w:eastAsia="汉仪书宋二简" w:cs="Times New Roman"/>
          <w:b/>
          <w:color w:val="000000"/>
          <w:spacing w:val="20"/>
          <w:w w:val="110"/>
          <w:kern w:val="10"/>
          <w:sz w:val="23"/>
          <w:szCs w:val="23"/>
        </w:rPr>
        <w:t>202</w:t>
      </w:r>
      <w:r>
        <w:rPr>
          <w:rFonts w:ascii="汉仪书宋二简" w:hAnsi="汉仪书宋二简" w:eastAsia="汉仪书宋二简" w:cs="Times New Roman"/>
          <w:b/>
          <w:color w:val="000000"/>
          <w:spacing w:val="20"/>
          <w:w w:val="110"/>
          <w:kern w:val="10"/>
          <w:sz w:val="23"/>
          <w:szCs w:val="23"/>
        </w:rPr>
        <w:t>2</w:t>
      </w:r>
      <w:r>
        <w:rPr>
          <w:rFonts w:hint="eastAsia" w:ascii="汉仪书宋二简" w:hAnsi="汉仪书宋二简" w:eastAsia="汉仪书宋二简" w:cs="Times New Roman"/>
          <w:b/>
          <w:color w:val="000000"/>
          <w:spacing w:val="20"/>
          <w:w w:val="110"/>
          <w:kern w:val="10"/>
          <w:sz w:val="23"/>
          <w:szCs w:val="23"/>
        </w:rPr>
        <w:t>年</w:t>
      </w:r>
      <w:r>
        <w:rPr>
          <w:rFonts w:hint="default" w:ascii="汉仪书宋二简" w:hAnsi="汉仪书宋二简" w:eastAsia="汉仪书宋二简" w:cs="Times New Roman"/>
          <w:b/>
          <w:color w:val="000000"/>
          <w:spacing w:val="20"/>
          <w:w w:val="110"/>
          <w:kern w:val="10"/>
          <w:sz w:val="23"/>
          <w:szCs w:val="23"/>
        </w:rPr>
        <w:t>11</w:t>
      </w:r>
      <w:r>
        <w:rPr>
          <w:rFonts w:hint="eastAsia" w:ascii="汉仪书宋二简" w:hAnsi="汉仪书宋二简" w:eastAsia="汉仪书宋二简" w:cs="Times New Roman"/>
          <w:b/>
          <w:color w:val="000000"/>
          <w:spacing w:val="20"/>
          <w:w w:val="110"/>
          <w:kern w:val="10"/>
          <w:sz w:val="23"/>
          <w:szCs w:val="23"/>
        </w:rPr>
        <w:t>月</w:t>
      </w:r>
      <w:r>
        <w:rPr>
          <w:rFonts w:hint="eastAsia" w:ascii="汉仪书宋二简" w:hAnsi="汉仪书宋二简" w:eastAsia="汉仪书宋二简" w:cs="Times New Roman"/>
          <w:b/>
          <w:color w:val="000000"/>
          <w:spacing w:val="20"/>
          <w:w w:val="110"/>
          <w:kern w:val="10"/>
          <w:sz w:val="23"/>
          <w:szCs w:val="23"/>
          <w:lang w:val="en-US" w:eastAsia="zh-CN"/>
        </w:rPr>
        <w:t>11</w:t>
      </w:r>
      <w:r>
        <w:rPr>
          <w:rFonts w:hint="eastAsia" w:ascii="汉仪书宋二简" w:hAnsi="汉仪书宋二简" w:eastAsia="汉仪书宋二简" w:cs="Times New Roman"/>
          <w:b/>
          <w:color w:val="000000"/>
          <w:spacing w:val="20"/>
          <w:w w:val="110"/>
          <w:kern w:val="10"/>
          <w:sz w:val="23"/>
          <w:szCs w:val="23"/>
        </w:rPr>
        <w:t>日</w:t>
      </w:r>
    </w:p>
    <w:p>
      <w:pPr>
        <w:pStyle w:val="2"/>
        <w:spacing w:line="400" w:lineRule="exact"/>
        <w:ind w:firstLine="586" w:firstLineChars="200"/>
        <w:jc w:val="right"/>
        <w:rPr>
          <w:color w:val="00000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04b_21">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汉仪书宋二简">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654B19"/>
    <w:multiLevelType w:val="singleLevel"/>
    <w:tmpl w:val="E7654B19"/>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MGYzM2E4OGU5N2U1MTlmNjc4YTYzMDNmNDM4ZmIifQ=="/>
  </w:docVars>
  <w:rsids>
    <w:rsidRoot w:val="005B242C"/>
    <w:rsid w:val="00003DA6"/>
    <w:rsid w:val="000639A6"/>
    <w:rsid w:val="00073A07"/>
    <w:rsid w:val="000A2C75"/>
    <w:rsid w:val="000C04FF"/>
    <w:rsid w:val="000C571C"/>
    <w:rsid w:val="000C7FA2"/>
    <w:rsid w:val="00122C80"/>
    <w:rsid w:val="0013162B"/>
    <w:rsid w:val="0014025A"/>
    <w:rsid w:val="00147BD7"/>
    <w:rsid w:val="001A458E"/>
    <w:rsid w:val="001A49C4"/>
    <w:rsid w:val="001B3EB4"/>
    <w:rsid w:val="001B7B99"/>
    <w:rsid w:val="001F354C"/>
    <w:rsid w:val="0020733D"/>
    <w:rsid w:val="00232AA9"/>
    <w:rsid w:val="0023308F"/>
    <w:rsid w:val="002542F6"/>
    <w:rsid w:val="00264ECE"/>
    <w:rsid w:val="00270366"/>
    <w:rsid w:val="00296ED5"/>
    <w:rsid w:val="002A33E9"/>
    <w:rsid w:val="002B0BD3"/>
    <w:rsid w:val="00323B17"/>
    <w:rsid w:val="00336840"/>
    <w:rsid w:val="00350522"/>
    <w:rsid w:val="003B492D"/>
    <w:rsid w:val="00403358"/>
    <w:rsid w:val="00413670"/>
    <w:rsid w:val="0042187C"/>
    <w:rsid w:val="00422D57"/>
    <w:rsid w:val="00440894"/>
    <w:rsid w:val="004726EF"/>
    <w:rsid w:val="004843F3"/>
    <w:rsid w:val="004D19A4"/>
    <w:rsid w:val="004E29CC"/>
    <w:rsid w:val="004F3137"/>
    <w:rsid w:val="005528BB"/>
    <w:rsid w:val="00552DCA"/>
    <w:rsid w:val="005A2FC6"/>
    <w:rsid w:val="005B242C"/>
    <w:rsid w:val="00610EA9"/>
    <w:rsid w:val="0062006A"/>
    <w:rsid w:val="00632AE2"/>
    <w:rsid w:val="006334B0"/>
    <w:rsid w:val="0063784B"/>
    <w:rsid w:val="00656AD9"/>
    <w:rsid w:val="007638BC"/>
    <w:rsid w:val="00795030"/>
    <w:rsid w:val="007A1658"/>
    <w:rsid w:val="007B57AE"/>
    <w:rsid w:val="007C1F85"/>
    <w:rsid w:val="007C61FB"/>
    <w:rsid w:val="007D5002"/>
    <w:rsid w:val="007D59DB"/>
    <w:rsid w:val="007F7870"/>
    <w:rsid w:val="00814D3A"/>
    <w:rsid w:val="00815C4F"/>
    <w:rsid w:val="00837014"/>
    <w:rsid w:val="00873DD8"/>
    <w:rsid w:val="008C513F"/>
    <w:rsid w:val="009220BD"/>
    <w:rsid w:val="00960843"/>
    <w:rsid w:val="00961674"/>
    <w:rsid w:val="0096319D"/>
    <w:rsid w:val="00986468"/>
    <w:rsid w:val="00994CD3"/>
    <w:rsid w:val="00996311"/>
    <w:rsid w:val="009D1726"/>
    <w:rsid w:val="00A11727"/>
    <w:rsid w:val="00A12E30"/>
    <w:rsid w:val="00A64874"/>
    <w:rsid w:val="00A847FC"/>
    <w:rsid w:val="00AB0A56"/>
    <w:rsid w:val="00AB365A"/>
    <w:rsid w:val="00AB728B"/>
    <w:rsid w:val="00AC537A"/>
    <w:rsid w:val="00AE1BAC"/>
    <w:rsid w:val="00B31623"/>
    <w:rsid w:val="00B73048"/>
    <w:rsid w:val="00B922BD"/>
    <w:rsid w:val="00BD54E5"/>
    <w:rsid w:val="00C1182D"/>
    <w:rsid w:val="00C245FC"/>
    <w:rsid w:val="00C33A79"/>
    <w:rsid w:val="00C85529"/>
    <w:rsid w:val="00CA0D9F"/>
    <w:rsid w:val="00CE7D30"/>
    <w:rsid w:val="00D418B4"/>
    <w:rsid w:val="00D46C82"/>
    <w:rsid w:val="00D72007"/>
    <w:rsid w:val="00DA7684"/>
    <w:rsid w:val="00E00043"/>
    <w:rsid w:val="00E34018"/>
    <w:rsid w:val="00E42236"/>
    <w:rsid w:val="00E541EC"/>
    <w:rsid w:val="00EA348B"/>
    <w:rsid w:val="00EF5DD6"/>
    <w:rsid w:val="00F15DFD"/>
    <w:rsid w:val="00F3158E"/>
    <w:rsid w:val="00F4072E"/>
    <w:rsid w:val="00F758D0"/>
    <w:rsid w:val="00F91961"/>
    <w:rsid w:val="00FA654A"/>
    <w:rsid w:val="00FB159E"/>
    <w:rsid w:val="00FB3470"/>
    <w:rsid w:val="02507945"/>
    <w:rsid w:val="02610E6F"/>
    <w:rsid w:val="0281109E"/>
    <w:rsid w:val="05807340"/>
    <w:rsid w:val="05A827C4"/>
    <w:rsid w:val="07DB2C36"/>
    <w:rsid w:val="08B76807"/>
    <w:rsid w:val="0A397E8E"/>
    <w:rsid w:val="0A4D2B43"/>
    <w:rsid w:val="0BB15D3C"/>
    <w:rsid w:val="0D426B27"/>
    <w:rsid w:val="0D7E3B76"/>
    <w:rsid w:val="10170759"/>
    <w:rsid w:val="10220DC0"/>
    <w:rsid w:val="102D3502"/>
    <w:rsid w:val="114A7F55"/>
    <w:rsid w:val="13451652"/>
    <w:rsid w:val="135564D5"/>
    <w:rsid w:val="14B94A0A"/>
    <w:rsid w:val="17902B88"/>
    <w:rsid w:val="18223587"/>
    <w:rsid w:val="1D2642A2"/>
    <w:rsid w:val="1D454C6B"/>
    <w:rsid w:val="1DF91F39"/>
    <w:rsid w:val="1F5369CD"/>
    <w:rsid w:val="1FAFF0A2"/>
    <w:rsid w:val="20AF69F6"/>
    <w:rsid w:val="245C7ADE"/>
    <w:rsid w:val="253836C1"/>
    <w:rsid w:val="290F5326"/>
    <w:rsid w:val="293C4E1C"/>
    <w:rsid w:val="298C1931"/>
    <w:rsid w:val="2B825135"/>
    <w:rsid w:val="2B8A7C6E"/>
    <w:rsid w:val="2B922DD4"/>
    <w:rsid w:val="2C166C0C"/>
    <w:rsid w:val="2C7A6905"/>
    <w:rsid w:val="2D661583"/>
    <w:rsid w:val="2EB25F9F"/>
    <w:rsid w:val="30075B69"/>
    <w:rsid w:val="304429E9"/>
    <w:rsid w:val="30DE47A8"/>
    <w:rsid w:val="31242876"/>
    <w:rsid w:val="330D48B0"/>
    <w:rsid w:val="347E11DA"/>
    <w:rsid w:val="34CD5E73"/>
    <w:rsid w:val="354C1BA5"/>
    <w:rsid w:val="36B80237"/>
    <w:rsid w:val="37C13F99"/>
    <w:rsid w:val="39053BD7"/>
    <w:rsid w:val="3A3D65B0"/>
    <w:rsid w:val="3B6502EE"/>
    <w:rsid w:val="3C27629D"/>
    <w:rsid w:val="3E3B237E"/>
    <w:rsid w:val="3E502898"/>
    <w:rsid w:val="406A7025"/>
    <w:rsid w:val="40D833B3"/>
    <w:rsid w:val="40EB016A"/>
    <w:rsid w:val="421111F6"/>
    <w:rsid w:val="423F5F2C"/>
    <w:rsid w:val="454D1609"/>
    <w:rsid w:val="4700755F"/>
    <w:rsid w:val="49724BF8"/>
    <w:rsid w:val="4AE60C6D"/>
    <w:rsid w:val="4B3A0274"/>
    <w:rsid w:val="4D8D6FC2"/>
    <w:rsid w:val="4EED611E"/>
    <w:rsid w:val="4F5A5AC2"/>
    <w:rsid w:val="50542831"/>
    <w:rsid w:val="520415F1"/>
    <w:rsid w:val="564754A0"/>
    <w:rsid w:val="57741095"/>
    <w:rsid w:val="5A2F606E"/>
    <w:rsid w:val="5B9612B1"/>
    <w:rsid w:val="5C702869"/>
    <w:rsid w:val="5DAB16BD"/>
    <w:rsid w:val="603165C1"/>
    <w:rsid w:val="604A30D4"/>
    <w:rsid w:val="611D1A2C"/>
    <w:rsid w:val="625225A5"/>
    <w:rsid w:val="6544237C"/>
    <w:rsid w:val="66AD11D0"/>
    <w:rsid w:val="679A4C3E"/>
    <w:rsid w:val="67D02FA3"/>
    <w:rsid w:val="699F2D87"/>
    <w:rsid w:val="6AA6EC80"/>
    <w:rsid w:val="6CB36B3D"/>
    <w:rsid w:val="6D9654C5"/>
    <w:rsid w:val="6E77322F"/>
    <w:rsid w:val="6EDB88F4"/>
    <w:rsid w:val="6FD7364D"/>
    <w:rsid w:val="6FEB6F87"/>
    <w:rsid w:val="721B2AC4"/>
    <w:rsid w:val="72620A4E"/>
    <w:rsid w:val="74F85E27"/>
    <w:rsid w:val="76072AE4"/>
    <w:rsid w:val="76984A3E"/>
    <w:rsid w:val="77EF5926"/>
    <w:rsid w:val="7867B132"/>
    <w:rsid w:val="789D1ADF"/>
    <w:rsid w:val="78C004C2"/>
    <w:rsid w:val="79942EFA"/>
    <w:rsid w:val="7A582800"/>
    <w:rsid w:val="7BFF94DA"/>
    <w:rsid w:val="7C53045C"/>
    <w:rsid w:val="7D0511D3"/>
    <w:rsid w:val="7DC1153B"/>
    <w:rsid w:val="7DF32EA2"/>
    <w:rsid w:val="7E101012"/>
    <w:rsid w:val="7FF717BC"/>
    <w:rsid w:val="7FFB5080"/>
    <w:rsid w:val="B3F34273"/>
    <w:rsid w:val="CBFFB30A"/>
    <w:rsid w:val="D6FFE327"/>
    <w:rsid w:val="DF576A7F"/>
    <w:rsid w:val="F2A74F9F"/>
    <w:rsid w:val="FEFB1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Math" w:hAnsi="Cambria Math" w:eastAsia="宋体" w:cs="04b_21"/>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520" w:lineRule="exact"/>
      <w:ind w:firstLine="416" w:firstLineChars="147"/>
    </w:pPr>
    <w:rPr>
      <w:rFonts w:ascii="汉仪书宋二简" w:hAnsi="汉仪书宋二简" w:eastAsia="汉仪书宋二简" w:cs="Times New Roman"/>
      <w:spacing w:val="20"/>
      <w:w w:val="110"/>
      <w:kern w:val="10"/>
      <w:sz w:val="23"/>
      <w:szCs w:val="23"/>
    </w:r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Char"/>
    <w:basedOn w:val="8"/>
    <w:link w:val="5"/>
    <w:qFormat/>
    <w:uiPriority w:val="0"/>
    <w:rPr>
      <w:rFonts w:ascii="Cambria Math" w:hAnsi="Cambria Math" w:eastAsia="宋体" w:cs="04b_21"/>
      <w:kern w:val="2"/>
      <w:sz w:val="18"/>
      <w:szCs w:val="18"/>
    </w:rPr>
  </w:style>
  <w:style w:type="character" w:customStyle="1" w:styleId="10">
    <w:name w:val="页脚 Char"/>
    <w:basedOn w:val="8"/>
    <w:link w:val="4"/>
    <w:qFormat/>
    <w:uiPriority w:val="0"/>
    <w:rPr>
      <w:rFonts w:ascii="Cambria Math" w:hAnsi="Cambria Math" w:eastAsia="宋体" w:cs="04b_21"/>
      <w:kern w:val="2"/>
      <w:sz w:val="18"/>
      <w:szCs w:val="18"/>
    </w:rPr>
  </w:style>
  <w:style w:type="character" w:customStyle="1" w:styleId="11">
    <w:name w:val="批注框文本 Char"/>
    <w:basedOn w:val="8"/>
    <w:link w:val="3"/>
    <w:qFormat/>
    <w:uiPriority w:val="0"/>
    <w:rPr>
      <w:rFonts w:ascii="Cambria Math" w:hAnsi="Cambria Math" w:cs="04b_21"/>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2872</Words>
  <Characters>3122</Characters>
  <Lines>42</Lines>
  <Paragraphs>12</Paragraphs>
  <TotalTime>0</TotalTime>
  <ScaleCrop>false</ScaleCrop>
  <LinksUpToDate>false</LinksUpToDate>
  <CharactersWithSpaces>3124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2021-07-04T09:30:00Z</dcterms:created>
  <dc:creator>liyunguo</dc:creator>
  <cp:lastModifiedBy>Lee 1</cp:lastModifiedBy>
  <cp:lastPrinted>2022-11-09T01:08:00Z</cp:lastPrinted>
  <dcterms:modified xsi:type="dcterms:W3CDTF">2022-11-10T07:25:37Z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CA7685EEAB204FAA838F361732D44BCC</vt:lpwstr>
  </property>
</Properties>
</file>