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both"/>
        <w:textAlignment w:val="auto"/>
        <w:rPr>
          <w:rFonts w:hint="default" w:ascii="仿宋_GB2312" w:eastAsia="仿宋_GB2312" w:cs="仿宋_GB2312"/>
          <w:kern w:val="2"/>
          <w:sz w:val="32"/>
          <w:szCs w:val="32"/>
          <w:highlight w:val="none"/>
          <w:lang w:val="en-US" w:eastAsia="zh-CN"/>
        </w:rPr>
      </w:pPr>
      <w:r>
        <w:rPr>
          <w:rFonts w:hint="eastAsia" w:ascii="仿宋_GB2312" w:eastAsia="仿宋_GB2312" w:cs="仿宋_GB2312"/>
          <w:kern w:val="2"/>
          <w:sz w:val="32"/>
          <w:szCs w:val="32"/>
          <w:highlight w:val="none"/>
          <w:lang w:val="en-US" w:eastAsia="zh-CN"/>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黑体" w:hAnsi="宋体" w:eastAsia="黑体" w:cs="黑体"/>
          <w:b/>
          <w:kern w:val="2"/>
          <w:sz w:val="21"/>
          <w:szCs w:val="21"/>
          <w:highlight w:val="none"/>
        </w:rPr>
      </w:pPr>
      <w:r>
        <w:rPr>
          <w:rFonts w:hint="eastAsia" w:ascii="黑体" w:hAnsi="宋体" w:eastAsia="黑体" w:cs="黑体"/>
          <w:b/>
          <w:kern w:val="2"/>
          <w:sz w:val="21"/>
          <w:szCs w:val="21"/>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both"/>
        <w:textAlignment w:val="auto"/>
        <w:rPr>
          <w:rFonts w:hint="eastAsia" w:ascii="黑体" w:hAnsi="宋体" w:eastAsia="黑体" w:cs="黑体"/>
          <w:b/>
          <w:kern w:val="2"/>
          <w:sz w:val="21"/>
          <w:szCs w:val="21"/>
          <w:highlight w:val="none"/>
        </w:rPr>
      </w:pPr>
      <w:r>
        <w:rPr>
          <w:rFonts w:hint="eastAsia" w:ascii="黑体" w:hAnsi="宋体" w:eastAsia="黑体" w:cs="黑体"/>
          <w:b/>
          <w:kern w:val="2"/>
          <w:sz w:val="21"/>
          <w:szCs w:val="21"/>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方正小标宋_GBK" w:hAnsi="方正小标宋_GBK" w:eastAsia="方正小标宋_GBK" w:cs="方正小标宋_GBK"/>
          <w:kern w:val="2"/>
          <w:sz w:val="44"/>
          <w:szCs w:val="44"/>
          <w:highlight w:val="none"/>
        </w:rPr>
      </w:pPr>
      <w:r>
        <w:rPr>
          <w:rFonts w:hint="eastAsia" w:ascii="方正小标宋_GBK" w:hAnsi="方正小标宋_GBK" w:eastAsia="方正小标宋_GBK" w:cs="方正小标宋_GBK"/>
          <w:b/>
          <w:color w:val="000000"/>
          <w:kern w:val="2"/>
          <w:sz w:val="44"/>
          <w:szCs w:val="44"/>
          <w:highlight w:val="none"/>
          <w:lang w:val="en-US" w:eastAsia="zh-CN" w:bidi="ar"/>
        </w:rPr>
        <w:t>《先进制造业联合总部基地产业监管协议》</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仿宋_GB2312" w:hAnsi="宋体" w:eastAsia="仿宋_GB2312" w:cs="仿宋_GB2312"/>
          <w:b/>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仿宋_GB2312" w:hAnsi="宋体" w:eastAsia="仿宋_GB2312" w:cs="仿宋_GB2312"/>
          <w:b/>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仿宋_GB2312" w:hAnsi="宋体" w:eastAsia="仿宋_GB2312" w:cs="仿宋_GB2312"/>
          <w:b/>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pacing w:beforeAutospacing="0" w:afterAutospacing="0" w:line="579" w:lineRule="exact"/>
        <w:ind w:right="0" w:firstLine="643" w:firstLineChars="200"/>
        <w:jc w:val="both"/>
        <w:textAlignment w:val="auto"/>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b/>
          <w:kern w:val="2"/>
          <w:sz w:val="32"/>
          <w:szCs w:val="32"/>
          <w:highlight w:val="none"/>
          <w:lang w:val="en-US" w:eastAsia="zh-CN" w:bidi="ar"/>
        </w:rPr>
        <w:t>宗地编号：</w:t>
      </w:r>
      <w:r>
        <w:rPr>
          <w:rFonts w:hint="eastAsia" w:ascii="仿宋_GB2312" w:hAnsi="仿宋_GB2312" w:eastAsia="仿宋_GB2312" w:cs="仿宋_GB2312"/>
          <w:b/>
          <w:kern w:val="2"/>
          <w:sz w:val="32"/>
          <w:szCs w:val="32"/>
          <w:highlight w:val="none"/>
          <w:u w:val="single"/>
          <w:lang w:val="en-US" w:eastAsia="zh-CN" w:bidi="ar"/>
        </w:rPr>
        <w:t xml:space="preserve">      </w:t>
      </w:r>
      <w:r>
        <w:rPr>
          <w:rFonts w:hint="eastAsia" w:ascii="仿宋_GB2312" w:hAnsi="仿宋_GB2312" w:eastAsia="仿宋_GB2312" w:cs="仿宋_GB2312"/>
          <w:b/>
          <w:bCs/>
          <w:kern w:val="2"/>
          <w:sz w:val="32"/>
          <w:szCs w:val="32"/>
          <w:highlight w:val="none"/>
          <w:u w:val="single"/>
          <w:lang w:val="en-US" w:eastAsia="zh-CN" w:bidi="ar"/>
        </w:rPr>
        <w:t xml:space="preserve">B307-0029  </w:t>
      </w:r>
      <w:r>
        <w:rPr>
          <w:rFonts w:hint="eastAsia" w:ascii="仿宋_GB2312" w:hAnsi="仿宋_GB2312" w:eastAsia="仿宋_GB2312" w:cs="仿宋_GB2312"/>
          <w:b/>
          <w:kern w:val="2"/>
          <w:sz w:val="32"/>
          <w:szCs w:val="32"/>
          <w:highlight w:val="none"/>
          <w:u w:val="single"/>
          <w:lang w:val="en-US" w:eastAsia="zh-CN" w:bidi="ar"/>
        </w:rPr>
        <w:t xml:space="preserve">   </w:t>
      </w:r>
    </w:p>
    <w:p>
      <w:pPr>
        <w:keepNext w:val="0"/>
        <w:keepLines w:val="0"/>
        <w:pageBreakBefore w:val="0"/>
        <w:widowControl w:val="0"/>
        <w:suppressLineNumbers w:val="0"/>
        <w:kinsoku/>
        <w:wordWrap/>
        <w:topLinePunct w:val="0"/>
        <w:bidi w:val="0"/>
        <w:spacing w:beforeAutospacing="0" w:afterAutospacing="0" w:line="579" w:lineRule="exact"/>
        <w:ind w:left="2107" w:leftChars="303" w:right="0" w:hanging="1471" w:hangingChars="458"/>
        <w:jc w:val="both"/>
        <w:textAlignment w:val="auto"/>
        <w:rPr>
          <w:rFonts w:hint="eastAsia" w:ascii="仿宋_GB2312" w:hAnsi="仿宋_GB2312" w:eastAsia="仿宋_GB2312" w:cs="仿宋_GB2312"/>
          <w:b/>
          <w:bCs/>
          <w:sz w:val="32"/>
          <w:highlight w:val="none"/>
          <w:u w:val="single"/>
          <w:lang w:val="en-US" w:eastAsia="zh-CN"/>
        </w:rPr>
      </w:pPr>
      <w:r>
        <w:rPr>
          <w:rFonts w:hint="eastAsia" w:ascii="仿宋_GB2312" w:hAnsi="仿宋_GB2312" w:eastAsia="仿宋_GB2312" w:cs="仿宋_GB2312"/>
          <w:b/>
          <w:kern w:val="2"/>
          <w:sz w:val="32"/>
          <w:szCs w:val="32"/>
          <w:highlight w:val="none"/>
          <w:lang w:val="en-US" w:eastAsia="zh-CN" w:bidi="ar"/>
        </w:rPr>
        <w:t>准入产业</w:t>
      </w:r>
      <w:r>
        <w:rPr>
          <w:rFonts w:hint="eastAsia" w:ascii="仿宋_GB2312" w:hAnsi="仿宋_GB2312" w:eastAsia="仿宋_GB2312" w:cs="仿宋_GB2312"/>
          <w:b/>
          <w:bCs/>
          <w:sz w:val="32"/>
          <w:highlight w:val="none"/>
        </w:rPr>
        <w:t>：</w:t>
      </w:r>
      <w:r>
        <w:rPr>
          <w:rFonts w:hint="eastAsia" w:ascii="仿宋_GB2312" w:hAnsi="仿宋_GB2312" w:eastAsia="仿宋_GB2312" w:cs="仿宋_GB2312"/>
          <w:b/>
          <w:bCs/>
          <w:sz w:val="32"/>
          <w:highlight w:val="none"/>
          <w:u w:val="single"/>
          <w:lang w:val="en-US" w:eastAsia="zh-CN"/>
        </w:rPr>
        <w:t xml:space="preserve">  </w:t>
      </w:r>
      <w:r>
        <w:rPr>
          <w:rFonts w:hint="eastAsia" w:ascii="仿宋_GB2312" w:eastAsia="仿宋_GB2312"/>
          <w:b/>
          <w:bCs/>
          <w:sz w:val="32"/>
          <w:szCs w:val="32"/>
          <w:highlight w:val="none"/>
          <w:u w:val="single"/>
          <w:lang w:val="en-US" w:eastAsia="zh-CN"/>
        </w:rPr>
        <w:t>优势传统产业之贵金属镶嵌产品、黄金珠宝加工耗材及表面镀层技术，特色工艺礼品（A2001）；新一代信息技术产业之云计算、物联网、移动互联网和新信息技术应用的信息安全硬件产品（A0613）</w:t>
      </w:r>
      <w:r>
        <w:rPr>
          <w:rFonts w:hint="eastAsia" w:ascii="仿宋_GB2312" w:hAnsi="仿宋_GB2312" w:eastAsia="仿宋_GB2312" w:cs="仿宋_GB2312"/>
          <w:b/>
          <w:bCs/>
          <w:sz w:val="32"/>
          <w:highlight w:val="none"/>
          <w:u w:val="single"/>
          <w:lang w:val="en-US" w:eastAsia="zh-CN"/>
        </w:rPr>
        <w:t>;</w:t>
      </w:r>
      <w:r>
        <w:rPr>
          <w:rFonts w:hint="eastAsia" w:ascii="仿宋_GB2312" w:eastAsia="仿宋_GB2312"/>
          <w:b/>
          <w:bCs/>
          <w:sz w:val="32"/>
          <w:szCs w:val="32"/>
          <w:highlight w:val="none"/>
          <w:u w:val="single"/>
          <w:lang w:val="en-US" w:eastAsia="zh-CN"/>
        </w:rPr>
        <w:t>新一代信息技术产业之物联网终端设备、近距离无线通信节点设备（A0607）</w:t>
      </w:r>
      <w:r>
        <w:rPr>
          <w:rFonts w:hint="eastAsia" w:ascii="仿宋_GB2312" w:hAnsi="仿宋_GB2312" w:eastAsia="仿宋_GB2312" w:cs="仿宋_GB2312"/>
          <w:b/>
          <w:bCs/>
          <w:sz w:val="32"/>
          <w:highlight w:val="none"/>
          <w:u w:val="single"/>
          <w:lang w:val="en-US" w:eastAsia="zh-CN"/>
        </w:rPr>
        <w:t xml:space="preserve">      </w:t>
      </w:r>
    </w:p>
    <w:p>
      <w:pPr>
        <w:keepNext w:val="0"/>
        <w:keepLines w:val="0"/>
        <w:pageBreakBefore w:val="0"/>
        <w:widowControl w:val="0"/>
        <w:suppressLineNumbers w:val="0"/>
        <w:kinsoku/>
        <w:wordWrap/>
        <w:topLinePunct w:val="0"/>
        <w:bidi w:val="0"/>
        <w:spacing w:beforeAutospacing="0" w:afterAutospacing="0" w:line="579" w:lineRule="exact"/>
        <w:ind w:left="2107" w:leftChars="303" w:right="0" w:hanging="1471" w:hangingChars="458"/>
        <w:jc w:val="both"/>
        <w:textAlignment w:val="auto"/>
        <w:rPr>
          <w:rFonts w:hint="eastAsia" w:ascii="仿宋_GB2312" w:hAnsi="仿宋_GB2312" w:eastAsia="仿宋_GB2312" w:cs="仿宋_GB2312"/>
          <w:b/>
          <w:bCs/>
          <w:sz w:val="32"/>
          <w:highlight w:val="none"/>
          <w:u w:val="single"/>
          <w:lang w:val="en-US" w:eastAsia="zh-CN"/>
        </w:rPr>
      </w:pPr>
      <w:r>
        <w:rPr>
          <w:rFonts w:hint="eastAsia" w:ascii="仿宋_GB2312" w:hAnsi="仿宋_GB2312" w:eastAsia="仿宋_GB2312" w:cs="仿宋_GB2312"/>
          <w:b/>
          <w:bCs/>
          <w:sz w:val="32"/>
          <w:highlight w:val="none"/>
          <w:u w:val="none"/>
          <w:lang w:val="en-US" w:eastAsia="zh-CN"/>
        </w:rPr>
        <w:t xml:space="preserve">       </w:t>
      </w:r>
    </w:p>
    <w:p>
      <w:pPr>
        <w:keepNext w:val="0"/>
        <w:keepLines w:val="0"/>
        <w:pageBreakBefore w:val="0"/>
        <w:widowControl w:val="0"/>
        <w:suppressLineNumbers w:val="0"/>
        <w:kinsoku/>
        <w:wordWrap/>
        <w:topLinePunct w:val="0"/>
        <w:bidi w:val="0"/>
        <w:spacing w:beforeAutospacing="0" w:afterAutospacing="0" w:line="579" w:lineRule="exact"/>
        <w:ind w:left="2107" w:leftChars="303" w:right="0" w:hanging="1471" w:hangingChars="458"/>
        <w:jc w:val="both"/>
        <w:textAlignment w:val="auto"/>
        <w:rPr>
          <w:rFonts w:hint="eastAsia" w:ascii="仿宋_GB2312" w:hAnsi="仿宋_GB2312" w:eastAsia="仿宋_GB2312" w:cs="仿宋_GB2312"/>
          <w:b/>
          <w:kern w:val="2"/>
          <w:sz w:val="32"/>
          <w:szCs w:val="32"/>
          <w:highlight w:val="none"/>
          <w:u w:val="single"/>
        </w:rPr>
      </w:pPr>
      <w:r>
        <w:rPr>
          <w:rFonts w:hint="eastAsia" w:ascii="仿宋_GB2312" w:hAnsi="仿宋_GB2312" w:eastAsia="仿宋_GB2312" w:cs="仿宋_GB2312"/>
          <w:b/>
          <w:kern w:val="2"/>
          <w:sz w:val="32"/>
          <w:szCs w:val="32"/>
          <w:highlight w:val="none"/>
          <w:lang w:val="en-US" w:eastAsia="zh-CN" w:bidi="ar"/>
        </w:rPr>
        <w:t>项目名称：</w:t>
      </w:r>
      <w:r>
        <w:rPr>
          <w:rFonts w:hint="eastAsia" w:ascii="仿宋_GB2312" w:hAnsi="仿宋_GB2312" w:eastAsia="仿宋_GB2312" w:cs="仿宋_GB2312"/>
          <w:b/>
          <w:kern w:val="2"/>
          <w:sz w:val="32"/>
          <w:szCs w:val="32"/>
          <w:highlight w:val="none"/>
          <w:u w:val="single"/>
          <w:lang w:val="en-US" w:eastAsia="zh-CN" w:bidi="ar"/>
        </w:rPr>
        <w:t xml:space="preserve">先进制造业联合总部基地     </w:t>
      </w:r>
    </w:p>
    <w:p>
      <w:pPr>
        <w:keepNext w:val="0"/>
        <w:keepLines w:val="0"/>
        <w:pageBreakBefore w:val="0"/>
        <w:widowControl w:val="0"/>
        <w:suppressLineNumbers w:val="0"/>
        <w:kinsoku/>
        <w:wordWrap/>
        <w:topLinePunct w:val="0"/>
        <w:bidi w:val="0"/>
        <w:spacing w:beforeAutospacing="0" w:afterAutospacing="0" w:line="579" w:lineRule="exact"/>
        <w:ind w:left="3529" w:leftChars="304" w:right="0" w:hanging="2891" w:hangingChars="900"/>
        <w:jc w:val="both"/>
        <w:textAlignment w:val="auto"/>
        <w:rPr>
          <w:rFonts w:hint="eastAsia" w:ascii="仿宋_GB2312" w:hAnsi="仿宋_GB2312" w:eastAsia="仿宋_GB2312" w:cs="仿宋_GB2312"/>
          <w:b/>
          <w:kern w:val="2"/>
          <w:sz w:val="32"/>
          <w:szCs w:val="32"/>
          <w:highlight w:val="none"/>
          <w:u w:val="single"/>
          <w:lang w:val="en-US"/>
        </w:rPr>
      </w:pPr>
      <w:r>
        <w:rPr>
          <w:rFonts w:hint="eastAsia" w:ascii="仿宋_GB2312" w:hAnsi="仿宋_GB2312" w:eastAsia="仿宋_GB2312" w:cs="仿宋_GB2312"/>
          <w:b/>
          <w:kern w:val="2"/>
          <w:sz w:val="32"/>
          <w:szCs w:val="32"/>
          <w:highlight w:val="none"/>
          <w:lang w:val="en-US" w:eastAsia="zh-CN" w:bidi="ar"/>
        </w:rPr>
        <w:t>土地出让合同编号：</w:t>
      </w:r>
      <w:r>
        <w:rPr>
          <w:rFonts w:hint="eastAsia" w:ascii="仿宋_GB2312" w:hAnsi="仿宋_GB2312" w:eastAsia="仿宋_GB2312" w:cs="仿宋_GB2312"/>
          <w:b/>
          <w:kern w:val="2"/>
          <w:sz w:val="32"/>
          <w:szCs w:val="32"/>
          <w:highlight w:val="none"/>
          <w:u w:val="singl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仿宋_GB2312" w:hAnsi="宋体" w:eastAsia="仿宋_GB2312" w:cs="仿宋_GB2312"/>
          <w:b/>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both"/>
        <w:textAlignment w:val="auto"/>
        <w:rPr>
          <w:rFonts w:hint="eastAsia" w:ascii="黑体" w:hAnsi="宋体" w:eastAsia="黑体" w:cs="黑体"/>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highlight w:val="none"/>
        </w:rPr>
      </w:pPr>
      <w:r>
        <w:rPr>
          <w:rFonts w:hint="eastAsia" w:ascii="黑体" w:hAnsi="宋体" w:eastAsia="黑体" w:cs="黑体"/>
          <w:kern w:val="2"/>
          <w:sz w:val="32"/>
          <w:szCs w:val="32"/>
          <w:highlight w:val="none"/>
          <w:lang w:val="en-US" w:eastAsia="zh-CN" w:bidi="ar"/>
        </w:rPr>
        <w:t>深圳市</w:t>
      </w:r>
      <w:r>
        <w:rPr>
          <w:rFonts w:hint="eastAsia" w:ascii="宋体" w:hAnsi="宋体" w:eastAsia="宋体" w:cs="宋体"/>
          <w:kern w:val="2"/>
          <w:sz w:val="32"/>
          <w:szCs w:val="32"/>
          <w:highlight w:val="none"/>
          <w:u w:val="single"/>
          <w:lang w:val="en-US" w:eastAsia="zh-CN" w:bidi="ar"/>
        </w:rPr>
        <w:t xml:space="preserve">  </w:t>
      </w:r>
      <w:r>
        <w:rPr>
          <w:rFonts w:hint="eastAsia" w:ascii="黑体" w:hAnsi="宋体" w:eastAsia="黑体" w:cs="黑体"/>
          <w:kern w:val="2"/>
          <w:sz w:val="32"/>
          <w:szCs w:val="32"/>
          <w:highlight w:val="none"/>
          <w:u w:val="single"/>
          <w:lang w:val="en-US" w:eastAsia="zh-CN" w:bidi="ar"/>
        </w:rPr>
        <w:t>福田区工业和信息化局</w:t>
      </w:r>
      <w:r>
        <w:rPr>
          <w:rFonts w:hint="eastAsia" w:ascii="宋体" w:hAnsi="宋体" w:eastAsia="宋体" w:cs="宋体"/>
          <w:kern w:val="2"/>
          <w:sz w:val="32"/>
          <w:szCs w:val="32"/>
          <w:highlight w:val="none"/>
          <w:u w:val="single"/>
          <w:lang w:val="en-US" w:eastAsia="zh-CN" w:bidi="ar"/>
        </w:rPr>
        <w:t xml:space="preserve">  </w:t>
      </w:r>
      <w:r>
        <w:rPr>
          <w:rFonts w:hint="eastAsia" w:ascii="黑体" w:hAnsi="宋体" w:eastAsia="黑体" w:cs="黑体"/>
          <w:kern w:val="2"/>
          <w:sz w:val="32"/>
          <w:szCs w:val="32"/>
          <w:highlight w:val="none"/>
          <w:lang w:val="en-US" w:eastAsia="zh-CN" w:bidi="ar"/>
        </w:rPr>
        <w:t xml:space="preserve"> 制</w:t>
      </w:r>
    </w:p>
    <w:p>
      <w:pPr>
        <w:keepNext w:val="0"/>
        <w:keepLines w:val="0"/>
        <w:pageBreakBefore w:val="0"/>
        <w:kinsoku/>
        <w:wordWrap/>
        <w:topLinePunct w:val="0"/>
        <w:bidi w:val="0"/>
        <w:spacing w:line="579" w:lineRule="exact"/>
        <w:textAlignment w:val="auto"/>
        <w:rPr>
          <w:rFonts w:hint="eastAsia" w:ascii="仿宋_GB2312" w:hAnsi="仿宋" w:eastAsia="仿宋_GB2312" w:cs="仿宋_GB2312"/>
          <w:kern w:val="2"/>
          <w:sz w:val="32"/>
          <w:szCs w:val="32"/>
          <w:highlight w:val="none"/>
        </w:rPr>
        <w:sectPr>
          <w:pgSz w:w="11906" w:h="16838"/>
          <w:pgMar w:top="2098" w:right="1474" w:bottom="1985" w:left="1588" w:header="851" w:footer="992" w:gutter="0"/>
          <w:cols w:space="425" w:num="1"/>
          <w:docGrid w:type="lines" w:linePitch="573" w:charSpace="0"/>
        </w:sect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方正小标宋_GBK" w:hAnsi="方正小标宋_GBK" w:eastAsia="方正小标宋_GBK" w:cs="方正小标宋_GBK"/>
          <w:kern w:val="2"/>
          <w:sz w:val="44"/>
          <w:szCs w:val="44"/>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方正小标宋_GBK" w:hAnsi="方正小标宋_GBK" w:eastAsia="方正小标宋_GBK" w:cs="方正小标宋_GBK"/>
          <w:kern w:val="2"/>
          <w:sz w:val="44"/>
          <w:szCs w:val="44"/>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甲    方： 深圳市福田区工业和信息化局</w:t>
      </w: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统一社会信用代码：</w:t>
      </w: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法定代表人：</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地    址：</w:t>
      </w: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 xml:space="preserve"> </w:t>
      </w:r>
    </w:p>
    <w:p>
      <w:pPr>
        <w:pStyle w:val="2"/>
        <w:rPr>
          <w:rFonts w:hint="eastAsia" w:ascii="仿宋_GB2312" w:hAnsi="仿宋_GB2312" w:eastAsia="仿宋_GB2312" w:cs="仿宋_GB2312"/>
          <w:kern w:val="2"/>
          <w:sz w:val="32"/>
          <w:szCs w:val="32"/>
          <w:highlight w:val="none"/>
          <w:lang w:val="en-US" w:eastAsia="zh-CN" w:bidi="ar"/>
        </w:rPr>
      </w:pPr>
    </w:p>
    <w:p>
      <w:pPr>
        <w:pStyle w:val="2"/>
        <w:rPr>
          <w:rFonts w:hint="eastAsia" w:ascii="仿宋_GB2312" w:hAnsi="仿宋_GB2312"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 xml:space="preserve">乙    方： </w:t>
      </w: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统一社会信用代码：</w:t>
      </w:r>
    </w:p>
    <w:p>
      <w:pPr>
        <w:keepNext w:val="0"/>
        <w:keepLines w:val="0"/>
        <w:pageBreakBefore w:val="0"/>
        <w:widowControl/>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0"/>
          <w:sz w:val="32"/>
          <w:szCs w:val="32"/>
          <w:highlight w:val="none"/>
          <w:lang w:val="en-US" w:eastAsia="zh-CN" w:bidi="ar"/>
        </w:rPr>
        <w:t>法定代表人</w:t>
      </w:r>
      <w:r>
        <w:rPr>
          <w:rFonts w:hint="eastAsia" w:ascii="仿宋_GB2312" w:hAnsi="仿宋_GB2312"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地    址：</w:t>
      </w:r>
    </w:p>
    <w:p>
      <w:pPr>
        <w:keepNext w:val="0"/>
        <w:keepLines w:val="0"/>
        <w:pageBreakBefore w:val="0"/>
        <w:widowControl w:val="0"/>
        <w:suppressLineNumbers w:val="0"/>
        <w:kinsoku/>
        <w:wordWrap/>
        <w:topLinePunct w:val="0"/>
        <w:bidi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p>
    <w:p>
      <w:pPr>
        <w:pStyle w:val="11"/>
        <w:keepNext w:val="0"/>
        <w:keepLines w:val="0"/>
        <w:pageBreakBefore w:val="0"/>
        <w:kinsoku/>
        <w:wordWrap/>
        <w:topLinePunct w:val="0"/>
        <w:bidi w:val="0"/>
        <w:spacing w:line="579" w:lineRule="exact"/>
        <w:ind w:left="0" w:leftChars="0" w:firstLine="0" w:firstLineChars="0"/>
        <w:textAlignment w:val="auto"/>
        <w:rPr>
          <w:rFonts w:hint="eastAsia" w:ascii="仿宋_GB2312" w:hAnsi="仿宋_GB2312" w:eastAsia="仿宋_GB2312" w:cs="仿宋_GB2312"/>
          <w:szCs w:val="32"/>
          <w:highlight w:val="none"/>
        </w:rPr>
      </w:pP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suppressLineNumbers w:val="0"/>
        <w:kinsoku/>
        <w:wordWrap/>
        <w:topLinePunct w:val="0"/>
        <w:bidi w:val="0"/>
        <w:spacing w:beforeAutospacing="0" w:afterAutospacing="0" w:line="579" w:lineRule="exact"/>
        <w:ind w:right="0" w:firstLine="640" w:firstLineChars="200"/>
        <w:jc w:val="both"/>
        <w:textAlignment w:val="auto"/>
        <w:rPr>
          <w:rFonts w:hint="eastAsia" w:ascii="黑体" w:hAnsi="宋体" w:eastAsia="黑体" w:cs="黑体"/>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为保障深圳市工业项目发展用地，切实履行《深圳市土地使用权出让公告》（深土交告（      ）    号）要求，根据《深圳市工业及其他产业用地供应管理办法》（深府规〔2019〕4号，以下简称《管理办法》）、《福田区重点产业项目遴选实施办法》（福府规〔2019〕2 号）的有关规定及已公示的《先进制造业联合总部基地遴选方案》，经甲、乙双方同意，签订本产业发展监管协议。</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一、地块基本情况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宗地编号：</w:t>
      </w:r>
      <w:r>
        <w:rPr>
          <w:rFonts w:hint="eastAsia" w:ascii="仿宋_GB2312" w:hAnsi="仿宋_GB2312" w:eastAsia="仿宋_GB2312" w:cs="仿宋_GB2312"/>
          <w:kern w:val="2"/>
          <w:sz w:val="32"/>
          <w:szCs w:val="32"/>
          <w:highlight w:val="none"/>
          <w:u w:val="single"/>
          <w:lang w:val="en-US" w:eastAsia="zh-CN" w:bidi="ar"/>
        </w:rPr>
        <w:t xml:space="preserve"> B307-0029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土地位置：</w:t>
      </w:r>
      <w:r>
        <w:rPr>
          <w:rFonts w:hint="eastAsia" w:ascii="仿宋_GB2312" w:hAnsi="仿宋_GB2312" w:eastAsia="仿宋_GB2312" w:cs="仿宋_GB2312"/>
          <w:kern w:val="2"/>
          <w:sz w:val="32"/>
          <w:szCs w:val="32"/>
          <w:highlight w:val="none"/>
          <w:u w:val="single"/>
          <w:lang w:val="en-US" w:eastAsia="zh-CN" w:bidi="ar"/>
        </w:rPr>
        <w:t xml:space="preserve"> 北环大道与皇岗路交汇处西南侧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土地用途：</w:t>
      </w:r>
      <w:r>
        <w:rPr>
          <w:rFonts w:hint="eastAsia" w:ascii="仿宋_GB2312" w:hAnsi="仿宋_GB2312" w:eastAsia="仿宋_GB2312" w:cs="仿宋_GB2312"/>
          <w:kern w:val="2"/>
          <w:sz w:val="32"/>
          <w:szCs w:val="32"/>
          <w:highlight w:val="none"/>
          <w:u w:val="single"/>
          <w:lang w:val="en-US" w:eastAsia="zh-CN" w:bidi="ar"/>
        </w:rPr>
        <w:t xml:space="preserve">   新型产业用地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总用地面积（平方米）：</w:t>
      </w:r>
      <w:r>
        <w:rPr>
          <w:rFonts w:hint="eastAsia" w:ascii="仿宋_GB2312" w:hAnsi="仿宋_GB2312" w:eastAsia="仿宋_GB2312" w:cs="仿宋_GB2312"/>
          <w:b w:val="0"/>
          <w:bCs w:val="0"/>
          <w:kern w:val="2"/>
          <w:sz w:val="32"/>
          <w:szCs w:val="32"/>
          <w:highlight w:val="none"/>
          <w:u w:val="single"/>
          <w:lang w:val="en-US" w:eastAsia="zh-CN" w:bidi="ar"/>
        </w:rPr>
        <w:t xml:space="preserve"> </w:t>
      </w:r>
      <w:r>
        <w:rPr>
          <w:rFonts w:hint="eastAsia" w:ascii="仿宋_GB2312" w:eastAsia="仿宋_GB2312"/>
          <w:sz w:val="32"/>
          <w:szCs w:val="32"/>
          <w:highlight w:val="none"/>
          <w:u w:val="single"/>
          <w:lang w:val="en-US" w:eastAsia="zh-CN"/>
        </w:rPr>
        <w:t>4884.63</w:t>
      </w:r>
      <w:r>
        <w:rPr>
          <w:rFonts w:hint="eastAsia" w:ascii="仿宋_GB2312" w:hAnsi="仿宋_GB2312" w:eastAsia="仿宋_GB2312" w:cs="仿宋_GB2312"/>
          <w:b w:val="0"/>
          <w:bCs w:val="0"/>
          <w:kern w:val="2"/>
          <w:sz w:val="32"/>
          <w:szCs w:val="32"/>
          <w:highlight w:val="none"/>
          <w:u w:val="single"/>
          <w:lang w:val="en-US" w:eastAsia="zh-CN" w:bidi="ar"/>
        </w:rPr>
        <w:t>m²</w:t>
      </w:r>
      <w:r>
        <w:rPr>
          <w:rFonts w:hint="eastAsia" w:ascii="仿宋_GB2312" w:hAnsi="仿宋_GB2312" w:eastAsia="仿宋_GB2312" w:cs="仿宋_GB2312"/>
          <w:b w:val="0"/>
          <w:bCs w:val="0"/>
          <w:kern w:val="2"/>
          <w:sz w:val="32"/>
          <w:szCs w:val="32"/>
          <w:highlight w:val="none"/>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lang w:val="en-US" w:eastAsia="zh-CN" w:bidi="ar"/>
        </w:rPr>
      </w:pPr>
      <w:r>
        <w:rPr>
          <w:rFonts w:hint="eastAsia" w:ascii="仿宋_GB2312" w:hAnsi="仿宋_GB2312" w:eastAsia="仿宋_GB2312" w:cs="仿宋_GB2312"/>
          <w:sz w:val="32"/>
          <w:szCs w:val="32"/>
          <w:highlight w:val="none"/>
        </w:rPr>
        <w:t>总建筑面积（平方米）：</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eastAsia="仿宋_GB2312"/>
          <w:sz w:val="32"/>
          <w:szCs w:val="32"/>
          <w:highlight w:val="none"/>
          <w:u w:val="single"/>
          <w:lang w:val="en-US" w:eastAsia="zh-CN"/>
        </w:rPr>
        <w:t>26860</w:t>
      </w:r>
      <w:r>
        <w:rPr>
          <w:rFonts w:hint="eastAsia" w:ascii="仿宋_GB2312" w:hAnsi="仿宋_GB2312" w:eastAsia="仿宋_GB2312" w:cs="仿宋_GB2312"/>
          <w:kern w:val="2"/>
          <w:sz w:val="32"/>
          <w:szCs w:val="32"/>
          <w:highlight w:val="none"/>
          <w:u w:val="single"/>
          <w:lang w:val="en-US" w:eastAsia="zh-CN" w:bidi="ar"/>
        </w:rPr>
        <w:t xml:space="preserve">m² </w:t>
      </w:r>
    </w:p>
    <w:p>
      <w:pPr>
        <w:pStyle w:val="2"/>
        <w:rPr>
          <w:rFonts w:hint="eastAsia"/>
          <w:highlight w:val="none"/>
          <w:u w:val="single"/>
          <w:lang w:val="en-US" w:eastAsia="zh-CN"/>
        </w:rPr>
      </w:pPr>
      <w:r>
        <w:rPr>
          <w:rFonts w:hint="eastAsia" w:ascii="仿宋_GB2312" w:hAnsi="仿宋_GB2312" w:eastAsia="仿宋_GB2312" w:cs="仿宋_GB2312"/>
          <w:kern w:val="2"/>
          <w:sz w:val="32"/>
          <w:szCs w:val="32"/>
          <w:highlight w:val="none"/>
          <w:u w:val="none"/>
          <w:lang w:val="en-US" w:eastAsia="zh-CN" w:bidi="ar"/>
        </w:rPr>
        <w:t>研发用房（平方米）：</w:t>
      </w:r>
      <w:r>
        <w:rPr>
          <w:rFonts w:hint="eastAsia" w:ascii="仿宋_GB2312" w:hAnsi="仿宋_GB2312" w:eastAsia="仿宋_GB2312" w:cs="仿宋_GB2312"/>
          <w:kern w:val="2"/>
          <w:sz w:val="32"/>
          <w:szCs w:val="32"/>
          <w:highlight w:val="none"/>
          <w:u w:val="single"/>
          <w:lang w:val="en-US" w:eastAsia="zh-CN" w:bidi="ar-SA"/>
        </w:rPr>
        <w:t xml:space="preserve"> 20570m²</w:t>
      </w:r>
    </w:p>
    <w:p>
      <w:pPr>
        <w:pStyle w:val="2"/>
        <w:rPr>
          <w:rFonts w:hint="eastAsia" w:ascii="仿宋_GB2312" w:hAnsi="仿宋_GB2312" w:eastAsia="仿宋_GB2312" w:cs="仿宋_GB2312"/>
          <w:kern w:val="2"/>
          <w:sz w:val="32"/>
          <w:szCs w:val="32"/>
          <w:highlight w:val="none"/>
          <w:u w:val="single"/>
          <w:lang w:val="en-US" w:eastAsia="zh-CN" w:bidi="ar"/>
        </w:rPr>
      </w:pPr>
      <w:r>
        <w:rPr>
          <w:rFonts w:hint="eastAsia" w:ascii="仿宋_GB2312" w:hAnsi="仿宋_GB2312" w:eastAsia="仿宋_GB2312" w:cs="仿宋_GB2312"/>
          <w:kern w:val="2"/>
          <w:sz w:val="32"/>
          <w:szCs w:val="32"/>
          <w:highlight w:val="none"/>
          <w:u w:val="none"/>
          <w:lang w:val="en-US" w:eastAsia="zh-CN" w:bidi="ar"/>
        </w:rPr>
        <w:t>乙方持有研发用房面积比例：</w:t>
      </w:r>
      <w:r>
        <w:rPr>
          <w:rFonts w:hint="eastAsia" w:ascii="仿宋_GB2312" w:hAnsi="仿宋_GB2312" w:eastAsia="仿宋_GB2312" w:cs="仿宋_GB2312"/>
          <w:kern w:val="2"/>
          <w:sz w:val="32"/>
          <w:szCs w:val="32"/>
          <w:highlight w:val="none"/>
          <w:u w:val="single"/>
          <w:lang w:val="en-US" w:eastAsia="zh-CN" w:bidi="ar"/>
        </w:rPr>
        <w:t xml:space="preserve">  40%   </w:t>
      </w:r>
    </w:p>
    <w:p>
      <w:pPr>
        <w:pStyle w:val="2"/>
        <w:rPr>
          <w:rFonts w:hint="eastAsia" w:ascii="仿宋_GB2312" w:hAnsi="仿宋_GB2312" w:eastAsia="仿宋_GB2312" w:cs="仿宋_GB2312"/>
          <w:kern w:val="2"/>
          <w:sz w:val="32"/>
          <w:szCs w:val="32"/>
          <w:highlight w:val="none"/>
          <w:u w:val="none"/>
        </w:rPr>
      </w:pPr>
      <w:r>
        <w:rPr>
          <w:rFonts w:hint="eastAsia" w:ascii="仿宋_GB2312" w:hAnsi="仿宋_GB2312" w:eastAsia="仿宋_GB2312" w:cs="仿宋_GB2312"/>
          <w:kern w:val="2"/>
          <w:sz w:val="32"/>
          <w:szCs w:val="32"/>
          <w:highlight w:val="none"/>
          <w:u w:val="none"/>
          <w:lang w:val="en-US" w:eastAsia="zh-CN" w:bidi="ar"/>
        </w:rPr>
        <w:t xml:space="preserve">（上述面积以土地出让合同为准）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lang w:val="en-US" w:eastAsia="zh-CN" w:bidi="ar"/>
        </w:rPr>
      </w:pPr>
      <w:r>
        <w:rPr>
          <w:rFonts w:hint="eastAsia" w:ascii="仿宋_GB2312" w:hAnsi="仿宋_GB2312" w:eastAsia="仿宋_GB2312" w:cs="仿宋_GB2312"/>
          <w:kern w:val="2"/>
          <w:sz w:val="32"/>
          <w:szCs w:val="32"/>
          <w:highlight w:val="none"/>
          <w:lang w:val="en-US" w:eastAsia="zh-CN" w:bidi="ar"/>
        </w:rPr>
        <w:t>项目名称：</w:t>
      </w:r>
      <w:r>
        <w:rPr>
          <w:rFonts w:hint="eastAsia" w:ascii="仿宋_GB2312" w:hAnsi="仿宋_GB2312" w:eastAsia="仿宋_GB2312" w:cs="仿宋_GB2312"/>
          <w:kern w:val="2"/>
          <w:sz w:val="32"/>
          <w:szCs w:val="32"/>
          <w:highlight w:val="none"/>
          <w:u w:val="single"/>
          <w:lang w:val="en-US" w:eastAsia="zh-CN" w:bidi="ar"/>
        </w:rPr>
        <w:t xml:space="preserve">  先进制造业联合总部基地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土地使用年期：</w:t>
      </w:r>
      <w:r>
        <w:rPr>
          <w:rFonts w:hint="eastAsia" w:ascii="仿宋_GB2312" w:hAnsi="仿宋_GB2312" w:eastAsia="仿宋_GB2312" w:cs="仿宋_GB2312"/>
          <w:kern w:val="2"/>
          <w:sz w:val="32"/>
          <w:szCs w:val="32"/>
          <w:highlight w:val="none"/>
          <w:u w:val="single"/>
          <w:lang w:val="en-US" w:eastAsia="zh-CN" w:bidi="ar"/>
        </w:rPr>
        <w:t xml:space="preserve"> 30 </w:t>
      </w:r>
      <w:r>
        <w:rPr>
          <w:rFonts w:hint="eastAsia" w:ascii="仿宋_GB2312" w:hAnsi="仿宋_GB2312" w:eastAsia="仿宋_GB2312" w:cs="仿宋_GB2312"/>
          <w:kern w:val="2"/>
          <w:sz w:val="32"/>
          <w:szCs w:val="32"/>
          <w:highlight w:val="none"/>
          <w:lang w:val="en-US" w:eastAsia="zh-CN" w:bidi="ar"/>
        </w:rPr>
        <w:t>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jc w:val="both"/>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二</w:t>
      </w:r>
      <w:r>
        <w:rPr>
          <w:rFonts w:hint="eastAsia" w:ascii="黑体" w:hAnsi="黑体" w:eastAsia="黑体" w:cs="黑体"/>
          <w:b w:val="0"/>
          <w:bCs w:val="0"/>
          <w:sz w:val="32"/>
          <w:szCs w:val="32"/>
          <w:highlight w:val="none"/>
        </w:rPr>
        <w:t>、产业准入条件</w:t>
      </w:r>
    </w:p>
    <w:p>
      <w:pPr>
        <w:keepNext w:val="0"/>
        <w:keepLines w:val="0"/>
        <w:pageBreakBefore w:val="0"/>
        <w:widowControl w:val="0"/>
        <w:kinsoku/>
        <w:wordWrap/>
        <w:overflowPunct/>
        <w:topLinePunct w:val="0"/>
        <w:autoSpaceDE/>
        <w:autoSpaceDN/>
        <w:bidi w:val="0"/>
        <w:spacing w:line="579" w:lineRule="exact"/>
        <w:ind w:left="0" w:leftChars="0" w:right="0" w:rightChars="0" w:firstLine="648"/>
        <w:textAlignment w:val="auto"/>
        <w:outlineLvl w:val="9"/>
        <w:rPr>
          <w:rFonts w:hint="eastAsia"/>
          <w:highlight w:val="none"/>
        </w:rPr>
      </w:pPr>
      <w:r>
        <w:rPr>
          <w:rFonts w:hint="eastAsia" w:ascii="仿宋_GB2312" w:eastAsia="仿宋_GB2312"/>
          <w:sz w:val="32"/>
          <w:szCs w:val="32"/>
          <w:highlight w:val="none"/>
          <w:lang w:val="en-US" w:eastAsia="zh-CN"/>
        </w:rPr>
        <w:t>优势传统产业之贵金属镶嵌产品、黄金珠宝加工耗材及表面镀层技术，特色工艺礼品（A2001）；新一代信息技术产业之云计算、物联网、移动互联网和新信息技术应用的信息安全硬件产品（A0613）;新一代信息技术产业之物联网终端设备、近距离无线通信节点设备（A0607）</w:t>
      </w:r>
      <w:r>
        <w:rPr>
          <w:rFonts w:hint="eastAsia" w:ascii="仿宋_GB2312" w:hAnsi="Times New Roman"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三、甲方权利和义务</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甲方应在法律、法规允许范围内，根据深圳市产业发展战略和相关产业政策，为乙方的用地项目提供指导性服务。</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（二）</w:t>
      </w:r>
      <w:r>
        <w:rPr>
          <w:rFonts w:hint="eastAsia" w:ascii="仿宋_GB2312" w:hAnsi="Times New Roman" w:eastAsia="仿宋_GB2312" w:cs="仿宋_GB2312"/>
          <w:kern w:val="2"/>
          <w:sz w:val="32"/>
          <w:szCs w:val="32"/>
          <w:highlight w:val="none"/>
          <w:lang w:val="en-US" w:eastAsia="zh-CN" w:bidi="ar"/>
        </w:rPr>
        <w:t>甲方有权对乙方实行全年期考核监管，在乙方于本协议约定</w:t>
      </w:r>
      <w:r>
        <w:rPr>
          <w:rFonts w:hint="eastAsia" w:ascii="仿宋_GB2312" w:hAnsi="Times New Roman" w:eastAsia="仿宋_GB2312" w:cs="仿宋_GB2312"/>
          <w:color w:val="000000"/>
          <w:kern w:val="2"/>
          <w:sz w:val="32"/>
          <w:szCs w:val="32"/>
          <w:highlight w:val="none"/>
          <w:lang w:val="en-US" w:eastAsia="zh-CN" w:bidi="ar"/>
        </w:rPr>
        <w:t>项目建成投产1年内、投产后每隔5年、出让期届满前1年内对本协议约定事项的履行情况进行核查，如乙方未达到本协议承诺和有关约定的，甲方可按照本协议约定的违约责任追究乙方的责任。甲方可依法委托相关专业机构代为主张权利或履行义务</w:t>
      </w:r>
      <w:r>
        <w:rPr>
          <w:rFonts w:hint="eastAsia" w:ascii="仿宋_GB2312" w:hAnsi="Times New Roman"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bidi="ar"/>
        </w:rPr>
        <w:t>四、乙方的权利和义务</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乙方应当遵循《管理办法》的规定，按期全面履行本协议承诺和有关约定，积极推进上述项目的投资建设。</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（二）</w:t>
      </w:r>
      <w:r>
        <w:rPr>
          <w:rFonts w:hint="eastAsia" w:ascii="仿宋_GB2312" w:hAnsi="仿宋_GB2312" w:eastAsia="仿宋_GB2312" w:cs="仿宋_GB2312"/>
          <w:kern w:val="2"/>
          <w:sz w:val="32"/>
          <w:szCs w:val="32"/>
          <w:highlight w:val="none"/>
          <w:lang w:val="en-US" w:eastAsia="zh-CN" w:bidi="ar"/>
        </w:rPr>
        <w:t>乙方竞买取得的上述地块只能用于上述项目建设。</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（三）</w:t>
      </w:r>
      <w:r>
        <w:rPr>
          <w:rFonts w:hint="eastAsia" w:ascii="仿宋_GB2312" w:hAnsi="Times New Roman" w:eastAsia="仿宋_GB2312" w:cs="仿宋_GB2312"/>
          <w:kern w:val="2"/>
          <w:sz w:val="32"/>
          <w:szCs w:val="32"/>
          <w:highlight w:val="none"/>
          <w:lang w:val="en-US" w:eastAsia="zh-CN" w:bidi="ar"/>
        </w:rPr>
        <w:t>乙方在签订建设用地使用权出让合同后，应按季度向甲方书面报告项目建设进展情况，直至项目建成投产。</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（四）</w:t>
      </w:r>
      <w:r>
        <w:rPr>
          <w:rFonts w:hint="eastAsia" w:ascii="仿宋_GB2312" w:hAnsi="Times New Roman" w:eastAsia="仿宋_GB2312" w:cs="仿宋_GB2312"/>
          <w:kern w:val="2"/>
          <w:sz w:val="32"/>
          <w:szCs w:val="32"/>
          <w:highlight w:val="none"/>
          <w:lang w:val="en-US" w:eastAsia="zh-CN" w:bidi="ar"/>
        </w:rPr>
        <w:t>乙方承诺：</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b w:val="0"/>
          <w:bCs w:val="0"/>
          <w:kern w:val="2"/>
          <w:sz w:val="32"/>
          <w:szCs w:val="32"/>
          <w:highlight w:val="none"/>
          <w:lang w:val="en-US" w:eastAsia="zh-CN" w:bidi="ar"/>
        </w:rPr>
        <w:t>1.投产时间</w:t>
      </w:r>
      <w:r>
        <w:rPr>
          <w:rFonts w:hint="eastAsia" w:ascii="仿宋_GB2312" w:hAnsi="仿宋_GB2312" w:eastAsia="仿宋_GB2312" w:cs="仿宋_GB2312"/>
          <w:kern w:val="2"/>
          <w:sz w:val="32"/>
          <w:szCs w:val="32"/>
          <w:highlight w:val="none"/>
          <w:lang w:val="en-US" w:eastAsia="zh-CN" w:bidi="ar"/>
        </w:rPr>
        <w:t>：乙方上述项目用地需自竞得用地后</w:t>
      </w:r>
      <w:r>
        <w:rPr>
          <w:rFonts w:hint="eastAsia" w:ascii="仿宋_GB2312" w:hAnsi="仿宋_GB2312" w:eastAsia="仿宋_GB2312" w:cs="仿宋_GB2312"/>
          <w:kern w:val="2"/>
          <w:sz w:val="32"/>
          <w:szCs w:val="32"/>
          <w:highlight w:val="none"/>
          <w:u w:val="single"/>
          <w:lang w:val="en-US" w:eastAsia="zh-CN" w:bidi="ar"/>
        </w:rPr>
        <w:t xml:space="preserve"> 1</w:t>
      </w:r>
      <w:r>
        <w:rPr>
          <w:rFonts w:hint="eastAsia" w:ascii="仿宋_GB2312" w:hAnsi="仿宋_GB2312" w:eastAsia="仿宋_GB2312" w:cs="仿宋_GB2312"/>
          <w:kern w:val="2"/>
          <w:sz w:val="32"/>
          <w:szCs w:val="32"/>
          <w:highlight w:val="none"/>
          <w:lang w:val="en-US" w:eastAsia="zh-CN" w:bidi="ar"/>
        </w:rPr>
        <w:t>年内开工建设，</w:t>
      </w:r>
      <w:r>
        <w:rPr>
          <w:rFonts w:hint="eastAsia" w:ascii="仿宋_GB2312" w:hAnsi="仿宋_GB2312" w:eastAsia="仿宋_GB2312" w:cs="仿宋_GB2312"/>
          <w:kern w:val="2"/>
          <w:sz w:val="32"/>
          <w:szCs w:val="32"/>
          <w:highlight w:val="none"/>
          <w:u w:val="single"/>
          <w:lang w:val="en-US" w:eastAsia="zh-CN" w:bidi="ar"/>
        </w:rPr>
        <w:t xml:space="preserve"> 3 </w:t>
      </w:r>
      <w:r>
        <w:rPr>
          <w:rFonts w:hint="eastAsia" w:ascii="仿宋_GB2312" w:hAnsi="仿宋_GB2312" w:eastAsia="仿宋_GB2312" w:cs="仿宋_GB2312"/>
          <w:kern w:val="2"/>
          <w:sz w:val="32"/>
          <w:szCs w:val="32"/>
          <w:highlight w:val="none"/>
          <w:lang w:val="en-US" w:eastAsia="zh-CN" w:bidi="ar"/>
        </w:rPr>
        <w:t>年内全部建成投产。</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2.</w:t>
      </w:r>
      <w:r>
        <w:rPr>
          <w:rFonts w:hint="eastAsia" w:ascii="仿宋_GB2312" w:hAnsi="仿宋_GB2312" w:eastAsia="仿宋_GB2312" w:cs="仿宋_GB2312"/>
          <w:color w:val="000000"/>
          <w:kern w:val="2"/>
          <w:sz w:val="32"/>
          <w:szCs w:val="32"/>
          <w:highlight w:val="none"/>
          <w:lang w:val="en-US" w:eastAsia="zh-CN" w:bidi="ar"/>
        </w:rPr>
        <w:t>投资强度：乙方上述项目固定资产投资强度（单位建筑面积上的固定资产投资额，包括厂房、设备和地价款）</w:t>
      </w:r>
      <w:r>
        <w:rPr>
          <w:rFonts w:hint="eastAsia" w:ascii="仿宋_GB2312" w:hAnsi="仿宋_GB2312" w:eastAsia="仿宋_GB2312" w:cs="仿宋_GB2312"/>
          <w:kern w:val="2"/>
          <w:sz w:val="32"/>
          <w:szCs w:val="32"/>
          <w:highlight w:val="none"/>
          <w:lang w:val="en-US" w:eastAsia="zh-CN" w:bidi="ar"/>
        </w:rPr>
        <w:t>不低于</w:t>
      </w:r>
      <w:r>
        <w:rPr>
          <w:rFonts w:hint="eastAsia" w:ascii="仿宋_GB2312" w:hAnsi="仿宋_GB2312" w:eastAsia="仿宋_GB2312" w:cs="仿宋_GB2312"/>
          <w:kern w:val="2"/>
          <w:sz w:val="32"/>
          <w:szCs w:val="32"/>
          <w:highlight w:val="none"/>
          <w:u w:val="single"/>
          <w:lang w:val="en-US" w:eastAsia="zh-CN" w:bidi="ar"/>
        </w:rPr>
        <w:t>10000</w:t>
      </w:r>
      <w:r>
        <w:rPr>
          <w:rFonts w:hint="eastAsia" w:ascii="仿宋_GB2312" w:hAnsi="仿宋_GB2312" w:eastAsia="仿宋_GB2312" w:cs="仿宋_GB2312"/>
          <w:kern w:val="2"/>
          <w:sz w:val="32"/>
          <w:szCs w:val="32"/>
          <w:highlight w:val="none"/>
          <w:lang w:val="en-US" w:eastAsia="zh-CN" w:bidi="ar"/>
        </w:rPr>
        <w:t>元/平方米。</w:t>
      </w:r>
    </w:p>
    <w:p>
      <w:pPr>
        <w:keepNext w:val="0"/>
        <w:keepLines w:val="0"/>
        <w:pageBreakBefore w:val="0"/>
        <w:kinsoku/>
        <w:wordWrap/>
        <w:topLinePunct w:val="0"/>
        <w:bidi w:val="0"/>
        <w:spacing w:line="579"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产出效率：</w:t>
      </w:r>
      <w:r>
        <w:rPr>
          <w:rFonts w:hint="eastAsia" w:ascii="仿宋_GB2312" w:hAnsi="仿宋_GB2312" w:eastAsia="仿宋_GB2312" w:cs="仿宋_GB2312"/>
          <w:kern w:val="2"/>
          <w:sz w:val="32"/>
          <w:szCs w:val="32"/>
          <w:highlight w:val="none"/>
          <w:lang w:val="en-US" w:eastAsia="zh-CN" w:bidi="ar"/>
        </w:rPr>
        <w:t>乙方在项目投产后第一年工业年产值不低于</w:t>
      </w:r>
      <w:r>
        <w:rPr>
          <w:rFonts w:hint="eastAsia" w:ascii="仿宋_GB2312" w:hAnsi="仿宋_GB2312" w:eastAsia="仿宋_GB2312" w:cs="仿宋_GB2312"/>
          <w:kern w:val="2"/>
          <w:sz w:val="32"/>
          <w:szCs w:val="32"/>
          <w:highlight w:val="none"/>
          <w:u w:val="single"/>
          <w:lang w:val="en-US" w:eastAsia="zh-CN" w:bidi="ar"/>
        </w:rPr>
        <w:t>35</w:t>
      </w:r>
      <w:r>
        <w:rPr>
          <w:rFonts w:hint="eastAsia" w:ascii="仿宋_GB2312" w:hAnsi="仿宋_GB2312" w:eastAsia="仿宋_GB2312" w:cs="仿宋_GB2312"/>
          <w:kern w:val="2"/>
          <w:sz w:val="32"/>
          <w:szCs w:val="32"/>
          <w:highlight w:val="none"/>
          <w:lang w:val="en-US" w:eastAsia="zh-CN" w:bidi="ar"/>
        </w:rPr>
        <w:t>亿元。投产后每隔5年、出让期届满前1年工业年产值平均不低于</w:t>
      </w:r>
      <w:r>
        <w:rPr>
          <w:rFonts w:hint="eastAsia" w:ascii="仿宋_GB2312" w:hAnsi="仿宋_GB2312" w:eastAsia="仿宋_GB2312" w:cs="仿宋_GB2312"/>
          <w:kern w:val="2"/>
          <w:sz w:val="32"/>
          <w:szCs w:val="32"/>
          <w:highlight w:val="none"/>
          <w:u w:val="single"/>
          <w:lang w:val="en-US" w:eastAsia="zh-CN" w:bidi="ar"/>
        </w:rPr>
        <w:t>40</w:t>
      </w:r>
      <w:r>
        <w:rPr>
          <w:rFonts w:hint="eastAsia" w:ascii="仿宋_GB2312" w:hAnsi="仿宋_GB2312" w:eastAsia="仿宋_GB2312" w:cs="仿宋_GB2312"/>
          <w:kern w:val="2"/>
          <w:sz w:val="32"/>
          <w:szCs w:val="32"/>
          <w:highlight w:val="none"/>
          <w:lang w:val="en-US" w:eastAsia="zh-CN" w:bidi="ar"/>
        </w:rPr>
        <w:t>亿元</w:t>
      </w:r>
      <w:r>
        <w:rPr>
          <w:rFonts w:hint="eastAsia" w:ascii="仿宋_GB2312" w:hAnsi="仿宋_GB2312" w:eastAsia="仿宋_GB2312" w:cs="仿宋_GB2312"/>
          <w:kern w:val="2"/>
          <w:sz w:val="32"/>
          <w:szCs w:val="32"/>
          <w:highlight w:val="none"/>
          <w:u w:val="none"/>
          <w:lang w:val="en-US" w:eastAsia="zh-CN" w:bidi="ar"/>
        </w:rPr>
        <w:t>。</w:t>
      </w:r>
    </w:p>
    <w:p>
      <w:pPr>
        <w:keepNext w:val="0"/>
        <w:keepLines w:val="0"/>
        <w:pageBreakBefore w:val="0"/>
        <w:kinsoku/>
        <w:wordWrap/>
        <w:topLinePunct w:val="0"/>
        <w:bidi w:val="0"/>
        <w:spacing w:line="579" w:lineRule="exact"/>
        <w:ind w:firstLine="600" w:firstLineChars="200"/>
        <w:textAlignment w:val="auto"/>
        <w:rPr>
          <w:rFonts w:hint="eastAsia" w:ascii="仿宋_GB2312" w:hAnsi="仿宋_GB2312" w:eastAsia="仿宋_GB2312" w:cs="仿宋_GB2312"/>
          <w:bCs/>
          <w:spacing w:val="-10"/>
          <w:sz w:val="32"/>
          <w:szCs w:val="32"/>
          <w:highlight w:val="none"/>
          <w:lang w:val="en-US" w:eastAsia="zh-CN"/>
        </w:rPr>
      </w:pPr>
      <w:r>
        <w:rPr>
          <w:rFonts w:hint="eastAsia" w:ascii="仿宋_GB2312" w:hAnsi="仿宋_GB2312" w:eastAsia="仿宋_GB2312" w:cs="仿宋_GB2312"/>
          <w:bCs/>
          <w:spacing w:val="-10"/>
          <w:sz w:val="32"/>
          <w:szCs w:val="32"/>
          <w:highlight w:val="none"/>
          <w:lang w:val="en-US" w:eastAsia="zh-CN"/>
        </w:rPr>
        <w:t>4.税收贡献：乙方在竞得本宗地5年内在福田区及在福田子公司纳税总额累计不低于</w:t>
      </w:r>
      <w:r>
        <w:rPr>
          <w:rFonts w:hint="eastAsia" w:ascii="仿宋_GB2312" w:hAnsi="仿宋_GB2312" w:eastAsia="仿宋_GB2312" w:cs="仿宋_GB2312"/>
          <w:bCs/>
          <w:spacing w:val="-10"/>
          <w:sz w:val="32"/>
          <w:szCs w:val="32"/>
          <w:highlight w:val="none"/>
          <w:u w:val="single"/>
          <w:lang w:val="en-US" w:eastAsia="zh-CN"/>
        </w:rPr>
        <w:t>2</w:t>
      </w:r>
      <w:r>
        <w:rPr>
          <w:rFonts w:hint="eastAsia" w:ascii="仿宋_GB2312" w:hAnsi="仿宋_GB2312" w:eastAsia="仿宋_GB2312" w:cs="仿宋_GB2312"/>
          <w:bCs/>
          <w:spacing w:val="-10"/>
          <w:sz w:val="32"/>
          <w:szCs w:val="32"/>
          <w:highlight w:val="none"/>
          <w:lang w:val="en-US" w:eastAsia="zh-CN"/>
        </w:rPr>
        <w:t>亿元，每年不低于</w:t>
      </w:r>
      <w:r>
        <w:rPr>
          <w:rFonts w:hint="eastAsia" w:ascii="仿宋_GB2312" w:hAnsi="仿宋_GB2312" w:eastAsia="仿宋_GB2312" w:cs="仿宋_GB2312"/>
          <w:bCs/>
          <w:spacing w:val="-10"/>
          <w:sz w:val="32"/>
          <w:szCs w:val="32"/>
          <w:highlight w:val="none"/>
          <w:u w:val="single"/>
          <w:lang w:val="en-US" w:eastAsia="zh-CN"/>
        </w:rPr>
        <w:t>2000</w:t>
      </w:r>
      <w:r>
        <w:rPr>
          <w:rFonts w:hint="eastAsia" w:ascii="仿宋_GB2312" w:hAnsi="仿宋_GB2312" w:eastAsia="仿宋_GB2312" w:cs="仿宋_GB2312"/>
          <w:bCs/>
          <w:spacing w:val="-10"/>
          <w:sz w:val="32"/>
          <w:szCs w:val="32"/>
          <w:highlight w:val="none"/>
          <w:lang w:val="en-US" w:eastAsia="zh-CN"/>
        </w:rPr>
        <w:t>万元。</w:t>
      </w:r>
    </w:p>
    <w:p>
      <w:pPr>
        <w:keepNext w:val="0"/>
        <w:keepLines w:val="0"/>
        <w:pageBreakBefore w:val="0"/>
        <w:kinsoku/>
        <w:wordWrap/>
        <w:topLinePunct w:val="0"/>
        <w:bidi w:val="0"/>
        <w:spacing w:line="579" w:lineRule="exact"/>
        <w:ind w:firstLine="600" w:firstLineChars="200"/>
        <w:textAlignment w:val="auto"/>
        <w:rPr>
          <w:rFonts w:hint="eastAsia"/>
          <w:highlight w:val="none"/>
          <w:lang w:val="en-US" w:eastAsia="zh-CN"/>
        </w:rPr>
      </w:pPr>
      <w:r>
        <w:rPr>
          <w:rFonts w:hint="eastAsia" w:ascii="仿宋_GB2312" w:hAnsi="仿宋" w:eastAsia="仿宋_GB2312"/>
          <w:bCs/>
          <w:spacing w:val="-10"/>
          <w:sz w:val="32"/>
          <w:szCs w:val="32"/>
          <w:highlight w:val="none"/>
          <w:lang w:val="en-US" w:eastAsia="zh-CN"/>
        </w:rPr>
        <w:t>5.创新型产业用房、文化活动室及母婴室：乙方在竞得本宗地后建成的创新型产业用房、文化活动室及母婴室应无偿移交给福田区政府，产权归福田区政府，登记在福田区政府物业管理中心名下（上述面积以土地出让合同为准)。</w:t>
      </w:r>
    </w:p>
    <w:p>
      <w:pPr>
        <w:keepNext w:val="0"/>
        <w:keepLines w:val="0"/>
        <w:pageBreakBefore w:val="0"/>
        <w:kinsoku/>
        <w:wordWrap/>
        <w:topLinePunct w:val="0"/>
        <w:bidi w:val="0"/>
        <w:spacing w:line="579" w:lineRule="exact"/>
        <w:ind w:firstLine="600" w:firstLineChars="200"/>
        <w:textAlignment w:val="auto"/>
        <w:rPr>
          <w:rFonts w:hint="eastAsia" w:ascii="仿宋_GB2312" w:hAnsi="仿宋" w:eastAsia="仿宋_GB2312"/>
          <w:bCs/>
          <w:spacing w:val="-10"/>
          <w:sz w:val="32"/>
          <w:szCs w:val="32"/>
          <w:highlight w:val="none"/>
          <w:lang w:val="en-US" w:eastAsia="zh-CN"/>
        </w:rPr>
      </w:pPr>
      <w:r>
        <w:rPr>
          <w:rFonts w:hint="eastAsia" w:ascii="仿宋_GB2312" w:hAnsi="仿宋" w:eastAsia="仿宋_GB2312"/>
          <w:bCs/>
          <w:spacing w:val="-10"/>
          <w:sz w:val="32"/>
          <w:szCs w:val="32"/>
          <w:highlight w:val="none"/>
          <w:lang w:val="en-US" w:eastAsia="zh-CN"/>
        </w:rPr>
        <w:t>6.节能环保：在项目建设、经营、生产过程中，符合国家行业节能标准和建筑节能标准，粉尘、废气、废水、废渣、磁辐射污染、噪声等的排放和产生符合国家、省、市环保政策和法律法规的标准和要求。</w:t>
      </w:r>
    </w:p>
    <w:p>
      <w:pPr>
        <w:keepNext w:val="0"/>
        <w:keepLines w:val="0"/>
        <w:pageBreakBefore w:val="0"/>
        <w:kinsoku/>
        <w:wordWrap/>
        <w:topLinePunct w:val="0"/>
        <w:bidi w:val="0"/>
        <w:spacing w:line="579" w:lineRule="exact"/>
        <w:ind w:firstLine="600" w:firstLineChars="200"/>
        <w:textAlignment w:val="auto"/>
        <w:rPr>
          <w:rFonts w:hint="eastAsia" w:ascii="仿宋_GB2312" w:hAnsi="仿宋" w:eastAsia="仿宋_GB2312"/>
          <w:bCs/>
          <w:spacing w:val="-10"/>
          <w:sz w:val="32"/>
          <w:szCs w:val="32"/>
          <w:highlight w:val="none"/>
          <w:lang w:val="en-US" w:eastAsia="zh-CN"/>
        </w:rPr>
      </w:pPr>
      <w:r>
        <w:rPr>
          <w:rFonts w:hint="eastAsia" w:ascii="仿宋_GB2312" w:hAnsi="仿宋" w:eastAsia="仿宋_GB2312"/>
          <w:bCs/>
          <w:spacing w:val="-10"/>
          <w:sz w:val="32"/>
          <w:szCs w:val="32"/>
          <w:highlight w:val="none"/>
          <w:lang w:val="en-US" w:eastAsia="zh-CN"/>
        </w:rPr>
        <w:t>7.</w:t>
      </w:r>
      <w:bookmarkStart w:id="0" w:name="OLE_LINK9"/>
      <w:bookmarkStart w:id="1" w:name="OLE_LINK8"/>
      <w:r>
        <w:rPr>
          <w:rFonts w:hint="eastAsia" w:ascii="仿宋_GB2312" w:hAnsi="仿宋" w:eastAsia="仿宋_GB2312"/>
          <w:bCs/>
          <w:spacing w:val="-10"/>
          <w:sz w:val="32"/>
          <w:szCs w:val="32"/>
          <w:highlight w:val="none"/>
          <w:lang w:val="en-US" w:eastAsia="zh-CN"/>
        </w:rPr>
        <w:t>土壤环境保护要求</w:t>
      </w:r>
      <w:bookmarkEnd w:id="0"/>
      <w:bookmarkEnd w:id="1"/>
      <w:r>
        <w:rPr>
          <w:rFonts w:hint="eastAsia" w:ascii="仿宋_GB2312" w:hAnsi="仿宋" w:eastAsia="仿宋_GB2312"/>
          <w:bCs/>
          <w:spacing w:val="-10"/>
          <w:sz w:val="32"/>
          <w:szCs w:val="32"/>
          <w:highlight w:val="none"/>
          <w:lang w:val="en-US" w:eastAsia="zh-CN"/>
        </w:rPr>
        <w:t>：满足深圳市土壤环境保护相关政策要求。</w:t>
      </w:r>
    </w:p>
    <w:p>
      <w:pPr>
        <w:keepNext w:val="0"/>
        <w:keepLines w:val="0"/>
        <w:pageBreakBefore w:val="0"/>
        <w:widowControl w:val="0"/>
        <w:suppressLineNumbers w:val="0"/>
        <w:kinsoku/>
        <w:wordWrap/>
        <w:topLinePunct w:val="0"/>
        <w:bidi w:val="0"/>
        <w:spacing w:beforeAutospacing="0" w:afterAutospacing="0" w:line="579" w:lineRule="exact"/>
        <w:ind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（五）转让或出租限制</w:t>
      </w:r>
      <w:r>
        <w:rPr>
          <w:rFonts w:hint="eastAsia" w:ascii="仿宋_GB2312" w:hAnsi="Times New Roman" w:eastAsia="仿宋_GB2312" w:cs="仿宋_GB2312"/>
          <w:kern w:val="2"/>
          <w:sz w:val="32"/>
          <w:szCs w:val="32"/>
          <w:highlight w:val="none"/>
          <w:lang w:val="en-US" w:eastAsia="zh-CN" w:bidi="ar"/>
        </w:rPr>
        <w:t>：建设用地使用权及建筑物100%的建筑面积在全年期内不得转让及出租。</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color w:val="auto"/>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（六）股权变更限制：</w:t>
      </w:r>
      <w:r>
        <w:rPr>
          <w:rFonts w:hint="eastAsia" w:ascii="仿宋_GB2312" w:hAnsi="Times New Roman" w:eastAsia="仿宋_GB2312" w:cs="仿宋_GB2312"/>
          <w:color w:val="auto"/>
          <w:kern w:val="2"/>
          <w:sz w:val="32"/>
          <w:szCs w:val="32"/>
          <w:highlight w:val="none"/>
          <w:lang w:val="en-US" w:eastAsia="zh-CN" w:bidi="ar"/>
        </w:rPr>
        <w:t>乙方在全年期内不得以股权转让或变更的方式变相转让建设用地使用权以及附着于该土地上的建筑物、构筑物及其附属设施。如因企业经营需要，在不导致企业控股权和实际控制权发生变更的前提下，乙方可先经甲方备案后进行股权调整。</w:t>
      </w:r>
    </w:p>
    <w:p>
      <w:pPr>
        <w:spacing w:line="560" w:lineRule="exact"/>
        <w:ind w:firstLine="640" w:firstLineChars="200"/>
        <w:rPr>
          <w:rFonts w:hint="eastAsia" w:ascii="仿宋_GB2312" w:hAnsi="Times New Roman" w:eastAsia="仿宋_GB2312" w:cs="仿宋_GB2312"/>
          <w:color w:val="auto"/>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（七）抵押限制：</w:t>
      </w:r>
      <w:r>
        <w:rPr>
          <w:rFonts w:hint="eastAsia" w:ascii="仿宋_GB2312" w:hAnsi="Times New Roman" w:eastAsia="仿宋_GB2312" w:cs="仿宋_GB2312"/>
          <w:color w:val="auto"/>
          <w:kern w:val="2"/>
          <w:sz w:val="32"/>
          <w:szCs w:val="32"/>
          <w:highlight w:val="none"/>
          <w:lang w:val="en-US" w:eastAsia="zh-CN" w:bidi="ar"/>
        </w:rPr>
        <w:t>乙方取得的建设用地使用权及建筑物允许抵押，但抵押金额不得超出合同剩余年期地价与建筑物残值之和。</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（八）</w:t>
      </w:r>
      <w:r>
        <w:rPr>
          <w:rFonts w:hint="eastAsia" w:ascii="楷体_GB2312" w:hAnsi="楷体_GB2312" w:eastAsia="楷体_GB2312" w:cs="楷体_GB2312"/>
          <w:color w:val="000000"/>
          <w:kern w:val="2"/>
          <w:sz w:val="32"/>
          <w:szCs w:val="32"/>
          <w:highlight w:val="none"/>
          <w:lang w:val="en-US" w:eastAsia="zh-CN" w:bidi="ar"/>
        </w:rPr>
        <w:t>强制执行：</w:t>
      </w:r>
      <w:r>
        <w:rPr>
          <w:rFonts w:hint="eastAsia" w:ascii="仿宋_GB2312" w:hAnsi="宋体" w:eastAsia="仿宋_GB2312" w:cs="仿宋_GB2312"/>
          <w:color w:val="000000"/>
          <w:kern w:val="2"/>
          <w:sz w:val="32"/>
          <w:szCs w:val="32"/>
          <w:highlight w:val="none"/>
          <w:lang w:val="en-US" w:eastAsia="zh-CN" w:bidi="ar"/>
        </w:rPr>
        <w:t>人民法院强制执行拍卖或者变卖建设用地</w:t>
      </w:r>
      <w:r>
        <w:rPr>
          <w:rFonts w:hint="eastAsia" w:ascii="仿宋_GB2312" w:hAnsi="Times New Roman" w:eastAsia="仿宋_GB2312" w:cs="仿宋_GB2312"/>
          <w:kern w:val="2"/>
          <w:sz w:val="32"/>
          <w:szCs w:val="32"/>
          <w:highlight w:val="none"/>
          <w:lang w:val="en-US" w:eastAsia="zh-CN" w:bidi="ar"/>
        </w:rPr>
        <w:t>使用权，次受让人应当承接原建设用地使用权出让合同及产业发展监管协议规定的受让人责任及义务，原建设用地使用权出让合同约定的土地使用条件不变。人民法院强制执行又无符合条件的次受让人的，其建设用地使用权及地上建（构）筑物由政府回购。</w:t>
      </w:r>
    </w:p>
    <w:p>
      <w:pPr>
        <w:keepNext w:val="0"/>
        <w:keepLines w:val="0"/>
        <w:pageBreakBefore w:val="0"/>
        <w:widowControl w:val="0"/>
        <w:suppressLineNumbers w:val="0"/>
        <w:kinsoku/>
        <w:wordWrap/>
        <w:topLinePunct w:val="0"/>
        <w:bidi w:val="0"/>
        <w:adjustRightInd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（九）</w:t>
      </w:r>
      <w:r>
        <w:rPr>
          <w:rFonts w:hint="eastAsia" w:ascii="仿宋_GB2312" w:hAnsi="Times New Roman" w:eastAsia="仿宋_GB2312" w:cs="仿宋_GB2312"/>
          <w:kern w:val="2"/>
          <w:sz w:val="32"/>
          <w:szCs w:val="32"/>
          <w:highlight w:val="none"/>
          <w:lang w:val="en-US" w:eastAsia="zh-CN" w:bidi="ar"/>
        </w:rPr>
        <w:t>乙方应按甲方要求如实提供相关材料，主动配合甲方按照本协议约定及《管理办法》规定核查乙方的投资强度、转让或出租、股权变更限制、产值、纳税额、投产时间、产出效率等情况。</w:t>
      </w:r>
    </w:p>
    <w:p>
      <w:pPr>
        <w:keepNext w:val="0"/>
        <w:keepLines w:val="0"/>
        <w:pageBreakBefore w:val="0"/>
        <w:widowControl w:val="0"/>
        <w:suppressLineNumbers w:val="0"/>
        <w:kinsoku/>
        <w:wordWrap/>
        <w:topLinePunct w:val="0"/>
        <w:bidi w:val="0"/>
        <w:adjustRightInd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（十）</w:t>
      </w:r>
      <w:r>
        <w:rPr>
          <w:rFonts w:hint="eastAsia" w:ascii="仿宋_GB2312" w:hAnsi="Times New Roman" w:eastAsia="仿宋_GB2312" w:cs="仿宋_GB2312"/>
          <w:kern w:val="2"/>
          <w:sz w:val="32"/>
          <w:szCs w:val="32"/>
          <w:highlight w:val="none"/>
          <w:lang w:val="en-US" w:eastAsia="zh-CN" w:bidi="ar"/>
        </w:rPr>
        <w:t>乙方取得用地之后，土地使用期内注册地和统计关系归属地不得迁移出福田区。</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bidi="ar"/>
        </w:rPr>
        <w:t>五、履约核查内容及违约责任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（一）履约核查内容及一般违约责任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甲方应组织相关部门或委托第三方专业机构按照本协议约定及《管理办法》规定内容，对乙方实行全年期考核监督，进行履约情况核查。若经甲方核查，乙方未通过履约核查的，甲方可按照本协议约定及《管理办法》规定追究乙方的违约责任，</w:t>
      </w:r>
      <w:r>
        <w:rPr>
          <w:rFonts w:hint="eastAsia" w:ascii="仿宋_GB2312" w:hAnsi="宋体" w:eastAsia="仿宋_GB2312" w:cs="仿宋_GB2312"/>
          <w:color w:val="000000"/>
          <w:kern w:val="2"/>
          <w:sz w:val="32"/>
          <w:szCs w:val="32"/>
          <w:highlight w:val="none"/>
          <w:lang w:val="en-US" w:eastAsia="zh-CN" w:bidi="ar"/>
        </w:rPr>
        <w:t>将乙方及其法定代表人、负责人、股东、投资人等责任主体及乙方关联企业列入</w:t>
      </w:r>
      <w:r>
        <w:rPr>
          <w:rFonts w:hint="eastAsia" w:ascii="仿宋_GB2312" w:hAnsi="Times New Roman" w:eastAsia="仿宋_GB2312" w:cs="仿宋_GB2312"/>
          <w:kern w:val="2"/>
          <w:sz w:val="32"/>
          <w:szCs w:val="32"/>
          <w:highlight w:val="none"/>
          <w:lang w:val="en-US" w:eastAsia="zh-CN" w:bidi="ar"/>
        </w:rPr>
        <w:t>失信“黑名单”，并报送至市公共信用信息管理系统，会同各相关职责部门依法依规实施联合惩戒。在联合惩戒期限内，重点在政府采购、建设工程招投标、政府资金扶持、城市更新、土地竞拍等方面对失信主体予以限制。</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（二）违反建成投产时间的违约责任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经甲方核查，除因不可抗力外，乙方未按照本协议第四条第（四）项第1点约定建成投产，甲方有权要求乙方加快建设进度，</w:t>
      </w:r>
      <w:r>
        <w:rPr>
          <w:rFonts w:hint="eastAsia" w:ascii="仿宋_GB2312" w:hAnsi="Times New Roman" w:eastAsia="仿宋_GB2312" w:cs="仿宋_GB2312"/>
          <w:color w:val="000000"/>
          <w:kern w:val="2"/>
          <w:sz w:val="32"/>
          <w:szCs w:val="32"/>
          <w:highlight w:val="none"/>
          <w:lang w:val="en-US" w:eastAsia="zh-CN" w:bidi="ar"/>
        </w:rPr>
        <w:t>逾期1个月支付固定资产投资额的1%作为违约金</w:t>
      </w:r>
      <w:r>
        <w:rPr>
          <w:rFonts w:hint="eastAsia" w:ascii="仿宋_GB2312" w:hAnsi="Times New Roman" w:eastAsia="仿宋_GB2312" w:cs="仿宋_GB2312"/>
          <w:kern w:val="2"/>
          <w:sz w:val="32"/>
          <w:szCs w:val="32"/>
          <w:highlight w:val="none"/>
          <w:lang w:val="en-US" w:eastAsia="zh-CN" w:bidi="ar"/>
        </w:rPr>
        <w:t>，违约金累计计算，直至该项目建成投产。</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（三）违反投资强度的违约责任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1.项目建成投产后，经甲方核查，乙方</w:t>
      </w:r>
      <w:r>
        <w:rPr>
          <w:rFonts w:hint="eastAsia" w:ascii="仿宋_GB2312" w:hAnsi="Times New Roman" w:eastAsia="仿宋_GB2312" w:cs="仿宋_GB2312"/>
          <w:color w:val="000000"/>
          <w:kern w:val="2"/>
          <w:sz w:val="32"/>
          <w:szCs w:val="32"/>
          <w:highlight w:val="none"/>
          <w:lang w:val="en-US" w:eastAsia="zh-CN" w:bidi="ar"/>
        </w:rPr>
        <w:t>投资强度未达到本协议第四条第（四）项第2点要求的，甲方有权要求乙方限期补足投资额，并支付固定资产投资不足部分的5%作为违约金，</w:t>
      </w:r>
      <w:r>
        <w:rPr>
          <w:rFonts w:hint="eastAsia" w:ascii="仿宋_GB2312" w:hAnsi="Times New Roman" w:eastAsia="仿宋_GB2312" w:cs="仿宋_GB2312"/>
          <w:kern w:val="2"/>
          <w:sz w:val="32"/>
          <w:szCs w:val="32"/>
          <w:highlight w:val="none"/>
          <w:lang w:val="en-US" w:eastAsia="zh-CN" w:bidi="ar"/>
        </w:rPr>
        <w:t>即违约金=（乙方承诺固定资产投资强度-实际固定资产投资强度）×总建筑面积×5%。</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2.核查不合格满一年经再次核查仍不合格的，甲方有权要求乙方每年支付</w:t>
      </w:r>
      <w:r>
        <w:rPr>
          <w:rFonts w:hint="eastAsia" w:ascii="仿宋_GB2312" w:hAnsi="Times New Roman" w:eastAsia="仿宋_GB2312" w:cs="仿宋_GB2312"/>
          <w:color w:val="000000"/>
          <w:kern w:val="2"/>
          <w:sz w:val="32"/>
          <w:szCs w:val="32"/>
          <w:highlight w:val="none"/>
          <w:lang w:val="en-US" w:eastAsia="zh-CN" w:bidi="ar"/>
        </w:rPr>
        <w:t>固定资产投资不足部分的10%作为违约金，</w:t>
      </w:r>
      <w:r>
        <w:rPr>
          <w:rFonts w:hint="eastAsia" w:ascii="仿宋_GB2312" w:hAnsi="Times New Roman" w:eastAsia="仿宋_GB2312" w:cs="仿宋_GB2312"/>
          <w:kern w:val="2"/>
          <w:sz w:val="32"/>
          <w:szCs w:val="32"/>
          <w:highlight w:val="none"/>
          <w:lang w:val="en-US" w:eastAsia="zh-CN" w:bidi="ar"/>
        </w:rPr>
        <w:t>直至经核查投资强度达到约定要求为止。</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3.乙方应自甲方出具核查不合格通知书之日起20个自然日内缴纳违约金，</w:t>
      </w:r>
      <w:r>
        <w:rPr>
          <w:rFonts w:hint="eastAsia" w:ascii="仿宋_GB2312" w:hAnsi="宋体" w:eastAsia="仿宋_GB2312" w:cs="仿宋_GB2312"/>
          <w:color w:val="000000"/>
          <w:kern w:val="2"/>
          <w:sz w:val="32"/>
          <w:szCs w:val="32"/>
          <w:highlight w:val="none"/>
          <w:lang w:val="en-US" w:eastAsia="zh-CN" w:bidi="ar"/>
        </w:rPr>
        <w:t>未如期足额缴纳违约金的，未缴纳部分的逾期利息按贷款市场报价利率（LPR）计息，直至缴清违约金及利息为止</w:t>
      </w:r>
      <w:r>
        <w:rPr>
          <w:rFonts w:hint="eastAsia" w:ascii="仿宋_GB2312" w:hAnsi="Times New Roman"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（四）违反产值承诺的违约责任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1.项目建成投产后，经甲方核查，除因不可抗力外，乙方第1年、每5年、出让期届满前1年实际累计纳入深圳市福田区的统计核算的</w:t>
      </w:r>
      <w:r>
        <w:rPr>
          <w:rFonts w:hint="eastAsia" w:ascii="仿宋_GB2312" w:hAnsi="Times New Roman" w:eastAsia="仿宋_GB2312" w:cs="仿宋_GB2312"/>
          <w:color w:val="000000"/>
          <w:kern w:val="2"/>
          <w:sz w:val="32"/>
          <w:szCs w:val="32"/>
          <w:highlight w:val="none"/>
          <w:lang w:val="en-US" w:eastAsia="zh-CN" w:bidi="ar"/>
        </w:rPr>
        <w:t>产值未达到本协议第四条第（四）项第3点承诺值要求的，甲方有权要求乙方支付产值不足部分的1%作为违约金，即</w:t>
      </w:r>
      <w:r>
        <w:rPr>
          <w:rFonts w:hint="eastAsia" w:ascii="仿宋_GB2312" w:hAnsi="Times New Roman" w:eastAsia="仿宋_GB2312" w:cs="仿宋_GB2312"/>
          <w:kern w:val="2"/>
          <w:sz w:val="32"/>
          <w:szCs w:val="32"/>
          <w:highlight w:val="none"/>
          <w:lang w:val="en-US" w:eastAsia="zh-CN" w:bidi="ar"/>
        </w:rPr>
        <w:t>违约金=（乙方承诺产值-实际产值）×1%。</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color w:val="000000"/>
          <w:kern w:val="2"/>
          <w:sz w:val="32"/>
          <w:szCs w:val="32"/>
          <w:highlight w:val="none"/>
        </w:rPr>
      </w:pPr>
      <w:r>
        <w:rPr>
          <w:rFonts w:hint="eastAsia" w:ascii="仿宋_GB2312" w:hAnsi="Times New Roman" w:eastAsia="仿宋_GB2312" w:cs="仿宋_GB2312"/>
          <w:kern w:val="2"/>
          <w:sz w:val="32"/>
          <w:szCs w:val="32"/>
          <w:highlight w:val="none"/>
          <w:lang w:val="en-US" w:eastAsia="zh-CN" w:bidi="ar"/>
        </w:rPr>
        <w:t>2.</w:t>
      </w:r>
      <w:r>
        <w:rPr>
          <w:rFonts w:hint="eastAsia" w:ascii="仿宋_GB2312" w:hAnsi="宋体" w:eastAsia="仿宋_GB2312" w:cs="仿宋_GB2312"/>
          <w:color w:val="000000"/>
          <w:kern w:val="2"/>
          <w:sz w:val="32"/>
          <w:szCs w:val="32"/>
          <w:highlight w:val="none"/>
          <w:lang w:val="en-US" w:eastAsia="zh-CN" w:bidi="ar"/>
        </w:rPr>
        <w:t>核验不合格满一年经再次核查仍不合格的，甲方有权要求乙方每年支付</w:t>
      </w:r>
      <w:r>
        <w:rPr>
          <w:rFonts w:hint="eastAsia" w:ascii="仿宋_GB2312" w:hAnsi="Times New Roman" w:eastAsia="仿宋_GB2312" w:cs="仿宋_GB2312"/>
          <w:color w:val="000000"/>
          <w:kern w:val="2"/>
          <w:sz w:val="32"/>
          <w:szCs w:val="32"/>
          <w:highlight w:val="none"/>
          <w:lang w:val="en-US" w:eastAsia="zh-CN" w:bidi="ar"/>
        </w:rPr>
        <w:t>产值</w:t>
      </w:r>
      <w:r>
        <w:rPr>
          <w:rFonts w:hint="eastAsia" w:ascii="仿宋_GB2312" w:hAnsi="宋体" w:eastAsia="仿宋_GB2312" w:cs="仿宋_GB2312"/>
          <w:color w:val="000000"/>
          <w:kern w:val="2"/>
          <w:sz w:val="32"/>
          <w:szCs w:val="32"/>
          <w:highlight w:val="none"/>
          <w:lang w:val="en-US" w:eastAsia="zh-CN" w:bidi="ar"/>
        </w:rPr>
        <w:t>不足部分的</w:t>
      </w:r>
      <w:r>
        <w:rPr>
          <w:rFonts w:hint="eastAsia" w:ascii="仿宋_GB2312" w:hAnsi="宋体" w:eastAsia="宋体" w:cs="仿宋_GB2312"/>
          <w:color w:val="000000"/>
          <w:kern w:val="2"/>
          <w:sz w:val="32"/>
          <w:szCs w:val="32"/>
          <w:highlight w:val="none"/>
          <w:lang w:val="en-US" w:eastAsia="zh-CN" w:bidi="ar"/>
        </w:rPr>
        <w:t>2</w:t>
      </w:r>
      <w:r>
        <w:rPr>
          <w:rFonts w:hint="eastAsia" w:ascii="仿宋_GB2312" w:hAnsi="宋体" w:eastAsia="仿宋_GB2312" w:cs="仿宋_GB2312"/>
          <w:color w:val="000000"/>
          <w:kern w:val="2"/>
          <w:sz w:val="32"/>
          <w:szCs w:val="32"/>
          <w:highlight w:val="none"/>
          <w:lang w:val="en-US" w:eastAsia="zh-CN" w:bidi="ar"/>
        </w:rPr>
        <w:t>%作为违约金，直至核查</w:t>
      </w:r>
      <w:r>
        <w:rPr>
          <w:rFonts w:hint="eastAsia" w:ascii="仿宋_GB2312" w:hAnsi="Times New Roman" w:eastAsia="仿宋_GB2312" w:cs="仿宋_GB2312"/>
          <w:color w:val="000000"/>
          <w:kern w:val="2"/>
          <w:sz w:val="32"/>
          <w:szCs w:val="32"/>
          <w:highlight w:val="none"/>
          <w:lang w:val="en-US" w:eastAsia="zh-CN" w:bidi="ar"/>
        </w:rPr>
        <w:t>产值</w:t>
      </w:r>
      <w:r>
        <w:rPr>
          <w:rFonts w:hint="eastAsia" w:ascii="仿宋_GB2312" w:hAnsi="宋体" w:eastAsia="仿宋_GB2312" w:cs="仿宋_GB2312"/>
          <w:color w:val="000000"/>
          <w:kern w:val="2"/>
          <w:sz w:val="32"/>
          <w:szCs w:val="32"/>
          <w:highlight w:val="none"/>
          <w:lang w:val="en-US" w:eastAsia="zh-CN" w:bidi="ar"/>
        </w:rPr>
        <w:t>达到约定要求为止</w:t>
      </w:r>
      <w:r>
        <w:rPr>
          <w:rFonts w:hint="eastAsia" w:ascii="仿宋_GB2312" w:hAnsi="Times New Roman" w:eastAsia="仿宋_GB2312" w:cs="仿宋_GB2312"/>
          <w:color w:val="000000"/>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3.乙方应自甲方出具核查不合格通知书之日起20个自然日内缴纳违约金，未如期足额缴纳违约金的，未缴纳部分的逾期利息按贷款市场报价利率（LPR）计息，直至缴清违约金及利息为止。</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4.经甲方核查，除因不可抗力外，乙方连续三个考核期纳入深圳市福田区的统计核算的</w:t>
      </w:r>
      <w:r>
        <w:rPr>
          <w:rFonts w:hint="eastAsia" w:ascii="仿宋_GB2312" w:hAnsi="Times New Roman" w:eastAsia="仿宋_GB2312" w:cs="仿宋_GB2312"/>
          <w:color w:val="000000"/>
          <w:kern w:val="2"/>
          <w:sz w:val="32"/>
          <w:szCs w:val="32"/>
          <w:highlight w:val="none"/>
          <w:lang w:val="en-US" w:eastAsia="zh-CN" w:bidi="ar"/>
        </w:rPr>
        <w:t>产值</w:t>
      </w:r>
      <w:r>
        <w:rPr>
          <w:rFonts w:hint="eastAsia" w:ascii="仿宋_GB2312" w:hAnsi="Times New Roman" w:eastAsia="仿宋_GB2312" w:cs="仿宋_GB2312"/>
          <w:kern w:val="2"/>
          <w:sz w:val="32"/>
          <w:szCs w:val="32"/>
          <w:highlight w:val="none"/>
          <w:lang w:val="en-US" w:eastAsia="zh-CN" w:bidi="ar"/>
        </w:rPr>
        <w:t>未达到本协议第四条第（四）项第3点承诺值要求，甲方有权提请土地主管部门解除建设用地使用权出让合同，无偿收回土地使用权，地上建（构）筑物及其附属设施按残值方式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（五）违反税收贡献承诺的违约责任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1.</w:t>
      </w:r>
      <w:r>
        <w:rPr>
          <w:rFonts w:hint="eastAsia" w:ascii="仿宋_GB2312" w:hAnsi="仿宋" w:eastAsia="仿宋_GB2312"/>
          <w:bCs/>
          <w:spacing w:val="-10"/>
          <w:sz w:val="32"/>
          <w:szCs w:val="32"/>
          <w:highlight w:val="none"/>
          <w:lang w:val="en-US" w:eastAsia="zh-CN"/>
        </w:rPr>
        <w:t>乙方在竞得本宗地后，</w:t>
      </w:r>
      <w:r>
        <w:rPr>
          <w:rFonts w:hint="eastAsia" w:ascii="仿宋_GB2312" w:hAnsi="Times New Roman" w:eastAsia="仿宋_GB2312" w:cs="仿宋_GB2312"/>
          <w:kern w:val="2"/>
          <w:sz w:val="32"/>
          <w:szCs w:val="32"/>
          <w:highlight w:val="none"/>
          <w:lang w:val="en-US" w:eastAsia="zh-CN" w:bidi="ar"/>
        </w:rPr>
        <w:t>经甲方核查，除因不可抗力外，乙方及乙方在福田子公司5年内在福田区纳税总额或每年在福田区纳税额未达到本协议第四条第（四）项第 4 点承诺值要求的，甲方有权要求乙方支付违约金，违约金=（乙方承诺纳税额-实际纳税额）×2。</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color w:val="000000"/>
          <w:kern w:val="2"/>
          <w:sz w:val="32"/>
          <w:szCs w:val="32"/>
          <w:highlight w:val="none"/>
        </w:rPr>
      </w:pPr>
      <w:r>
        <w:rPr>
          <w:rFonts w:hint="eastAsia" w:ascii="仿宋_GB2312" w:hAnsi="Times New Roman" w:eastAsia="仿宋_GB2312" w:cs="仿宋_GB2312"/>
          <w:kern w:val="2"/>
          <w:sz w:val="32"/>
          <w:szCs w:val="32"/>
          <w:highlight w:val="none"/>
          <w:lang w:val="en-US" w:eastAsia="zh-CN" w:bidi="ar"/>
        </w:rPr>
        <w:t>2.</w:t>
      </w:r>
      <w:r>
        <w:rPr>
          <w:rFonts w:hint="eastAsia" w:ascii="仿宋_GB2312" w:hAnsi="宋体" w:eastAsia="仿宋_GB2312" w:cs="仿宋_GB2312"/>
          <w:color w:val="000000"/>
          <w:kern w:val="2"/>
          <w:sz w:val="32"/>
          <w:szCs w:val="32"/>
          <w:highlight w:val="none"/>
          <w:lang w:val="en-US" w:eastAsia="zh-CN" w:bidi="ar"/>
        </w:rPr>
        <w:t>核验不合格满一年经再次核查仍不合格的，甲方有权要求乙方每年支付</w:t>
      </w:r>
      <w:r>
        <w:rPr>
          <w:rFonts w:hint="eastAsia" w:ascii="仿宋_GB2312" w:hAnsi="Times New Roman" w:eastAsia="仿宋_GB2312" w:cs="仿宋_GB2312"/>
          <w:color w:val="000000"/>
          <w:kern w:val="2"/>
          <w:sz w:val="32"/>
          <w:szCs w:val="32"/>
          <w:highlight w:val="none"/>
          <w:lang w:val="en-US" w:eastAsia="zh-CN" w:bidi="ar"/>
        </w:rPr>
        <w:t>纳税额</w:t>
      </w:r>
      <w:r>
        <w:rPr>
          <w:rFonts w:hint="eastAsia" w:ascii="仿宋_GB2312" w:hAnsi="宋体" w:eastAsia="仿宋_GB2312" w:cs="仿宋_GB2312"/>
          <w:color w:val="000000"/>
          <w:kern w:val="2"/>
          <w:sz w:val="32"/>
          <w:szCs w:val="32"/>
          <w:highlight w:val="none"/>
          <w:lang w:val="en-US" w:eastAsia="zh-CN" w:bidi="ar"/>
        </w:rPr>
        <w:t>不</w:t>
      </w:r>
      <w:r>
        <w:rPr>
          <w:rFonts w:hint="eastAsia" w:ascii="仿宋_GB2312" w:hAnsi="Times New Roman" w:eastAsia="仿宋_GB2312" w:cs="仿宋_GB2312"/>
          <w:color w:val="000000"/>
          <w:kern w:val="2"/>
          <w:sz w:val="32"/>
          <w:szCs w:val="32"/>
          <w:highlight w:val="none"/>
          <w:lang w:val="en-US" w:eastAsia="zh-CN" w:bidi="ar"/>
        </w:rPr>
        <w:t>足部分的4倍作</w:t>
      </w:r>
      <w:r>
        <w:rPr>
          <w:rFonts w:hint="eastAsia" w:ascii="仿宋_GB2312" w:hAnsi="宋体" w:eastAsia="仿宋_GB2312" w:cs="仿宋_GB2312"/>
          <w:color w:val="000000"/>
          <w:kern w:val="2"/>
          <w:sz w:val="32"/>
          <w:szCs w:val="32"/>
          <w:highlight w:val="none"/>
          <w:lang w:val="en-US" w:eastAsia="zh-CN" w:bidi="ar"/>
        </w:rPr>
        <w:t>为违约金，直至核查</w:t>
      </w:r>
      <w:r>
        <w:rPr>
          <w:rFonts w:hint="eastAsia" w:ascii="仿宋_GB2312" w:hAnsi="Times New Roman" w:eastAsia="仿宋_GB2312" w:cs="仿宋_GB2312"/>
          <w:color w:val="000000"/>
          <w:kern w:val="2"/>
          <w:sz w:val="32"/>
          <w:szCs w:val="32"/>
          <w:highlight w:val="none"/>
          <w:lang w:val="en-US" w:eastAsia="zh-CN" w:bidi="ar"/>
        </w:rPr>
        <w:t>纳税额</w:t>
      </w:r>
      <w:r>
        <w:rPr>
          <w:rFonts w:hint="eastAsia" w:ascii="仿宋_GB2312" w:hAnsi="宋体" w:eastAsia="仿宋_GB2312" w:cs="仿宋_GB2312"/>
          <w:color w:val="000000"/>
          <w:kern w:val="2"/>
          <w:sz w:val="32"/>
          <w:szCs w:val="32"/>
          <w:highlight w:val="none"/>
          <w:lang w:val="en-US" w:eastAsia="zh-CN" w:bidi="ar"/>
        </w:rPr>
        <w:t>达到约定要求为止</w:t>
      </w:r>
      <w:r>
        <w:rPr>
          <w:rFonts w:hint="eastAsia" w:ascii="仿宋_GB2312" w:hAnsi="Times New Roman" w:eastAsia="仿宋_GB2312" w:cs="仿宋_GB2312"/>
          <w:color w:val="000000"/>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3.乙方应自甲方出具核查不合格通知书之日起20个自然日内缴纳违约金，未如期足额缴纳违约金的，未缴纳部分的逾期利息按贷款市场报价利率（LPR）计息，直至缴清违约金及利息为止。</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4.经甲方核查，除因不可抗力外，乙方连续三个考核期纳入深圳市福田区的统计核算的</w:t>
      </w:r>
      <w:r>
        <w:rPr>
          <w:rFonts w:hint="eastAsia" w:ascii="仿宋_GB2312" w:hAnsi="Times New Roman" w:eastAsia="仿宋_GB2312" w:cs="仿宋_GB2312"/>
          <w:color w:val="000000"/>
          <w:kern w:val="2"/>
          <w:sz w:val="32"/>
          <w:szCs w:val="32"/>
          <w:highlight w:val="none"/>
          <w:lang w:val="en-US" w:eastAsia="zh-CN" w:bidi="ar"/>
        </w:rPr>
        <w:t>纳税额</w:t>
      </w:r>
      <w:r>
        <w:rPr>
          <w:rFonts w:hint="eastAsia" w:ascii="仿宋_GB2312" w:hAnsi="Times New Roman" w:eastAsia="仿宋_GB2312" w:cs="仿宋_GB2312"/>
          <w:kern w:val="2"/>
          <w:sz w:val="32"/>
          <w:szCs w:val="32"/>
          <w:highlight w:val="none"/>
          <w:lang w:val="en-US" w:eastAsia="zh-CN" w:bidi="ar"/>
        </w:rPr>
        <w:t>未达到本协议第四条第（四）项第4点承诺值要求，甲方有权提请土地主管部门解除建设用地使用权出让合同，无偿收回土地使用权，地上建（构）筑物及其附属设施按残值方式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（六）违反转让、出租物业约定的违约责任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在土地出让年期内，经甲方核查，乙方违反本协议第四条第（五）项约定出租物业的，甲方有权按照乙方违规出租物业</w:t>
      </w:r>
      <w:r>
        <w:rPr>
          <w:rFonts w:hint="eastAsia" w:ascii="仿宋_GB2312" w:hAnsi="Times New Roman" w:eastAsia="仿宋_GB2312" w:cs="仿宋_GB2312"/>
          <w:color w:val="000000"/>
          <w:kern w:val="2"/>
          <w:sz w:val="32"/>
          <w:szCs w:val="32"/>
          <w:highlight w:val="none"/>
          <w:lang w:val="en-US" w:eastAsia="zh-CN" w:bidi="ar"/>
        </w:rPr>
        <w:t>市场租金水平的2倍收取违约金，即违约金=乙方违规出租物业租金/月×违规出租物业时间月数×</w:t>
      </w:r>
      <w:r>
        <w:rPr>
          <w:rFonts w:hint="eastAsia" w:ascii="仿宋_GB2312" w:hAnsi="Times New Roman" w:eastAsia="仿宋_GB2312" w:cs="仿宋_GB2312"/>
          <w:kern w:val="2"/>
          <w:sz w:val="32"/>
          <w:szCs w:val="32"/>
          <w:highlight w:val="none"/>
          <w:lang w:val="en-US" w:eastAsia="zh-CN" w:bidi="ar"/>
        </w:rPr>
        <w:t>2。</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违反本协议第四条第（五）项约定转让本项目建设用地使用权或建筑物的，甲方有权提请土地主管部门解除建设用地使用权出让合同，无偿收回土地使用权，地上建（构）筑物及其附属设施不予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（七）违反权利限制的违约责任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在土地出让年期内，经甲方核查，乙方违反本协议第四条第（六）项约定或《管理办法》规定擅自转让或变更股权的，甲方有权要求乙方限期改正，乙方应按该地块出让价款的20%向甲方缴纳违约金。限期内拒不改正的，甲方有权提请土地主管部门解除建设用地使用权出让合同，无偿收回土地使用权，地上建筑物及构筑物不予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（八）违反定期报告及不配合核查的违约责任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在土地出让年期内，乙方违反本协议第四条第（三）项约定不按期进行报告的，或违反本协议第四条第（九）项约定不配合核查的，甲方有权要求乙方限期改正，乙方应按该地块出让价款的5%向甲方缴纳违约金。限期内拒不改正的，甲方有权提请土地主管部门解除建设用地使用权出让合同，无偿收回土地使用权，地上建筑物及构筑物及其附属设施不予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（九）</w:t>
      </w:r>
      <w:r>
        <w:rPr>
          <w:rFonts w:hint="eastAsia" w:ascii="仿宋_GB2312" w:hAnsi="Times New Roman" w:eastAsia="仿宋_GB2312" w:cs="仿宋_GB2312"/>
          <w:kern w:val="2"/>
          <w:sz w:val="32"/>
          <w:szCs w:val="32"/>
          <w:highlight w:val="none"/>
          <w:lang w:val="en-US" w:eastAsia="zh-CN" w:bidi="ar"/>
        </w:rPr>
        <w:t>乙方在土地使用期内注册地和统计关系归属地迁出福田区的，甲方可提请土地主管部门解除建设用地使用权出让合同，无偿收回建设用地，地上建筑物及构筑物按残值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六、退出机制</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（一）主动退出。</w:t>
      </w:r>
      <w:r>
        <w:rPr>
          <w:rFonts w:hint="eastAsia" w:ascii="仿宋_GB2312" w:hAnsi="Times New Roman" w:eastAsia="仿宋_GB2312" w:cs="仿宋_GB2312"/>
          <w:kern w:val="2"/>
          <w:sz w:val="32"/>
          <w:szCs w:val="32"/>
          <w:highlight w:val="none"/>
          <w:lang w:val="en-US" w:eastAsia="zh-CN" w:bidi="ar"/>
        </w:rPr>
        <w:t>乙方因自身原因终止项目投资建设，向建设用地使用</w:t>
      </w:r>
      <w:bookmarkStart w:id="2" w:name="_GoBack"/>
      <w:bookmarkEnd w:id="2"/>
      <w:r>
        <w:rPr>
          <w:rFonts w:hint="eastAsia" w:ascii="仿宋_GB2312" w:hAnsi="Times New Roman" w:eastAsia="仿宋_GB2312" w:cs="仿宋_GB2312"/>
          <w:kern w:val="2"/>
          <w:sz w:val="32"/>
          <w:szCs w:val="32"/>
          <w:highlight w:val="none"/>
          <w:lang w:val="en-US" w:eastAsia="zh-CN" w:bidi="ar"/>
        </w:rPr>
        <w:t>权出让人提出终止履行建设用地使用权出让合同并请求退还土地的，建设用地使用权出让人报经原批准土地出让方案的人民政府批准后，分别按以下约定，退还部分建设用地使用权出让价款（不计利息），由政府收回建设用地使用权，地上建筑物及构筑物的补偿方式在建设用地使用权出让合同中予以明确：</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1.超过建设用地使用权出让合同约定的开工建设日期但未满1年向出让人提出申请的，将剩余已付建设用地使用权出让价款退还建设用地使用权人。</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2.超过建设用地使用权出让合同约定的开工建设日期1年但未满2年向出让人提出申请的，按照规定征收土地闲置费后（直接从已付建设用地使用权出让价款中扣除），将剩余已付建设用地使用权出让价款退还建设用地使用权人。</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报经原批准土地出让方案的区人民政府后未获批准的，乙方应继续履行建设用地使用权出让合同；拒不履行的，建设用地使用权和地上建筑物、构筑物及其附属设施由区政府无偿收回。</w:t>
      </w:r>
    </w:p>
    <w:p>
      <w:pPr>
        <w:keepNext w:val="0"/>
        <w:keepLines w:val="0"/>
        <w:pageBreakBefore w:val="0"/>
        <w:widowControl w:val="0"/>
        <w:numPr>
          <w:ilvl w:val="0"/>
          <w:numId w:val="1"/>
        </w:numPr>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强制退出</w:t>
      </w:r>
      <w:r>
        <w:rPr>
          <w:rFonts w:hint="eastAsia" w:ascii="仿宋_GB2312" w:hAnsi="Times New Roman" w:eastAsia="仿宋_GB2312" w:cs="仿宋_GB2312"/>
          <w:kern w:val="2"/>
          <w:sz w:val="32"/>
          <w:szCs w:val="32"/>
          <w:highlight w:val="none"/>
          <w:lang w:val="en-US" w:eastAsia="zh-CN" w:bidi="ar"/>
        </w:rPr>
        <w:t>。符合法律法规规定、建设用地使用权出让合同和本协议约定的甲方有权提请土地主管部门解除建设用地使用权出让合同情形的，乙方的建设用地使用权由政府无偿收回，地上建筑物及构筑物补偿方式应当在建设用地使用权出让合同中约定。</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七、其他事项</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本协议履行过程中,对协议中部分名词含义的理解存在不同意见的，以甲方的解释为准。</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（二）</w:t>
      </w:r>
      <w:r>
        <w:rPr>
          <w:rFonts w:hint="eastAsia" w:ascii="仿宋_GB2312" w:hAnsi="Times New Roman" w:eastAsia="仿宋_GB2312" w:cs="仿宋_GB2312"/>
          <w:kern w:val="2"/>
          <w:sz w:val="32"/>
          <w:szCs w:val="32"/>
          <w:highlight w:val="none"/>
          <w:lang w:val="en-US" w:eastAsia="zh-CN" w:bidi="ar"/>
        </w:rPr>
        <w:t>本协议所称投资强度、产值、纳税额等相关统计数据以深圳市福田区统计部门、税务主管部门提供的数据为准。</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（三）</w:t>
      </w:r>
      <w:r>
        <w:rPr>
          <w:rFonts w:hint="eastAsia" w:ascii="仿宋_GB2312" w:hAnsi="Times New Roman" w:eastAsia="仿宋_GB2312" w:cs="仿宋_GB2312"/>
          <w:kern w:val="2"/>
          <w:sz w:val="32"/>
          <w:szCs w:val="32"/>
          <w:highlight w:val="none"/>
          <w:lang w:val="en-US" w:eastAsia="zh-CN" w:bidi="ar"/>
        </w:rPr>
        <w:t xml:space="preserve">如因职能变更等因素导致甲方不再承担产业监管的职能，本协议项下甲方的权利义务由福田区新的产业监管职能部门承接，甲方主体的变更不影响本协议以及相关补充协议等文件的效力。 </w:t>
      </w:r>
    </w:p>
    <w:p>
      <w:pPr>
        <w:keepNext w:val="0"/>
        <w:keepLines w:val="0"/>
        <w:pageBreakBefore w:val="0"/>
        <w:widowControl w:val="0"/>
        <w:suppressLineNumbers w:val="0"/>
        <w:kinsoku/>
        <w:wordWrap/>
        <w:topLinePunct w:val="0"/>
        <w:bidi w:val="0"/>
        <w:spacing w:beforeAutospacing="0" w:afterAutospacing="0" w:line="579" w:lineRule="exact"/>
        <w:ind w:right="-34" w:rightChars="-16"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（四）</w:t>
      </w:r>
      <w:r>
        <w:rPr>
          <w:rFonts w:hint="eastAsia" w:ascii="仿宋_GB2312" w:hAnsi="Times New Roman" w:eastAsia="仿宋_GB2312" w:cs="仿宋_GB2312"/>
          <w:kern w:val="2"/>
          <w:sz w:val="32"/>
          <w:szCs w:val="32"/>
          <w:highlight w:val="none"/>
          <w:lang w:val="en-US" w:eastAsia="zh-CN" w:bidi="ar"/>
        </w:rPr>
        <w:t>在履行本协议过程中，甲方需向乙方告知有关事宜的，乙方同意甲方通过媒体公告形式或通过 EMS 快递至合同首部列明的乙方地址，媒体公告或 EMS 邮寄之日均视为送达之日。如该地址变更，则应当于变更前通过书面形式告知甲方，否则甲方按原约定地址发出通知视为已经有效送达。相关司法机关的送达地址及规则同上。</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bidi="ar"/>
        </w:rPr>
        <w:t>八、争议解决方式</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因履行本协议引起争议的，由双方协商解决；若协商不成，任何一方有权向该重点产业项目用地所在地人民法院提起诉讼。</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九、协议效力</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本协议书一式五份，具同等法律效力，甲方执二份，乙方执三份（分送土地主管部门一份）。</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（二）</w:t>
      </w:r>
      <w:r>
        <w:rPr>
          <w:rFonts w:hint="eastAsia" w:ascii="仿宋_GB2312" w:hAnsi="宋体" w:eastAsia="仿宋_GB2312" w:cs="仿宋_GB2312"/>
          <w:color w:val="000000"/>
          <w:kern w:val="2"/>
          <w:sz w:val="32"/>
          <w:szCs w:val="32"/>
          <w:highlight w:val="none"/>
          <w:lang w:val="en-US" w:eastAsia="zh-CN" w:bidi="ar"/>
        </w:rPr>
        <w:t>本协议书自甲乙双方有权代表签字并且加盖公章之日起正式生效</w:t>
      </w:r>
      <w:r>
        <w:rPr>
          <w:rFonts w:hint="eastAsia" w:ascii="仿宋_GB2312" w:hAnsi="Times New Roman"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（三）</w:t>
      </w:r>
      <w:r>
        <w:rPr>
          <w:rFonts w:hint="eastAsia" w:ascii="仿宋_GB2312" w:hAnsi="Times New Roman" w:eastAsia="仿宋_GB2312" w:cs="仿宋_GB2312"/>
          <w:kern w:val="2"/>
          <w:sz w:val="32"/>
          <w:szCs w:val="32"/>
          <w:highlight w:val="none"/>
          <w:lang w:val="en-US" w:eastAsia="zh-CN" w:bidi="ar"/>
        </w:rPr>
        <w:t>本协议书未尽事宜，双方通过友好协商解决，可另行签订补充协议，补充协议与本协议书具有同等的法律效力。</w:t>
      </w:r>
    </w:p>
    <w:p>
      <w:pPr>
        <w:pStyle w:val="2"/>
        <w:keepNext w:val="0"/>
        <w:keepLines w:val="0"/>
        <w:pageBreakBefore w:val="0"/>
        <w:kinsoku/>
        <w:wordWrap/>
        <w:topLinePunct w:val="0"/>
        <w:bidi w:val="0"/>
        <w:spacing w:line="579" w:lineRule="exact"/>
        <w:ind w:left="0" w:leftChars="0" w:firstLine="0" w:firstLineChars="0"/>
        <w:textAlignment w:val="auto"/>
        <w:rPr>
          <w:rFonts w:hint="eastAsia" w:ascii="仿宋_GB2312" w:hAnsi="Times New Roman"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仿宋_GB2312"/>
          <w:b/>
          <w:kern w:val="0"/>
          <w:sz w:val="32"/>
          <w:szCs w:val="32"/>
          <w:highlight w:val="none"/>
          <w:lang w:val="en-US" w:eastAsia="zh-CN" w:bidi="ar"/>
        </w:rPr>
        <w:t>（以下为签署页）</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甲方（公章）：深圳市福田区工业和信息化局</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法定代表人（或授权代表）</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签字：</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T22"/>
          <w:kern w:val="0"/>
          <w:sz w:val="32"/>
          <w:szCs w:val="32"/>
          <w:highlight w:val="none"/>
          <w:lang w:val="en-US" w:eastAsia="zh-CN" w:bidi="ar"/>
        </w:rPr>
        <w:t xml:space="preserve">   </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T22"/>
          <w:kern w:val="0"/>
          <w:sz w:val="32"/>
          <w:szCs w:val="32"/>
          <w:highlight w:val="none"/>
          <w:lang w:val="en-US" w:eastAsia="zh-CN" w:bidi="ar"/>
        </w:rPr>
        <w:t xml:space="preserve">                    </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highlight w:val="none"/>
          <w:lang w:val="en-US" w:eastAsia="zh-CN"/>
        </w:rPr>
      </w:pPr>
      <w:r>
        <w:rPr>
          <w:rFonts w:hint="eastAsia" w:ascii="仿宋_GB2312" w:hAnsi="Times New Roman" w:eastAsia="仿宋_GB2312" w:cs="仿宋_GB2312"/>
          <w:kern w:val="0"/>
          <w:sz w:val="32"/>
          <w:szCs w:val="32"/>
          <w:highlight w:val="none"/>
          <w:lang w:val="en-US" w:eastAsia="zh-CN" w:bidi="ar"/>
        </w:rPr>
        <w:t>乙方（公章）：</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法定代表人（或授权代表）</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签字：</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hAnsi="Times New Roman" w:eastAsia="仿宋_GB2312" w:cs="仿宋_GB2312"/>
          <w:kern w:val="0"/>
          <w:sz w:val="32"/>
          <w:szCs w:val="32"/>
          <w:highlight w:val="none"/>
          <w:lang w:val="en-US" w:eastAsia="zh-CN" w:bidi="ar"/>
        </w:rPr>
      </w:pPr>
    </w:p>
    <w:p>
      <w:pPr>
        <w:keepNext w:val="0"/>
        <w:keepLines w:val="0"/>
        <w:pageBreakBefore w:val="0"/>
        <w:widowControl w:val="0"/>
        <w:suppressLineNumbers w:val="0"/>
        <w:kinsoku/>
        <w:wordWrap/>
        <w:topLinePunct w:val="0"/>
        <w:bidi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p>
    <w:p>
      <w:pPr>
        <w:pStyle w:val="2"/>
        <w:rPr>
          <w:rFonts w:hint="eastAsia"/>
          <w:highlight w:val="none"/>
        </w:rPr>
      </w:pPr>
    </w:p>
    <w:p>
      <w:pPr>
        <w:keepNext w:val="0"/>
        <w:keepLines w:val="0"/>
        <w:pageBreakBefore w:val="0"/>
        <w:widowControl w:val="0"/>
        <w:suppressLineNumbers w:val="0"/>
        <w:kinsoku/>
        <w:wordWrap/>
        <w:topLinePunct w:val="0"/>
        <w:bidi w:val="0"/>
        <w:spacing w:beforeAutospacing="0" w:afterAutospacing="0" w:line="579" w:lineRule="exact"/>
        <w:ind w:left="0" w:right="0"/>
        <w:jc w:val="both"/>
        <w:textAlignment w:val="auto"/>
        <w:rPr>
          <w:rFonts w:hint="eastAsia" w:ascii="仿宋_GB2312" w:eastAsia="仿宋_GB2312" w:cs="T24"/>
          <w:kern w:val="0"/>
          <w:sz w:val="32"/>
          <w:szCs w:val="32"/>
          <w:highlight w:val="none"/>
        </w:rPr>
      </w:pPr>
      <w:r>
        <w:rPr>
          <w:rFonts w:hint="eastAsia" w:ascii="仿宋_GB2312" w:hAnsi="Times New Roman" w:eastAsia="仿宋_GB2312" w:cs="T24"/>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签订日期：</w:t>
      </w:r>
      <w:r>
        <w:rPr>
          <w:rFonts w:hint="eastAsia" w:ascii="仿宋_GB2312" w:hAnsi="Times New Roman" w:eastAsia="仿宋_GB2312" w:cs="T22"/>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 xml:space="preserve"> 年</w:t>
      </w:r>
      <w:r>
        <w:rPr>
          <w:rFonts w:hint="eastAsia" w:ascii="仿宋_GB2312" w:hAnsi="Times New Roman" w:eastAsia="仿宋_GB2312" w:cs="T23"/>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月</w:t>
      </w:r>
      <w:r>
        <w:rPr>
          <w:rFonts w:hint="eastAsia" w:ascii="仿宋_GB2312" w:hAnsi="Times New Roman" w:eastAsia="仿宋_GB2312" w:cs="T23"/>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日</w:t>
      </w:r>
    </w:p>
    <w:p>
      <w:pPr>
        <w:keepNext w:val="0"/>
        <w:keepLines w:val="0"/>
        <w:pageBreakBefore w:val="0"/>
        <w:widowControl w:val="0"/>
        <w:suppressLineNumbers w:val="0"/>
        <w:kinsoku/>
        <w:wordWrap/>
        <w:topLinePunct w:val="0"/>
        <w:bidi w:val="0"/>
        <w:spacing w:beforeAutospacing="0" w:afterAutospacing="0" w:line="579" w:lineRule="exact"/>
        <w:ind w:left="0" w:right="0"/>
        <w:jc w:val="both"/>
        <w:textAlignment w:val="auto"/>
        <w:rPr>
          <w:rFonts w:hint="eastAsia" w:ascii="仿宋_GB2312" w:hAnsi="仿宋_GB2312" w:eastAsia="仿宋_GB2312" w:cs="仿宋_GB2312"/>
          <w:kern w:val="2"/>
          <w:sz w:val="32"/>
          <w:szCs w:val="40"/>
          <w:highlight w:val="none"/>
          <w:u w:val="none"/>
          <w:shd w:val="clear"/>
          <w:lang w:val="en-US" w:eastAsia="zh-CN" w:bidi="ar-SA"/>
        </w:rPr>
      </w:pPr>
      <w:r>
        <w:rPr>
          <w:rFonts w:hint="eastAsia" w:ascii="仿宋_GB2312" w:hAnsi="Times New Roman" w:eastAsia="仿宋_GB2312" w:cs="T24"/>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签订地点：深圳市福田区</w:t>
      </w:r>
    </w:p>
    <w:sectPr>
      <w:footerReference r:id="rId3"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2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24">
    <w:altName w:val="Segoe Print"/>
    <w:panose1 w:val="00000000000000000000"/>
    <w:charset w:val="00"/>
    <w:family w:val="auto"/>
    <w:pitch w:val="default"/>
    <w:sig w:usb0="00000000" w:usb1="00000000" w:usb2="00000000" w:usb3="00000000" w:csb0="00000000" w:csb1="00000000"/>
  </w:font>
  <w:font w:name="T23">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7E6B0"/>
    <w:multiLevelType w:val="singleLevel"/>
    <w:tmpl w:val="6007E6B0"/>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CEB009D"/>
    <w:rsid w:val="028B2427"/>
    <w:rsid w:val="02C117F1"/>
    <w:rsid w:val="03837F99"/>
    <w:rsid w:val="05193FC8"/>
    <w:rsid w:val="07CD7DE7"/>
    <w:rsid w:val="080E3317"/>
    <w:rsid w:val="0A7E34C6"/>
    <w:rsid w:val="0AA7F6EC"/>
    <w:rsid w:val="0B1A2C12"/>
    <w:rsid w:val="0CE92CE0"/>
    <w:rsid w:val="0CEB009D"/>
    <w:rsid w:val="0FC63751"/>
    <w:rsid w:val="0FDA16B7"/>
    <w:rsid w:val="11B1411B"/>
    <w:rsid w:val="15BD3923"/>
    <w:rsid w:val="167F62FD"/>
    <w:rsid w:val="168E6D78"/>
    <w:rsid w:val="1A6B207C"/>
    <w:rsid w:val="1C0F5E66"/>
    <w:rsid w:val="1CA071DF"/>
    <w:rsid w:val="1FF012BE"/>
    <w:rsid w:val="206453ED"/>
    <w:rsid w:val="21D544C1"/>
    <w:rsid w:val="222F2FCB"/>
    <w:rsid w:val="232E7702"/>
    <w:rsid w:val="23D93347"/>
    <w:rsid w:val="23DB43CE"/>
    <w:rsid w:val="24F7029A"/>
    <w:rsid w:val="265F0C17"/>
    <w:rsid w:val="27117D8D"/>
    <w:rsid w:val="28996BAE"/>
    <w:rsid w:val="2B837348"/>
    <w:rsid w:val="30AF2018"/>
    <w:rsid w:val="32395F7C"/>
    <w:rsid w:val="34110A6E"/>
    <w:rsid w:val="36F129D4"/>
    <w:rsid w:val="37639C2E"/>
    <w:rsid w:val="3A0038C9"/>
    <w:rsid w:val="3F5202DE"/>
    <w:rsid w:val="40646E7E"/>
    <w:rsid w:val="40BC2028"/>
    <w:rsid w:val="41067A1D"/>
    <w:rsid w:val="414D3B23"/>
    <w:rsid w:val="41D91AD7"/>
    <w:rsid w:val="42842D56"/>
    <w:rsid w:val="42F361E2"/>
    <w:rsid w:val="4430165A"/>
    <w:rsid w:val="46446657"/>
    <w:rsid w:val="4752708B"/>
    <w:rsid w:val="47BF3E29"/>
    <w:rsid w:val="48962652"/>
    <w:rsid w:val="48A94034"/>
    <w:rsid w:val="496E754D"/>
    <w:rsid w:val="4A1A7B5B"/>
    <w:rsid w:val="4CF624EE"/>
    <w:rsid w:val="4D372C42"/>
    <w:rsid w:val="4EDE251A"/>
    <w:rsid w:val="504154EB"/>
    <w:rsid w:val="5273042F"/>
    <w:rsid w:val="52D71D24"/>
    <w:rsid w:val="545E111D"/>
    <w:rsid w:val="54BF3E43"/>
    <w:rsid w:val="56056631"/>
    <w:rsid w:val="563A6CB3"/>
    <w:rsid w:val="571A442B"/>
    <w:rsid w:val="5AFF50BC"/>
    <w:rsid w:val="5B8D1CF9"/>
    <w:rsid w:val="5BE1115F"/>
    <w:rsid w:val="5F08606B"/>
    <w:rsid w:val="5FB37A23"/>
    <w:rsid w:val="5FF90786"/>
    <w:rsid w:val="60D9408D"/>
    <w:rsid w:val="60E6329B"/>
    <w:rsid w:val="63B95869"/>
    <w:rsid w:val="6466356D"/>
    <w:rsid w:val="674706A7"/>
    <w:rsid w:val="6978179C"/>
    <w:rsid w:val="6B241D2E"/>
    <w:rsid w:val="6DDC46EE"/>
    <w:rsid w:val="6E356535"/>
    <w:rsid w:val="6F23510A"/>
    <w:rsid w:val="723278DF"/>
    <w:rsid w:val="72D6DDF5"/>
    <w:rsid w:val="72FFD8F0"/>
    <w:rsid w:val="742A0748"/>
    <w:rsid w:val="74557B7B"/>
    <w:rsid w:val="776F68ED"/>
    <w:rsid w:val="7808314F"/>
    <w:rsid w:val="787B39B3"/>
    <w:rsid w:val="79FF9DF3"/>
    <w:rsid w:val="7B0D5616"/>
    <w:rsid w:val="7C061C34"/>
    <w:rsid w:val="7C1315F6"/>
    <w:rsid w:val="7D856932"/>
    <w:rsid w:val="7D8F5BAF"/>
    <w:rsid w:val="7E24126E"/>
    <w:rsid w:val="7E37302B"/>
    <w:rsid w:val="7E9353B7"/>
    <w:rsid w:val="7EB4FBFB"/>
    <w:rsid w:val="7F5FE9AA"/>
    <w:rsid w:val="7F8A51D8"/>
    <w:rsid w:val="7FEB08C7"/>
    <w:rsid w:val="BBB5D41E"/>
    <w:rsid w:val="BFDDAC16"/>
    <w:rsid w:val="DDDDAB28"/>
    <w:rsid w:val="DED85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paragraph" w:customStyle="1" w:styleId="8">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character" w:customStyle="1" w:styleId="9">
    <w:name w:val="16"/>
    <w:basedOn w:val="6"/>
    <w:qFormat/>
    <w:uiPriority w:val="0"/>
    <w:rPr>
      <w:rFonts w:hint="eastAsia" w:ascii="宋体" w:hAnsi="宋体" w:eastAsia="宋体" w:cs="宋体"/>
      <w:color w:val="000000"/>
      <w:sz w:val="24"/>
      <w:szCs w:val="24"/>
    </w:rPr>
  </w:style>
  <w:style w:type="character" w:customStyle="1" w:styleId="10">
    <w:name w:val="15"/>
    <w:basedOn w:val="6"/>
    <w:qFormat/>
    <w:uiPriority w:val="0"/>
    <w:rPr>
      <w:rFonts w:hint="default" w:ascii="Times New Roman" w:hAnsi="Times New Roman" w:eastAsia="宋体" w:cs="Times New Roman"/>
      <w:sz w:val="28"/>
      <w:szCs w:val="28"/>
    </w:rPr>
  </w:style>
  <w:style w:type="paragraph" w:customStyle="1" w:styleId="11">
    <w:name w:val="Body Text Indent"/>
    <w:basedOn w:val="1"/>
    <w:qFormat/>
    <w:uiPriority w:val="0"/>
    <w:pPr>
      <w:ind w:firstLine="570"/>
    </w:pPr>
    <w:rPr>
      <w:rFonts w:ascii="宋体" w:hAnsi="宋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5325</Words>
  <Characters>5450</Characters>
  <Lines>1</Lines>
  <Paragraphs>1</Paragraphs>
  <TotalTime>44</TotalTime>
  <ScaleCrop>false</ScaleCrop>
  <LinksUpToDate>false</LinksUpToDate>
  <CharactersWithSpaces>5876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2020-07-23T00:28:00Z</dcterms:created>
  <dc:creator>叶文化</dc:creator>
  <cp:lastModifiedBy>Lee 1</cp:lastModifiedBy>
  <cp:lastPrinted>2021-07-02T02:06:00Z</cp:lastPrinted>
  <dcterms:modified xsi:type="dcterms:W3CDTF">2022-10-28T06:11:47Z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324D94FF4D6F469CA0DDEF6EA08780F0</vt:lpwstr>
  </property>
</Properties>
</file>