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rPr>
      </w:pPr>
    </w:p>
    <w:p>
      <w:pPr>
        <w:tabs>
          <w:tab w:val="left" w:pos="8460"/>
        </w:tabs>
        <w:spacing w:line="400" w:lineRule="exact"/>
        <w:jc w:val="center"/>
        <w:rPr>
          <w:rFonts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ascii="汉仪书宋二简" w:eastAsia="汉仪书宋二简"/>
          <w:spacing w:val="20"/>
          <w:w w:val="110"/>
          <w:kern w:val="10"/>
        </w:rPr>
      </w:pPr>
      <w:r>
        <w:rPr>
          <w:rFonts w:hint="eastAsia" w:ascii="汉仪书宋二简" w:eastAsia="汉仪书宋二简"/>
          <w:spacing w:val="20"/>
          <w:w w:val="110"/>
          <w:kern w:val="10"/>
          <w:sz w:val="23"/>
        </w:rPr>
        <w:t>深土交告</w:t>
      </w:r>
      <w:r>
        <w:rPr>
          <w:rFonts w:hint="eastAsia" w:ascii="宋体" w:hAnsi="宋体"/>
          <w:color w:val="000000"/>
          <w:spacing w:val="20"/>
          <w:w w:val="110"/>
          <w:kern w:val="10"/>
          <w:sz w:val="23"/>
        </w:rPr>
        <w:t>〔2022〕</w:t>
      </w:r>
      <w:r>
        <w:rPr>
          <w:rFonts w:hint="eastAsia" w:ascii="宋体" w:hAnsi="宋体"/>
          <w:color w:val="000000"/>
          <w:spacing w:val="20"/>
          <w:w w:val="110"/>
          <w:kern w:val="10"/>
          <w:sz w:val="23"/>
          <w:lang w:val="en-US" w:eastAsia="zh-CN"/>
        </w:rPr>
        <w:t>62</w:t>
      </w:r>
      <w:r>
        <w:rPr>
          <w:rFonts w:hint="eastAsia" w:ascii="汉仪书宋二简" w:eastAsia="汉仪书宋二简"/>
          <w:spacing w:val="20"/>
          <w:w w:val="110"/>
          <w:kern w:val="10"/>
          <w:sz w:val="23"/>
        </w:rPr>
        <w:t>号</w:t>
      </w:r>
    </w:p>
    <w:p>
      <w:pPr>
        <w:tabs>
          <w:tab w:val="left" w:pos="8460"/>
        </w:tabs>
        <w:spacing w:line="400" w:lineRule="exact"/>
        <w:jc w:val="center"/>
        <w:rPr>
          <w:rFonts w:ascii="汉仪书宋二简" w:eastAsia="汉仪书宋二简"/>
          <w:spacing w:val="20"/>
          <w:w w:val="110"/>
          <w:kern w:val="10"/>
        </w:rPr>
      </w:pP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根据有关法律、法规，深圳市规划和自然资源局光明管理局（以下简称市规划和自然资源局光明管理局）委托深圳交易集团有限公司（以下简称交易集团），在深圳市福田区红荔西路8007号土地房产交易大厦（以下简称交易大厦）3楼，以挂牌方式公开出让宗地代码为440311202001GB00672的宗地使用权，公告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10</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28</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16</w:t>
      </w:r>
      <w:r>
        <w:rPr>
          <w:rFonts w:hint="eastAsia" w:ascii="宋体" w:hAnsi="宋体"/>
          <w:color w:val="000000"/>
          <w:spacing w:val="20"/>
          <w:kern w:val="10"/>
          <w:sz w:val="23"/>
          <w:szCs w:val="23"/>
        </w:rPr>
        <w:t>日，挂牌期自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17</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28</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时止。现予公告。</w:t>
      </w:r>
    </w:p>
    <w:p>
      <w:pPr>
        <w:spacing w:line="400" w:lineRule="exact"/>
        <w:ind w:firstLine="540" w:firstLineChars="200"/>
        <w:rPr>
          <w:rFonts w:ascii="宋体" w:hAnsi="宋体"/>
          <w:color w:val="000000"/>
          <w:spacing w:val="20"/>
          <w:kern w:val="10"/>
          <w:sz w:val="23"/>
          <w:szCs w:val="23"/>
        </w:rPr>
      </w:pP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一、宗地情况</w:t>
      </w:r>
    </w:p>
    <w:tbl>
      <w:tblPr>
        <w:tblStyle w:val="8"/>
        <w:tblpPr w:leftFromText="180" w:rightFromText="180" w:vertAnchor="text" w:horzAnchor="margin" w:tblpXSpec="center" w:tblpY="173"/>
        <w:tblW w:w="10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850"/>
        <w:gridCol w:w="1701"/>
        <w:gridCol w:w="1055"/>
        <w:gridCol w:w="107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959"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1701"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准入行业类别</w:t>
            </w:r>
          </w:p>
        </w:tc>
        <w:tc>
          <w:tcPr>
            <w:tcW w:w="105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土地面积（平方米）</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建筑面积</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851" w:type="dxa"/>
            <w:tcBorders>
              <w:top w:val="single" w:color="auto" w:sz="4" w:space="0"/>
              <w:left w:val="single" w:color="auto" w:sz="4" w:space="0"/>
              <w:bottom w:val="single" w:color="auto" w:sz="4" w:space="0"/>
              <w:right w:val="single" w:color="auto" w:sz="4" w:space="0"/>
            </w:tcBorders>
          </w:tcPr>
          <w:p>
            <w:pPr>
              <w:spacing w:line="280" w:lineRule="exact"/>
              <w:rPr>
                <w:rFonts w:ascii="汉仪书宋二简" w:eastAsia="汉仪书宋二简"/>
                <w:b/>
                <w:color w:val="000000"/>
                <w:kern w:val="10"/>
                <w:sz w:val="20"/>
                <w:szCs w:val="20"/>
              </w:rPr>
            </w:pPr>
          </w:p>
          <w:p>
            <w:pPr>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ascii="汉仪书宋二简" w:eastAsia="汉仪书宋二简"/>
                <w:color w:val="000000"/>
                <w:kern w:val="10"/>
                <w:sz w:val="20"/>
                <w:szCs w:val="20"/>
              </w:rPr>
            </w:pPr>
            <w:r>
              <w:rPr>
                <w:rFonts w:hint="eastAsia" w:ascii="汉仪书宋二简" w:eastAsia="汉仪书宋二简"/>
                <w:color w:val="000000"/>
                <w:kern w:val="10"/>
                <w:sz w:val="20"/>
                <w:szCs w:val="20"/>
              </w:rPr>
              <w:t>440311202001GB00672</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A644-0094</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光明区公明街道，</w:t>
            </w:r>
            <w:r>
              <w:rPr>
                <w:rFonts w:hint="eastAsia" w:ascii="汉仪书宋二简" w:eastAsia="汉仪书宋二简"/>
                <w:color w:val="000000"/>
                <w:kern w:val="10"/>
                <w:sz w:val="20"/>
                <w:szCs w:val="20"/>
              </w:rPr>
              <w:t>全宏一路与规划虾地路交汇处西北侧</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普通工业用地</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拟引进以量子信息、新材料、智能传感器、精密仪器设备为主导的产业集群。</w:t>
            </w:r>
          </w:p>
        </w:tc>
        <w:tc>
          <w:tcPr>
            <w:tcW w:w="105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33378.21</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106810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14000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2800</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20</w:t>
            </w:r>
          </w:p>
        </w:tc>
      </w:tr>
    </w:tbl>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上述宗地的具体情况以《深圳市土地使用权出让合同书》（样本，以下简称《出让合同》）为准。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（一）竞得人须在成交后即时签订《成交确认书》。</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竞得人应自签订《成交确认书》之日起5个工作日内，向深圳市光明区投资促进服务中心（以下简称“光明区投资促进服务中心”）申请签订产业发展监管协议。经审查，符合竞买资格条件的竞得人，应自签订《成交确认书》之日起</w:t>
      </w:r>
      <w:r>
        <w:rPr>
          <w:rFonts w:ascii="宋体" w:hAnsi="宋体"/>
          <w:color w:val="000000"/>
          <w:spacing w:val="20"/>
          <w:kern w:val="10"/>
          <w:sz w:val="23"/>
          <w:szCs w:val="23"/>
        </w:rPr>
        <w:t>10</w:t>
      </w:r>
      <w:r>
        <w:rPr>
          <w:rFonts w:hint="eastAsia" w:ascii="宋体" w:hAnsi="宋体"/>
          <w:color w:val="000000"/>
          <w:spacing w:val="20"/>
          <w:kern w:val="10"/>
          <w:sz w:val="23"/>
          <w:szCs w:val="23"/>
        </w:rPr>
        <w:t>个工作日内，与光明区投资促进服务中心签订产业发展监管协议。</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已通过竞买资格条件核实的竞得人，应自签订《成交确认书》之日起15个工作日内，竞得人应持《成交确认书》和产业发展监管协议向市规划和自然资源局光明管理局申请签订《出让合同》，并自签订《出让合同》之日起</w:t>
      </w:r>
      <w:r>
        <w:rPr>
          <w:rFonts w:ascii="宋体" w:hAnsi="宋体"/>
          <w:color w:val="000000"/>
          <w:spacing w:val="20"/>
          <w:kern w:val="10"/>
          <w:sz w:val="23"/>
          <w:szCs w:val="23"/>
        </w:rPr>
        <w:t>5</w:t>
      </w:r>
      <w:r>
        <w:rPr>
          <w:rFonts w:hint="eastAsia" w:ascii="宋体" w:hAnsi="宋体"/>
          <w:color w:val="000000"/>
          <w:spacing w:val="20"/>
          <w:kern w:val="10"/>
          <w:sz w:val="23"/>
          <w:szCs w:val="23"/>
        </w:rPr>
        <w:t>个工作日内一次性付清成交价款。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未通过竞买资格条件核实的竞得人，取消其竞得资格，竞买（投标）保证金不予退还。</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（四）竞得人缴纳地价款时，应凭自然资源主管部门开具的《缴款通知书》到深圳市各区税务局办税服务厅或者登录深圳市电子税务局进行缴费，具体流程详见</w:t>
      </w:r>
      <w:r>
        <w:rPr>
          <w:rFonts w:ascii="宋体" w:hAnsi="宋体" w:eastAsia="宋体" w:cs="Times New Roman"/>
          <w:color w:val="000000"/>
          <w:spacing w:val="20"/>
          <w:kern w:val="10"/>
          <w:sz w:val="23"/>
          <w:szCs w:val="23"/>
        </w:rPr>
        <w:t>《国有土地使用权出让收入缴款及竞买保证金退转操作指引》</w:t>
      </w:r>
      <w:r>
        <w:rPr>
          <w:rFonts w:hint="eastAsia" w:ascii="宋体" w:hAnsi="宋体"/>
          <w:color w:val="000000"/>
          <w:spacing w:val="20"/>
          <w:kern w:val="10"/>
          <w:sz w:val="23"/>
          <w:szCs w:val="23"/>
        </w:rPr>
        <w:t>。</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（五）竞得人应遵守法律、</w:t>
      </w:r>
      <w:bookmarkStart w:id="0" w:name="_GoBack"/>
      <w:bookmarkEnd w:id="0"/>
      <w:r>
        <w:rPr>
          <w:rFonts w:hint="eastAsia" w:ascii="宋体" w:hAnsi="宋体"/>
          <w:color w:val="000000"/>
          <w:spacing w:val="20"/>
          <w:kern w:val="10"/>
          <w:sz w:val="23"/>
          <w:szCs w:val="23"/>
        </w:rPr>
        <w:t>法规和《出让合同》规定，严格按照土地用途和有关部门审定的规划设计方案使用和开发建设。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六）本次出让宗地项目建成后，厂房、仓库、宿舍、食堂、商业产权归竞得人，以宗地为单位，不得改变土地用途，建设用地使用权及建筑物限整体转让，初始登记后不得办理分证。公共充电站产权归政府，由竞得人建成后无偿移交。</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建设用地使用权及建筑物允许抵押，但抵押金额不得超出合同剩余年期地价与建筑物的残值之和。</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七</w:t>
      </w:r>
      <w:r>
        <w:rPr>
          <w:rFonts w:hint="eastAsia" w:ascii="宋体" w:hAnsi="宋体"/>
          <w:color w:val="000000"/>
          <w:spacing w:val="20"/>
          <w:kern w:val="10"/>
          <w:sz w:val="23"/>
          <w:szCs w:val="23"/>
        </w:rPr>
        <w:t>）竞得人应按照《深圳经济特区绿色建筑条例》及市、区绿色建筑有关规定落实绿色建筑二星级以上要求。</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八</w:t>
      </w:r>
      <w:r>
        <w:rPr>
          <w:rFonts w:hint="eastAsia" w:ascii="宋体" w:hAnsi="宋体"/>
          <w:color w:val="000000"/>
          <w:spacing w:val="20"/>
          <w:kern w:val="10"/>
          <w:sz w:val="23"/>
          <w:szCs w:val="23"/>
        </w:rPr>
        <w:t>）若需建设工业废水集中处理设施或后续引进实验室、企业正式入驻前竞得人须按深圳市建设项目环境影响评价审批和备案管理名录有关规定，依法开展环境影响评价工作。</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 xml:space="preserve"> (</w:t>
      </w:r>
      <w:r>
        <w:rPr>
          <w:rFonts w:hint="eastAsia" w:ascii="宋体" w:hAnsi="宋体"/>
          <w:color w:val="000000"/>
          <w:spacing w:val="20"/>
          <w:kern w:val="10"/>
          <w:sz w:val="23"/>
          <w:szCs w:val="23"/>
          <w:lang w:val="en-US" w:eastAsia="zh-CN"/>
        </w:rPr>
        <w:t>九</w:t>
      </w:r>
      <w:r>
        <w:rPr>
          <w:rFonts w:hint="eastAsia" w:ascii="宋体" w:hAnsi="宋体"/>
          <w:color w:val="000000"/>
          <w:spacing w:val="20"/>
          <w:kern w:val="10"/>
          <w:sz w:val="23"/>
          <w:szCs w:val="23"/>
        </w:rPr>
        <w:t>)</w:t>
      </w:r>
      <w:r>
        <w:rPr>
          <w:rFonts w:hint="eastAsia" w:ascii="宋体" w:hAnsi="宋体"/>
          <w:color w:val="000000"/>
          <w:spacing w:val="20"/>
          <w:kern w:val="10"/>
          <w:sz w:val="23"/>
          <w:szCs w:val="23"/>
        </w:rPr>
        <w:t xml:space="preserve"> 若涉及城市树木迁移、土壤环境调查评估等工作，竞得人需报相关</w:t>
      </w:r>
      <w:r>
        <w:rPr>
          <w:rFonts w:hint="eastAsia" w:ascii="宋体" w:hAnsi="宋体"/>
          <w:color w:val="000000"/>
          <w:spacing w:val="20"/>
          <w:kern w:val="10"/>
          <w:sz w:val="23"/>
          <w:szCs w:val="23"/>
        </w:rPr>
        <w:t>主管部门审核通过后实施建设。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项目开工建设前竞得人需与燃气、水务、电力等行业主管部门及管线权属单位现场核实管线具体位置，并在施工过程中按要求做好防护措施，若后续开发建设影响市政管线需及时出具相关设计方案或管线保护方案报相应主管部门审核。</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一</w:t>
      </w:r>
      <w:r>
        <w:rPr>
          <w:rFonts w:hint="eastAsia" w:ascii="宋体" w:hAnsi="宋体"/>
          <w:color w:val="000000"/>
          <w:spacing w:val="20"/>
          <w:kern w:val="10"/>
          <w:sz w:val="23"/>
          <w:szCs w:val="23"/>
        </w:rPr>
        <w:t>）建设单位须按地质灾害危险性评估报告的结论采取相应的地质灾害防治措施，并落实配套治理工程与主体工程同步设计、施工、验收和交付使用。主体工程与配套防治工程验收合格后，建设单位应与产权人或实际使用人做好工程维护交接工作，由产权人或实际使用人承担配套防治工程日常维护工作。</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二</w:t>
      </w:r>
      <w:r>
        <w:rPr>
          <w:rFonts w:hint="eastAsia" w:ascii="宋体" w:hAnsi="宋体"/>
          <w:color w:val="000000"/>
          <w:spacing w:val="20"/>
          <w:kern w:val="10"/>
          <w:sz w:val="23"/>
          <w:szCs w:val="23"/>
        </w:rPr>
        <w:t>）竞得人在竞得用地后，如涉及实际工艺需求建设定制型专业厂房，需取得产业主管部门书面认可意见后在《建设用地规划许可证》或《土地使用权出让合同》中进行约定。</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三</w:t>
      </w:r>
      <w:r>
        <w:rPr>
          <w:rFonts w:hint="eastAsia" w:ascii="宋体" w:hAnsi="宋体"/>
          <w:color w:val="000000"/>
          <w:spacing w:val="20"/>
          <w:kern w:val="10"/>
          <w:sz w:val="23"/>
          <w:szCs w:val="23"/>
        </w:rPr>
        <w:t>）本次出让宗地须自《出让合同》签订之日起1.5年内开工，4年内竣工。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四</w:t>
      </w:r>
      <w:r>
        <w:rPr>
          <w:rFonts w:hint="eastAsia" w:ascii="宋体" w:hAnsi="宋体"/>
          <w:color w:val="000000"/>
          <w:spacing w:val="20"/>
          <w:kern w:val="10"/>
          <w:sz w:val="23"/>
          <w:szCs w:val="23"/>
        </w:rPr>
        <w:t>）具体产权要求及其他事项规定，以《出让合同》为准。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具备下列条件的,可独立申请竞买（不接受联合竞买）本次出让宗地：</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竞买申请人应为在深圳市注册的企业法人。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四、竞买申请程序</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（一）竞买咨询</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auto"/>
          <w:spacing w:val="20"/>
          <w:kern w:val="10"/>
          <w:sz w:val="23"/>
          <w:szCs w:val="23"/>
        </w:rPr>
      </w:pPr>
      <w:r>
        <w:rPr>
          <w:rFonts w:hint="eastAsia" w:ascii="宋体" w:hAnsi="宋体"/>
          <w:color w:val="auto"/>
          <w:spacing w:val="20"/>
          <w:kern w:val="10"/>
          <w:sz w:val="23"/>
          <w:szCs w:val="23"/>
        </w:rPr>
        <w:t>有意参与竞买的企业</w:t>
      </w:r>
      <w:r>
        <w:rPr>
          <w:rFonts w:hint="eastAsia" w:ascii="宋体" w:hAnsi="宋体"/>
          <w:color w:val="auto"/>
          <w:spacing w:val="20"/>
          <w:kern w:val="10"/>
          <w:sz w:val="23"/>
          <w:szCs w:val="23"/>
          <w:lang w:val="en-US" w:eastAsia="zh-CN"/>
        </w:rPr>
        <w:t>可</w:t>
      </w:r>
      <w:r>
        <w:rPr>
          <w:rFonts w:hint="eastAsia" w:ascii="宋体" w:hAnsi="宋体"/>
          <w:color w:val="auto"/>
          <w:spacing w:val="20"/>
          <w:kern w:val="10"/>
          <w:sz w:val="23"/>
          <w:szCs w:val="23"/>
        </w:rPr>
        <w:t>就产业监管协议等有关情况向深圳市光明区投资促进服务中心咨询。</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（二）网上注册</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竞买申请人应登录深圳土地矿业权交易平台（https://td.szggzy.com）进行网上注册。网上注册的程序和要求详见深圳土地矿业权交易平台网站中的操作指引。</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（三）申请竞买</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竞买申请人网上注册后，应按照操作指</w:t>
      </w:r>
      <w:r>
        <w:rPr>
          <w:rFonts w:hint="eastAsia" w:ascii="宋体" w:hAnsi="宋体"/>
          <w:color w:val="000000"/>
          <w:spacing w:val="20"/>
          <w:kern w:val="10"/>
          <w:sz w:val="23"/>
          <w:szCs w:val="23"/>
          <w:lang w:val="en-US" w:eastAsia="zh-CN"/>
        </w:rPr>
        <w:t>引</w:t>
      </w:r>
      <w:r>
        <w:rPr>
          <w:rFonts w:hint="eastAsia" w:ascii="宋体" w:hAnsi="宋体"/>
          <w:color w:val="000000"/>
          <w:spacing w:val="20"/>
          <w:kern w:val="10"/>
          <w:sz w:val="23"/>
          <w:szCs w:val="23"/>
        </w:rPr>
        <w:t>有关要求，选择意向竞买的宗地，提出竞买申请。</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（四）交纳竞买（投标）保证金</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竞买申请人提出竞买申请后，按入账申请单提示交纳竞买（投标）保证金，竞买（投标）保证金不得由其他单位或个人代交。具体详见操作指</w:t>
      </w:r>
      <w:r>
        <w:rPr>
          <w:rFonts w:hint="eastAsia" w:ascii="宋体" w:hAnsi="宋体"/>
          <w:color w:val="000000"/>
          <w:spacing w:val="20"/>
          <w:kern w:val="10"/>
          <w:sz w:val="23"/>
          <w:szCs w:val="23"/>
          <w:lang w:val="en-US" w:eastAsia="zh-CN"/>
        </w:rPr>
        <w:t>引</w:t>
      </w:r>
      <w:r>
        <w:rPr>
          <w:rFonts w:hint="eastAsia" w:ascii="宋体" w:hAnsi="宋体"/>
          <w:color w:val="000000"/>
          <w:spacing w:val="20"/>
          <w:kern w:val="10"/>
          <w:sz w:val="23"/>
          <w:szCs w:val="23"/>
        </w:rPr>
        <w:t>。</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竞买申请人可通过深圳土地矿业权交易平台及时查询竞买（投标）保证金到账情况。竞买（投标）保证金的到账截止时间为2022年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26</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w:t>
      </w:r>
      <w:r>
        <w:rPr>
          <w:rFonts w:hint="eastAsia" w:ascii="宋体" w:hAnsi="宋体"/>
          <w:color w:val="000000"/>
          <w:spacing w:val="20"/>
          <w:kern w:val="10"/>
          <w:sz w:val="23"/>
          <w:szCs w:val="23"/>
          <w:lang w:val="en-US" w:eastAsia="zh-CN"/>
        </w:rPr>
        <w:t>整</w:t>
      </w:r>
      <w:r>
        <w:rPr>
          <w:rFonts w:hint="eastAsia" w:ascii="宋体" w:hAnsi="宋体"/>
          <w:color w:val="000000"/>
          <w:spacing w:val="20"/>
          <w:kern w:val="10"/>
          <w:sz w:val="23"/>
          <w:szCs w:val="23"/>
        </w:rPr>
        <w:t>（以深圳土地矿业权交易平台网站显示的银行到账时间为准）。</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（五）申请确认竞买资格</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竞买申请人按时足额交纳竞买（投标）保证金后，可登录深圳土地矿业权交易平台网站查看《竞买申请受理回执》并打印该回执，在</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28</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14</w:t>
      </w:r>
      <w:r>
        <w:rPr>
          <w:rFonts w:hint="eastAsia" w:ascii="宋体" w:hAnsi="宋体"/>
          <w:color w:val="000000"/>
          <w:spacing w:val="20"/>
          <w:kern w:val="10"/>
          <w:sz w:val="23"/>
          <w:szCs w:val="23"/>
        </w:rPr>
        <w:t>时</w:t>
      </w:r>
      <w:r>
        <w:rPr>
          <w:rFonts w:hint="eastAsia" w:ascii="宋体" w:hAnsi="宋体"/>
          <w:color w:val="000000"/>
          <w:spacing w:val="20"/>
          <w:kern w:val="10"/>
          <w:sz w:val="23"/>
          <w:szCs w:val="23"/>
          <w:lang w:val="en-US" w:eastAsia="zh-CN"/>
        </w:rPr>
        <w:t>30</w:t>
      </w:r>
      <w:r>
        <w:rPr>
          <w:rFonts w:hint="eastAsia" w:ascii="宋体" w:hAnsi="宋体"/>
          <w:color w:val="000000"/>
          <w:spacing w:val="20"/>
          <w:kern w:val="10"/>
          <w:sz w:val="23"/>
          <w:szCs w:val="23"/>
        </w:rPr>
        <w:t>分前（工作日），到</w:t>
      </w:r>
      <w:r>
        <w:rPr>
          <w:rFonts w:hint="eastAsia" w:ascii="宋体" w:hAnsi="宋体"/>
          <w:color w:val="000000"/>
          <w:spacing w:val="20"/>
          <w:kern w:val="10"/>
          <w:sz w:val="23"/>
          <w:szCs w:val="23"/>
          <w:lang w:val="en-US" w:eastAsia="zh-CN"/>
        </w:rPr>
        <w:t>交</w:t>
      </w:r>
      <w:r>
        <w:rPr>
          <w:rFonts w:hint="eastAsia" w:ascii="宋体" w:hAnsi="宋体"/>
          <w:color w:val="000000"/>
          <w:spacing w:val="20"/>
          <w:kern w:val="10"/>
          <w:sz w:val="23"/>
          <w:szCs w:val="23"/>
        </w:rPr>
        <w:t>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五、确定竞得人的办法</w:t>
      </w:r>
    </w:p>
    <w:p>
      <w:pPr>
        <w:spacing w:line="400" w:lineRule="exact"/>
        <w:ind w:firstLine="540" w:firstLineChars="200"/>
        <w:rPr>
          <w:rFonts w:hint="eastAsia" w:ascii="宋体" w:hAnsi="宋体"/>
          <w:b/>
          <w:color w:val="000000"/>
          <w:spacing w:val="20"/>
          <w:kern w:val="10"/>
          <w:sz w:val="23"/>
          <w:szCs w:val="23"/>
        </w:rPr>
      </w:pPr>
      <w:r>
        <w:rPr>
          <w:rFonts w:hint="eastAsia" w:ascii="宋体" w:hAnsi="宋体"/>
          <w:b w:val="0"/>
          <w:bCs/>
          <w:color w:val="000000"/>
          <w:spacing w:val="20"/>
          <w:kern w:val="10"/>
          <w:sz w:val="23"/>
          <w:szCs w:val="23"/>
        </w:rPr>
        <w:t>深圳土地矿业权交易平台在挂牌期内（工作日）接受竞买人的电脑报价，电脑报价截止时间为2022年</w:t>
      </w:r>
      <w:r>
        <w:rPr>
          <w:rFonts w:hint="eastAsia" w:ascii="宋体" w:hAnsi="宋体"/>
          <w:b w:val="0"/>
          <w:bCs/>
          <w:color w:val="000000"/>
          <w:spacing w:val="20"/>
          <w:kern w:val="10"/>
          <w:sz w:val="23"/>
          <w:szCs w:val="23"/>
          <w:lang w:val="en-US" w:eastAsia="zh-CN"/>
        </w:rPr>
        <w:t>11</w:t>
      </w:r>
      <w:r>
        <w:rPr>
          <w:rFonts w:hint="eastAsia" w:ascii="宋体" w:hAnsi="宋体"/>
          <w:b w:val="0"/>
          <w:bCs/>
          <w:color w:val="000000"/>
          <w:spacing w:val="20"/>
          <w:kern w:val="10"/>
          <w:sz w:val="23"/>
          <w:szCs w:val="23"/>
        </w:rPr>
        <w:t>月</w:t>
      </w:r>
      <w:r>
        <w:rPr>
          <w:rFonts w:hint="eastAsia" w:ascii="宋体" w:hAnsi="宋体"/>
          <w:b w:val="0"/>
          <w:bCs/>
          <w:color w:val="000000"/>
          <w:spacing w:val="20"/>
          <w:kern w:val="10"/>
          <w:sz w:val="23"/>
          <w:szCs w:val="23"/>
          <w:lang w:val="en-US" w:eastAsia="zh-CN"/>
        </w:rPr>
        <w:t>28</w:t>
      </w:r>
      <w:r>
        <w:rPr>
          <w:rFonts w:hint="eastAsia" w:ascii="宋体" w:hAnsi="宋体"/>
          <w:b w:val="0"/>
          <w:bCs/>
          <w:color w:val="000000"/>
          <w:spacing w:val="20"/>
          <w:kern w:val="10"/>
          <w:sz w:val="23"/>
          <w:szCs w:val="23"/>
        </w:rPr>
        <w:t>日</w:t>
      </w:r>
      <w:r>
        <w:rPr>
          <w:rFonts w:hint="eastAsia" w:ascii="宋体" w:hAnsi="宋体"/>
          <w:b w:val="0"/>
          <w:bCs/>
          <w:color w:val="000000"/>
          <w:spacing w:val="20"/>
          <w:kern w:val="10"/>
          <w:sz w:val="23"/>
          <w:szCs w:val="23"/>
          <w:lang w:val="en-US" w:eastAsia="zh-CN"/>
        </w:rPr>
        <w:t>15</w:t>
      </w:r>
      <w:r>
        <w:rPr>
          <w:rFonts w:hint="eastAsia" w:ascii="宋体" w:hAnsi="宋体"/>
          <w:b w:val="0"/>
          <w:bCs/>
          <w:color w:val="000000"/>
          <w:spacing w:val="20"/>
          <w:kern w:val="10"/>
          <w:sz w:val="23"/>
          <w:szCs w:val="23"/>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六、其他</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本公告内容如有调整，将在深圳土地矿业权交易平台网站发布补充公告。本公告有关详细资料请参阅挂牌出让文件（包括但不限于本公告、《竞买须知》《成交确认书》《出让合同》、产业发展监管协议、《国有土地使用权出让收入缴款及竞买保证金退转操作指引》等）。本公告同时在市规划和自然资源局、深圳土地矿业权交易平台网站发布，挂牌出让文件可在深圳土地矿业权交易平台网站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ascii="宋体" w:hAnsi="宋体"/>
          <w:color w:val="000000"/>
          <w:spacing w:val="20"/>
          <w:kern w:val="10"/>
          <w:sz w:val="23"/>
          <w:szCs w:val="23"/>
        </w:rPr>
      </w:pPr>
    </w:p>
    <w:p>
      <w:pPr>
        <w:spacing w:line="440" w:lineRule="exact"/>
        <w:ind w:firstLine="540" w:firstLineChars="200"/>
        <w:rPr>
          <w:rFonts w:hint="eastAsia" w:ascii="宋体" w:hAnsi="宋体" w:eastAsia="宋体"/>
          <w:color w:val="000000"/>
          <w:spacing w:val="20"/>
          <w:w w:val="100"/>
          <w:kern w:val="10"/>
          <w:sz w:val="23"/>
          <w:szCs w:val="23"/>
        </w:rPr>
      </w:pPr>
      <w:r>
        <w:rPr>
          <w:rFonts w:hint="eastAsia" w:ascii="宋体" w:hAnsi="宋体" w:eastAsia="宋体"/>
          <w:color w:val="000000"/>
          <w:spacing w:val="20"/>
          <w:w w:val="100"/>
          <w:kern w:val="10"/>
          <w:sz w:val="23"/>
          <w:szCs w:val="23"/>
        </w:rPr>
        <w:t>深圳市规划和自然资源局光明管理局地址：深圳市光明区华夏二路土地储备大厦3楼；咨询电话：（0755）23466634。</w:t>
      </w:r>
    </w:p>
    <w:p>
      <w:pPr>
        <w:spacing w:line="440" w:lineRule="exact"/>
        <w:ind w:firstLine="540" w:firstLineChars="200"/>
        <w:rPr>
          <w:rFonts w:hint="eastAsia" w:ascii="宋体" w:hAnsi="宋体"/>
          <w:color w:val="000000"/>
          <w:spacing w:val="20"/>
          <w:kern w:val="10"/>
          <w:sz w:val="23"/>
          <w:szCs w:val="23"/>
        </w:rPr>
      </w:pPr>
      <w:r>
        <w:rPr>
          <w:rFonts w:hint="eastAsia" w:ascii="宋体" w:hAnsi="宋体" w:eastAsia="宋体"/>
          <w:color w:val="000000"/>
          <w:spacing w:val="20"/>
          <w:w w:val="100"/>
          <w:kern w:val="10"/>
          <w:sz w:val="23"/>
          <w:szCs w:val="23"/>
        </w:rPr>
        <w:t>深圳市光明区投资促进服务中心：深圳市光明区牛山路与德雅路交汇处公共服务平台；咨询电话：（0755）88217307。</w:t>
      </w:r>
    </w:p>
    <w:p>
      <w:pPr>
        <w:spacing w:line="440" w:lineRule="exact"/>
        <w:ind w:firstLine="540" w:firstLineChars="200"/>
        <w:rPr>
          <w:rFonts w:hint="eastAsia" w:ascii="宋体" w:hAnsi="宋体" w:eastAsia="宋体"/>
          <w:color w:val="000000"/>
          <w:spacing w:val="20"/>
          <w:w w:val="100"/>
          <w:kern w:val="10"/>
          <w:sz w:val="23"/>
          <w:szCs w:val="23"/>
        </w:rPr>
      </w:pPr>
      <w:r>
        <w:rPr>
          <w:rFonts w:hint="eastAsia" w:ascii="宋体" w:hAnsi="宋体" w:eastAsia="宋体"/>
          <w:color w:val="000000"/>
          <w:spacing w:val="20"/>
          <w:w w:val="100"/>
          <w:kern w:val="10"/>
          <w:sz w:val="23"/>
          <w:szCs w:val="23"/>
        </w:rPr>
        <w:t>深圳交易集团有限公司土地矿业权业务分公司 地址：深圳市福田区红荔西路8007号土地房产交易大厦3楼；咨询电话：（0755）82713074、（0755）82713274；网址： https://td.szggzy.com。</w:t>
      </w:r>
    </w:p>
    <w:p>
      <w:pPr>
        <w:pStyle w:val="3"/>
        <w:spacing w:line="440" w:lineRule="exact"/>
        <w:ind w:firstLine="540" w:firstLineChars="200"/>
        <w:jc w:val="right"/>
        <w:rPr>
          <w:rFonts w:ascii="宋体" w:hAnsi="宋体" w:eastAsia="宋体"/>
          <w:color w:val="000000"/>
          <w:w w:val="100"/>
        </w:rPr>
      </w:pPr>
      <w:r>
        <w:rPr>
          <w:rFonts w:hint="eastAsia" w:ascii="宋体" w:hAnsi="宋体" w:eastAsia="宋体"/>
          <w:color w:val="000000"/>
          <w:w w:val="100"/>
        </w:rPr>
        <w:t>、</w:t>
      </w:r>
    </w:p>
    <w:p>
      <w:pPr>
        <w:keepNext w:val="0"/>
        <w:keepLines w:val="0"/>
        <w:pageBreakBefore w:val="0"/>
        <w:kinsoku/>
        <w:wordWrap/>
        <w:overflowPunct/>
        <w:topLinePunct w:val="0"/>
        <w:autoSpaceDE/>
        <w:autoSpaceDN/>
        <w:bidi w:val="0"/>
        <w:adjustRightInd/>
        <w:snapToGrid/>
        <w:spacing w:line="400" w:lineRule="exact"/>
        <w:ind w:firstLine="542" w:firstLineChars="200"/>
        <w:jc w:val="right"/>
        <w:textAlignment w:val="auto"/>
        <w:rPr>
          <w:rFonts w:hint="eastAsia" w:ascii="宋体" w:hAnsi="宋体"/>
          <w:b/>
          <w:bCs/>
          <w:color w:val="000000"/>
          <w:spacing w:val="20"/>
          <w:kern w:val="10"/>
          <w:sz w:val="23"/>
          <w:szCs w:val="23"/>
          <w:lang w:val="en-US" w:eastAsia="zh-CN"/>
        </w:rPr>
      </w:pPr>
      <w:r>
        <w:rPr>
          <w:rFonts w:hint="eastAsia" w:ascii="宋体" w:hAnsi="宋体"/>
          <w:b/>
          <w:bCs/>
          <w:color w:val="000000"/>
          <w:spacing w:val="20"/>
          <w:kern w:val="10"/>
          <w:sz w:val="23"/>
          <w:szCs w:val="23"/>
          <w:lang w:val="en-US" w:eastAsia="zh-CN"/>
        </w:rPr>
        <w:t>出让人：深圳市规划和自然资源局光明管理局</w:t>
      </w:r>
    </w:p>
    <w:p>
      <w:pPr>
        <w:keepNext w:val="0"/>
        <w:keepLines w:val="0"/>
        <w:pageBreakBefore w:val="0"/>
        <w:kinsoku/>
        <w:wordWrap/>
        <w:overflowPunct/>
        <w:topLinePunct w:val="0"/>
        <w:autoSpaceDE/>
        <w:autoSpaceDN/>
        <w:bidi w:val="0"/>
        <w:adjustRightInd/>
        <w:snapToGrid/>
        <w:spacing w:line="400" w:lineRule="exact"/>
        <w:ind w:firstLine="542" w:firstLineChars="200"/>
        <w:jc w:val="right"/>
        <w:textAlignment w:val="auto"/>
        <w:rPr>
          <w:rFonts w:hint="eastAsia" w:ascii="宋体" w:hAnsi="宋体"/>
          <w:b/>
          <w:bCs/>
          <w:color w:val="000000"/>
          <w:spacing w:val="20"/>
          <w:kern w:val="10"/>
          <w:sz w:val="23"/>
          <w:szCs w:val="23"/>
          <w:lang w:val="en-US" w:eastAsia="zh-CN"/>
        </w:rPr>
      </w:pPr>
      <w:r>
        <w:rPr>
          <w:rFonts w:hint="default" w:ascii="宋体" w:hAnsi="宋体"/>
          <w:b/>
          <w:bCs/>
          <w:color w:val="000000"/>
          <w:spacing w:val="20"/>
          <w:kern w:val="10"/>
          <w:sz w:val="23"/>
          <w:szCs w:val="23"/>
          <w:lang w:val="en-US" w:eastAsia="zh-CN"/>
        </w:rPr>
        <w:t>交易机构：深圳交易集团有限公司</w:t>
      </w:r>
    </w:p>
    <w:p>
      <w:pPr>
        <w:keepNext w:val="0"/>
        <w:keepLines w:val="0"/>
        <w:pageBreakBefore w:val="0"/>
        <w:kinsoku/>
        <w:wordWrap/>
        <w:overflowPunct/>
        <w:topLinePunct w:val="0"/>
        <w:autoSpaceDE/>
        <w:autoSpaceDN/>
        <w:bidi w:val="0"/>
        <w:adjustRightInd/>
        <w:snapToGrid/>
        <w:spacing w:line="400" w:lineRule="exact"/>
        <w:ind w:firstLine="542" w:firstLineChars="200"/>
        <w:jc w:val="right"/>
        <w:textAlignment w:val="auto"/>
        <w:rPr>
          <w:rFonts w:hint="eastAsia" w:ascii="宋体" w:hAnsi="宋体"/>
          <w:b/>
          <w:bCs/>
          <w:color w:val="000000"/>
          <w:spacing w:val="20"/>
          <w:kern w:val="10"/>
          <w:sz w:val="23"/>
          <w:szCs w:val="23"/>
          <w:lang w:val="en-US" w:eastAsia="zh-CN"/>
        </w:rPr>
      </w:pPr>
      <w:r>
        <w:rPr>
          <w:rFonts w:hint="default" w:ascii="宋体" w:hAnsi="宋体"/>
          <w:b/>
          <w:bCs/>
          <w:color w:val="000000"/>
          <w:spacing w:val="20"/>
          <w:kern w:val="10"/>
          <w:sz w:val="23"/>
          <w:szCs w:val="23"/>
          <w:lang w:val="en-US" w:eastAsia="zh-CN"/>
        </w:rPr>
        <w:t>（深圳公共资源交易中心）</w:t>
      </w:r>
    </w:p>
    <w:p>
      <w:pPr>
        <w:keepNext w:val="0"/>
        <w:keepLines w:val="0"/>
        <w:pageBreakBefore w:val="0"/>
        <w:kinsoku/>
        <w:wordWrap/>
        <w:overflowPunct/>
        <w:topLinePunct w:val="0"/>
        <w:autoSpaceDE/>
        <w:autoSpaceDN/>
        <w:bidi w:val="0"/>
        <w:adjustRightInd/>
        <w:snapToGrid/>
        <w:spacing w:line="400" w:lineRule="exact"/>
        <w:ind w:firstLine="542" w:firstLineChars="200"/>
        <w:jc w:val="right"/>
        <w:textAlignment w:val="auto"/>
        <w:rPr>
          <w:rFonts w:hint="eastAsia" w:ascii="宋体" w:hAnsi="宋体"/>
          <w:b/>
          <w:bCs/>
          <w:color w:val="000000"/>
          <w:spacing w:val="20"/>
          <w:kern w:val="10"/>
          <w:sz w:val="23"/>
          <w:szCs w:val="23"/>
          <w:lang w:val="en-US" w:eastAsia="zh-CN"/>
        </w:rPr>
      </w:pPr>
      <w:r>
        <w:rPr>
          <w:rFonts w:hint="default" w:ascii="宋体" w:hAnsi="宋体"/>
          <w:b/>
          <w:bCs/>
          <w:color w:val="000000"/>
          <w:spacing w:val="20"/>
          <w:kern w:val="10"/>
          <w:sz w:val="23"/>
          <w:szCs w:val="23"/>
          <w:lang w:val="en-US" w:eastAsia="zh-CN"/>
        </w:rPr>
        <w:t>2022年10月2</w:t>
      </w:r>
      <w:r>
        <w:rPr>
          <w:rFonts w:hint="eastAsia" w:ascii="宋体" w:hAnsi="宋体"/>
          <w:b/>
          <w:bCs/>
          <w:color w:val="000000"/>
          <w:spacing w:val="20"/>
          <w:kern w:val="10"/>
          <w:sz w:val="23"/>
          <w:szCs w:val="23"/>
          <w:lang w:val="en-US" w:eastAsia="zh-CN"/>
        </w:rPr>
        <w:t>8</w:t>
      </w:r>
      <w:r>
        <w:rPr>
          <w:rFonts w:hint="default" w:ascii="宋体" w:hAnsi="宋体"/>
          <w:b/>
          <w:bCs/>
          <w:color w:val="000000"/>
          <w:spacing w:val="20"/>
          <w:kern w:val="10"/>
          <w:sz w:val="23"/>
          <w:szCs w:val="23"/>
          <w:lang w:val="en-US" w:eastAsia="zh-CN"/>
        </w:rPr>
        <w:t>日</w:t>
      </w:r>
    </w:p>
    <w:p>
      <w:pPr>
        <w:spacing w:line="440" w:lineRule="exact"/>
        <w:ind w:firstLine="4334" w:firstLineChars="1600"/>
        <w:rPr>
          <w:rFonts w:ascii="宋体" w:hAnsi="宋体"/>
          <w:b/>
          <w:color w:val="000000"/>
          <w:spacing w:val="20"/>
          <w:kern w:val="10"/>
          <w:sz w:val="23"/>
          <w:szCs w:val="23"/>
        </w:rPr>
      </w:pPr>
    </w:p>
    <w:p>
      <w:pPr>
        <w:spacing w:line="440" w:lineRule="exact"/>
        <w:ind w:firstLine="4334" w:firstLineChars="1600"/>
        <w:rPr>
          <w:rFonts w:ascii="宋体" w:hAnsi="宋体"/>
          <w:b/>
          <w:color w:val="000000"/>
          <w:spacing w:val="20"/>
          <w:kern w:val="10"/>
          <w:sz w:val="23"/>
          <w:szCs w:val="23"/>
        </w:rPr>
      </w:pPr>
    </w:p>
    <w:p>
      <w:pPr>
        <w:spacing w:line="440" w:lineRule="exact"/>
        <w:ind w:left="4479" w:leftChars="2133" w:right="884" w:firstLine="1084" w:firstLineChars="400"/>
        <w:rPr>
          <w:rFonts w:ascii="宋体" w:hAnsi="宋体"/>
          <w:b/>
          <w:color w:val="000000"/>
          <w:spacing w:val="20"/>
          <w:kern w:val="10"/>
          <w:sz w:val="23"/>
          <w:szCs w:val="23"/>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E4ZWFkM2RmMjM0NjM0ZjYxZDBhNGU2YzA2MjgifQ=="/>
  </w:docVars>
  <w:rsids>
    <w:rsidRoot w:val="001B0760"/>
    <w:rsid w:val="00004712"/>
    <w:rsid w:val="000070F8"/>
    <w:rsid w:val="000079DB"/>
    <w:rsid w:val="000109B3"/>
    <w:rsid w:val="00015170"/>
    <w:rsid w:val="000168E4"/>
    <w:rsid w:val="00016B0E"/>
    <w:rsid w:val="00021869"/>
    <w:rsid w:val="0002385B"/>
    <w:rsid w:val="00026DB8"/>
    <w:rsid w:val="000309CD"/>
    <w:rsid w:val="00030E1A"/>
    <w:rsid w:val="00032D8D"/>
    <w:rsid w:val="0003417F"/>
    <w:rsid w:val="000346D1"/>
    <w:rsid w:val="000362CA"/>
    <w:rsid w:val="0003653D"/>
    <w:rsid w:val="000365C0"/>
    <w:rsid w:val="00037E74"/>
    <w:rsid w:val="00040ABC"/>
    <w:rsid w:val="00041787"/>
    <w:rsid w:val="00043178"/>
    <w:rsid w:val="00043481"/>
    <w:rsid w:val="00046177"/>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3C06"/>
    <w:rsid w:val="000C69C0"/>
    <w:rsid w:val="000C7B37"/>
    <w:rsid w:val="000D5645"/>
    <w:rsid w:val="000D6303"/>
    <w:rsid w:val="000D654F"/>
    <w:rsid w:val="000E1985"/>
    <w:rsid w:val="000E252D"/>
    <w:rsid w:val="000E4540"/>
    <w:rsid w:val="000E4AF3"/>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436"/>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575F"/>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C59E4"/>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5202"/>
    <w:rsid w:val="00316584"/>
    <w:rsid w:val="00320BC2"/>
    <w:rsid w:val="00323BC3"/>
    <w:rsid w:val="00324163"/>
    <w:rsid w:val="00324CC4"/>
    <w:rsid w:val="00333020"/>
    <w:rsid w:val="003330E0"/>
    <w:rsid w:val="0033506E"/>
    <w:rsid w:val="00340785"/>
    <w:rsid w:val="003439A6"/>
    <w:rsid w:val="00350703"/>
    <w:rsid w:val="00350ED8"/>
    <w:rsid w:val="00354F5D"/>
    <w:rsid w:val="00362D1A"/>
    <w:rsid w:val="00364E77"/>
    <w:rsid w:val="00365F49"/>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403F"/>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7766"/>
    <w:rsid w:val="00410F97"/>
    <w:rsid w:val="004143D3"/>
    <w:rsid w:val="0041559A"/>
    <w:rsid w:val="00417809"/>
    <w:rsid w:val="004200CB"/>
    <w:rsid w:val="00422586"/>
    <w:rsid w:val="00426535"/>
    <w:rsid w:val="00426A17"/>
    <w:rsid w:val="00427F87"/>
    <w:rsid w:val="004331D5"/>
    <w:rsid w:val="004345CB"/>
    <w:rsid w:val="004353BB"/>
    <w:rsid w:val="00436F8E"/>
    <w:rsid w:val="00440109"/>
    <w:rsid w:val="004403EF"/>
    <w:rsid w:val="00440DE5"/>
    <w:rsid w:val="0044188C"/>
    <w:rsid w:val="004432A9"/>
    <w:rsid w:val="00444318"/>
    <w:rsid w:val="00445D8C"/>
    <w:rsid w:val="00450700"/>
    <w:rsid w:val="0045077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E3C0A"/>
    <w:rsid w:val="004F157D"/>
    <w:rsid w:val="004F2055"/>
    <w:rsid w:val="004F2437"/>
    <w:rsid w:val="004F2721"/>
    <w:rsid w:val="004F33AE"/>
    <w:rsid w:val="004F46FE"/>
    <w:rsid w:val="004F5496"/>
    <w:rsid w:val="004F74F9"/>
    <w:rsid w:val="005057C5"/>
    <w:rsid w:val="00505E11"/>
    <w:rsid w:val="0051098E"/>
    <w:rsid w:val="00510F18"/>
    <w:rsid w:val="00511197"/>
    <w:rsid w:val="0051267D"/>
    <w:rsid w:val="00512901"/>
    <w:rsid w:val="00514DF3"/>
    <w:rsid w:val="005156E8"/>
    <w:rsid w:val="00516F49"/>
    <w:rsid w:val="0052043A"/>
    <w:rsid w:val="005216B0"/>
    <w:rsid w:val="00521C0C"/>
    <w:rsid w:val="00521E87"/>
    <w:rsid w:val="0052214B"/>
    <w:rsid w:val="0052299E"/>
    <w:rsid w:val="00522F9E"/>
    <w:rsid w:val="005316E3"/>
    <w:rsid w:val="00533262"/>
    <w:rsid w:val="00535695"/>
    <w:rsid w:val="00536BFE"/>
    <w:rsid w:val="00537D5E"/>
    <w:rsid w:val="00542AE2"/>
    <w:rsid w:val="005441FF"/>
    <w:rsid w:val="00544F6C"/>
    <w:rsid w:val="005506E0"/>
    <w:rsid w:val="005522A8"/>
    <w:rsid w:val="00552A85"/>
    <w:rsid w:val="00552C18"/>
    <w:rsid w:val="00553B9B"/>
    <w:rsid w:val="00553F4F"/>
    <w:rsid w:val="00555422"/>
    <w:rsid w:val="00560DBA"/>
    <w:rsid w:val="00561CEC"/>
    <w:rsid w:val="00562EE8"/>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1FE"/>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D7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51D"/>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3533"/>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A1C77"/>
    <w:rsid w:val="007A2029"/>
    <w:rsid w:val="007A29CC"/>
    <w:rsid w:val="007A4450"/>
    <w:rsid w:val="007A488D"/>
    <w:rsid w:val="007A4D48"/>
    <w:rsid w:val="007A5B33"/>
    <w:rsid w:val="007A6025"/>
    <w:rsid w:val="007A792D"/>
    <w:rsid w:val="007B0E79"/>
    <w:rsid w:val="007B2984"/>
    <w:rsid w:val="007B4486"/>
    <w:rsid w:val="007B58D0"/>
    <w:rsid w:val="007B59AB"/>
    <w:rsid w:val="007B5FE6"/>
    <w:rsid w:val="007B7E20"/>
    <w:rsid w:val="007C079E"/>
    <w:rsid w:val="007C0CF9"/>
    <w:rsid w:val="007C0F05"/>
    <w:rsid w:val="007C272F"/>
    <w:rsid w:val="007C4219"/>
    <w:rsid w:val="007C5FB1"/>
    <w:rsid w:val="007D1A7E"/>
    <w:rsid w:val="007D1D0E"/>
    <w:rsid w:val="007D2AD8"/>
    <w:rsid w:val="007D3545"/>
    <w:rsid w:val="007D6A65"/>
    <w:rsid w:val="007E0420"/>
    <w:rsid w:val="007E3CBC"/>
    <w:rsid w:val="007E7ABF"/>
    <w:rsid w:val="007F0671"/>
    <w:rsid w:val="007F13A8"/>
    <w:rsid w:val="007F209F"/>
    <w:rsid w:val="007F33B4"/>
    <w:rsid w:val="007F4825"/>
    <w:rsid w:val="007F507A"/>
    <w:rsid w:val="007F5AE0"/>
    <w:rsid w:val="00801541"/>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830"/>
    <w:rsid w:val="00886AD6"/>
    <w:rsid w:val="00890531"/>
    <w:rsid w:val="00893304"/>
    <w:rsid w:val="00894298"/>
    <w:rsid w:val="0089435B"/>
    <w:rsid w:val="008964A9"/>
    <w:rsid w:val="008A0665"/>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1670"/>
    <w:rsid w:val="008E3869"/>
    <w:rsid w:val="008E3892"/>
    <w:rsid w:val="008E3CEF"/>
    <w:rsid w:val="008E5EF4"/>
    <w:rsid w:val="008F1CC5"/>
    <w:rsid w:val="008F3D65"/>
    <w:rsid w:val="008F67FC"/>
    <w:rsid w:val="009004CA"/>
    <w:rsid w:val="00903C69"/>
    <w:rsid w:val="009042C7"/>
    <w:rsid w:val="00913453"/>
    <w:rsid w:val="00914D70"/>
    <w:rsid w:val="009158E0"/>
    <w:rsid w:val="00916645"/>
    <w:rsid w:val="00916798"/>
    <w:rsid w:val="00917221"/>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A4561"/>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3D68"/>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39D"/>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6B6C"/>
    <w:rsid w:val="00B07E05"/>
    <w:rsid w:val="00B12040"/>
    <w:rsid w:val="00B134FD"/>
    <w:rsid w:val="00B13F1B"/>
    <w:rsid w:val="00B140B7"/>
    <w:rsid w:val="00B14368"/>
    <w:rsid w:val="00B14B63"/>
    <w:rsid w:val="00B15F92"/>
    <w:rsid w:val="00B16A55"/>
    <w:rsid w:val="00B17C0E"/>
    <w:rsid w:val="00B21E05"/>
    <w:rsid w:val="00B25D75"/>
    <w:rsid w:val="00B26C70"/>
    <w:rsid w:val="00B27AFE"/>
    <w:rsid w:val="00B331E8"/>
    <w:rsid w:val="00B351F9"/>
    <w:rsid w:val="00B36F84"/>
    <w:rsid w:val="00B408A2"/>
    <w:rsid w:val="00B40D9E"/>
    <w:rsid w:val="00B42C09"/>
    <w:rsid w:val="00B42C40"/>
    <w:rsid w:val="00B42DFB"/>
    <w:rsid w:val="00B43343"/>
    <w:rsid w:val="00B439B1"/>
    <w:rsid w:val="00B44168"/>
    <w:rsid w:val="00B47401"/>
    <w:rsid w:val="00B50F68"/>
    <w:rsid w:val="00B535F7"/>
    <w:rsid w:val="00B54989"/>
    <w:rsid w:val="00B567D0"/>
    <w:rsid w:val="00B56ACA"/>
    <w:rsid w:val="00B60515"/>
    <w:rsid w:val="00B6232D"/>
    <w:rsid w:val="00B63F59"/>
    <w:rsid w:val="00B6505B"/>
    <w:rsid w:val="00B657C6"/>
    <w:rsid w:val="00B664DD"/>
    <w:rsid w:val="00B67B8A"/>
    <w:rsid w:val="00B72033"/>
    <w:rsid w:val="00B763C2"/>
    <w:rsid w:val="00B7700A"/>
    <w:rsid w:val="00B806C7"/>
    <w:rsid w:val="00B81B9C"/>
    <w:rsid w:val="00B833F2"/>
    <w:rsid w:val="00B83788"/>
    <w:rsid w:val="00B842FF"/>
    <w:rsid w:val="00B862F0"/>
    <w:rsid w:val="00B8796D"/>
    <w:rsid w:val="00B9066E"/>
    <w:rsid w:val="00B90F9F"/>
    <w:rsid w:val="00B91EE8"/>
    <w:rsid w:val="00B93E45"/>
    <w:rsid w:val="00B967EB"/>
    <w:rsid w:val="00B9798D"/>
    <w:rsid w:val="00BA02B4"/>
    <w:rsid w:val="00BA1BFF"/>
    <w:rsid w:val="00BA3D81"/>
    <w:rsid w:val="00BA3DEC"/>
    <w:rsid w:val="00BA5FD1"/>
    <w:rsid w:val="00BA7056"/>
    <w:rsid w:val="00BA7E1A"/>
    <w:rsid w:val="00BB021C"/>
    <w:rsid w:val="00BB0B18"/>
    <w:rsid w:val="00BB1F5A"/>
    <w:rsid w:val="00BB2078"/>
    <w:rsid w:val="00BB4342"/>
    <w:rsid w:val="00BB5B52"/>
    <w:rsid w:val="00BC28D8"/>
    <w:rsid w:val="00BC6479"/>
    <w:rsid w:val="00BC6A46"/>
    <w:rsid w:val="00BC72F8"/>
    <w:rsid w:val="00BC73B7"/>
    <w:rsid w:val="00BD0A1B"/>
    <w:rsid w:val="00BD22DF"/>
    <w:rsid w:val="00BD3DBA"/>
    <w:rsid w:val="00BD5384"/>
    <w:rsid w:val="00BD6CBF"/>
    <w:rsid w:val="00BE22AE"/>
    <w:rsid w:val="00BE2CD0"/>
    <w:rsid w:val="00BE44EF"/>
    <w:rsid w:val="00BE4B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22C"/>
    <w:rsid w:val="00CA7C81"/>
    <w:rsid w:val="00CA7F55"/>
    <w:rsid w:val="00CB1383"/>
    <w:rsid w:val="00CB1F32"/>
    <w:rsid w:val="00CB2218"/>
    <w:rsid w:val="00CB3458"/>
    <w:rsid w:val="00CB5C8D"/>
    <w:rsid w:val="00CB63F4"/>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5A0F"/>
    <w:rsid w:val="00D366CE"/>
    <w:rsid w:val="00D461AA"/>
    <w:rsid w:val="00D5366A"/>
    <w:rsid w:val="00D56D48"/>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A5559"/>
    <w:rsid w:val="00DB07BB"/>
    <w:rsid w:val="00DB14F2"/>
    <w:rsid w:val="00DB1C5D"/>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DF4FBE"/>
    <w:rsid w:val="00E004EE"/>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156B"/>
    <w:rsid w:val="00E519E6"/>
    <w:rsid w:val="00E55E0F"/>
    <w:rsid w:val="00E567CA"/>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2E01"/>
    <w:rsid w:val="00EA4F89"/>
    <w:rsid w:val="00EA5EF3"/>
    <w:rsid w:val="00EA644A"/>
    <w:rsid w:val="00EB0586"/>
    <w:rsid w:val="00EB204C"/>
    <w:rsid w:val="00EB2182"/>
    <w:rsid w:val="00EB409A"/>
    <w:rsid w:val="00EB4950"/>
    <w:rsid w:val="00EB619C"/>
    <w:rsid w:val="00EC0A11"/>
    <w:rsid w:val="00EC1652"/>
    <w:rsid w:val="00EC3CDC"/>
    <w:rsid w:val="00EC43D6"/>
    <w:rsid w:val="00EC4758"/>
    <w:rsid w:val="00ED4823"/>
    <w:rsid w:val="00ED5934"/>
    <w:rsid w:val="00ED5F0E"/>
    <w:rsid w:val="00ED7301"/>
    <w:rsid w:val="00EE16DE"/>
    <w:rsid w:val="00EE3C26"/>
    <w:rsid w:val="00EE55B9"/>
    <w:rsid w:val="00EF0390"/>
    <w:rsid w:val="00EF1E8E"/>
    <w:rsid w:val="00EF263C"/>
    <w:rsid w:val="00EF2C29"/>
    <w:rsid w:val="00EF3324"/>
    <w:rsid w:val="00EF46D2"/>
    <w:rsid w:val="00EF6785"/>
    <w:rsid w:val="00EF693F"/>
    <w:rsid w:val="00EF7595"/>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2D14"/>
    <w:rsid w:val="00FB5A66"/>
    <w:rsid w:val="00FB5B2F"/>
    <w:rsid w:val="00FC036C"/>
    <w:rsid w:val="00FC0608"/>
    <w:rsid w:val="00FC1A68"/>
    <w:rsid w:val="00FC59DD"/>
    <w:rsid w:val="00FC6239"/>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7DF15F8"/>
    <w:rsid w:val="085A5FF7"/>
    <w:rsid w:val="08EC706B"/>
    <w:rsid w:val="0D8B43CC"/>
    <w:rsid w:val="0E7510BF"/>
    <w:rsid w:val="0FF8676E"/>
    <w:rsid w:val="1235261C"/>
    <w:rsid w:val="1A3B578B"/>
    <w:rsid w:val="21FA7AAB"/>
    <w:rsid w:val="27F34941"/>
    <w:rsid w:val="3143321D"/>
    <w:rsid w:val="3A7838BB"/>
    <w:rsid w:val="3CAE1060"/>
    <w:rsid w:val="3CD92C87"/>
    <w:rsid w:val="46551742"/>
    <w:rsid w:val="470F1B58"/>
    <w:rsid w:val="4A516A7D"/>
    <w:rsid w:val="4A626DE5"/>
    <w:rsid w:val="4CA90842"/>
    <w:rsid w:val="4DD235BF"/>
    <w:rsid w:val="5333479F"/>
    <w:rsid w:val="538153B9"/>
    <w:rsid w:val="560315CB"/>
    <w:rsid w:val="56F01B34"/>
    <w:rsid w:val="575A5A81"/>
    <w:rsid w:val="5D667C17"/>
    <w:rsid w:val="63DB0104"/>
    <w:rsid w:val="69F942A9"/>
    <w:rsid w:val="6B874D63"/>
    <w:rsid w:val="6C6E1D56"/>
    <w:rsid w:val="70A42689"/>
    <w:rsid w:val="71DD22F7"/>
    <w:rsid w:val="75D43102"/>
    <w:rsid w:val="761738EE"/>
    <w:rsid w:val="77CA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3">
    <w:name w:val="Body Text Indent 2"/>
    <w:basedOn w:val="1"/>
    <w:link w:val="13"/>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正文文本缩进 Char"/>
    <w:link w:val="2"/>
    <w:qFormat/>
    <w:uiPriority w:val="0"/>
    <w:rPr>
      <w:rFonts w:ascii="汉仪书宋二简" w:hAnsi="汉仪书宋二简" w:eastAsia="汉仪书宋二简"/>
      <w:spacing w:val="20"/>
      <w:w w:val="110"/>
      <w:kern w:val="10"/>
      <w:sz w:val="23"/>
      <w:szCs w:val="23"/>
    </w:rPr>
  </w:style>
  <w:style w:type="character" w:customStyle="1" w:styleId="13">
    <w:name w:val="正文文本缩进 2 Char"/>
    <w:link w:val="3"/>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2801</Words>
  <Characters>3004</Characters>
  <Lines>24</Lines>
  <Paragraphs>6</Paragraphs>
  <TotalTime>5</TotalTime>
  <ScaleCrop>false</ScaleCrop>
  <LinksUpToDate>false</LinksUpToDate>
  <CharactersWithSpaces>3008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2022-10-27T09:00:00Z</dcterms:created>
  <dc:creator>Administrator</dc:creator>
  <cp:lastModifiedBy>文档存本地丢失不负责</cp:lastModifiedBy>
  <cp:lastPrinted>2022-10-27T07:10:00Z</cp:lastPrinted>
  <dcterms:modified xsi:type="dcterms:W3CDTF">2022-10-27T10:30:33Z</dcterms:modified>
  <dc:title>深圳市土地使用权出让公告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096F5C9B043448DDBBD2F4305BB19C41</vt:lpwstr>
  </property>
</Properties>
</file>