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0"/>
        </w:tabs>
        <w:spacing w:line="400" w:lineRule="exact"/>
        <w:jc w:val="center"/>
        <w:rPr>
          <w:rFonts w:cs="Times New Roman" w:asciiTheme="majorEastAsia" w:hAnsiTheme="majorEastAsia" w:eastAsiaTheme="majorEastAsia"/>
          <w:b/>
          <w:spacing w:val="20"/>
          <w:w w:val="110"/>
          <w:kern w:val="10"/>
          <w:sz w:val="40"/>
          <w:szCs w:val="24"/>
          <w:highlight w:val="none"/>
        </w:rPr>
      </w:pPr>
      <w:r>
        <w:rPr>
          <w:rFonts w:hint="eastAsia" w:cs="Times New Roman" w:asciiTheme="majorEastAsia" w:hAnsiTheme="majorEastAsia" w:eastAsiaTheme="majorEastAsia"/>
          <w:b/>
          <w:spacing w:val="20"/>
          <w:w w:val="110"/>
          <w:kern w:val="10"/>
          <w:sz w:val="40"/>
          <w:szCs w:val="24"/>
          <w:highlight w:val="none"/>
        </w:rPr>
        <w:t>深圳市土地使用权出让公告</w:t>
      </w:r>
    </w:p>
    <w:p>
      <w:pPr>
        <w:tabs>
          <w:tab w:val="left" w:pos="8460"/>
        </w:tabs>
        <w:spacing w:line="400" w:lineRule="exact"/>
        <w:jc w:val="center"/>
        <w:rPr>
          <w:rFonts w:cs="Times New Roman" w:asciiTheme="minorEastAsia" w:hAnsiTheme="minorEastAsia"/>
          <w:color w:val="000000"/>
          <w:spacing w:val="20"/>
          <w:w w:val="110"/>
          <w:kern w:val="10"/>
          <w:sz w:val="23"/>
          <w:szCs w:val="24"/>
          <w:highlight w:val="none"/>
        </w:rPr>
      </w:pPr>
      <w:r>
        <w:rPr>
          <w:rFonts w:hint="eastAsia" w:cs="Times New Roman" w:asciiTheme="minorEastAsia" w:hAnsiTheme="minorEastAsia"/>
          <w:color w:val="000000"/>
          <w:spacing w:val="20"/>
          <w:w w:val="110"/>
          <w:kern w:val="10"/>
          <w:sz w:val="23"/>
          <w:szCs w:val="24"/>
          <w:highlight w:val="none"/>
        </w:rPr>
        <w:t>深土交告〔2022〕</w:t>
      </w:r>
      <w:r>
        <w:rPr>
          <w:rFonts w:hint="eastAsia" w:cs="Times New Roman" w:asciiTheme="minorEastAsia" w:hAnsiTheme="minorEastAsia"/>
          <w:color w:val="000000"/>
          <w:spacing w:val="20"/>
          <w:w w:val="110"/>
          <w:kern w:val="10"/>
          <w:sz w:val="23"/>
          <w:szCs w:val="24"/>
          <w:highlight w:val="none"/>
          <w:lang w:val="en-US" w:eastAsia="zh-CN"/>
        </w:rPr>
        <w:t>60</w:t>
      </w:r>
      <w:r>
        <w:rPr>
          <w:rFonts w:hint="eastAsia" w:cs="Times New Roman" w:asciiTheme="minorEastAsia" w:hAnsiTheme="minorEastAsia"/>
          <w:color w:val="000000"/>
          <w:spacing w:val="20"/>
          <w:w w:val="110"/>
          <w:kern w:val="10"/>
          <w:sz w:val="23"/>
          <w:szCs w:val="24"/>
          <w:highlight w:val="none"/>
        </w:rPr>
        <w:t>号</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根据有关法律、法规，深圳市规划和自然资源局</w:t>
      </w:r>
      <w:r>
        <w:rPr>
          <w:rFonts w:hint="eastAsia" w:cs="Times New Roman" w:asciiTheme="minorEastAsia" w:hAnsiTheme="minorEastAsia"/>
          <w:spacing w:val="20"/>
          <w:w w:val="110"/>
          <w:kern w:val="10"/>
          <w:sz w:val="23"/>
          <w:szCs w:val="23"/>
          <w:highlight w:val="none"/>
          <w:lang w:val="en-US" w:eastAsia="zh-CN"/>
        </w:rPr>
        <w:t>深汕管理局</w:t>
      </w:r>
      <w:r>
        <w:rPr>
          <w:rFonts w:hint="eastAsia" w:cs="Times New Roman" w:asciiTheme="minorEastAsia" w:hAnsiTheme="minorEastAsia"/>
          <w:spacing w:val="20"/>
          <w:w w:val="110"/>
          <w:kern w:val="10"/>
          <w:sz w:val="23"/>
          <w:szCs w:val="23"/>
          <w:highlight w:val="none"/>
        </w:rPr>
        <w:t>（以下简称市规划和自然资源局</w:t>
      </w:r>
      <w:r>
        <w:rPr>
          <w:rFonts w:hint="eastAsia" w:cs="Times New Roman" w:asciiTheme="minorEastAsia" w:hAnsiTheme="minorEastAsia"/>
          <w:spacing w:val="20"/>
          <w:w w:val="110"/>
          <w:kern w:val="10"/>
          <w:sz w:val="23"/>
          <w:szCs w:val="23"/>
          <w:highlight w:val="none"/>
          <w:lang w:val="en-US" w:eastAsia="zh-CN"/>
        </w:rPr>
        <w:t>深汕管理局</w:t>
      </w:r>
      <w:r>
        <w:rPr>
          <w:rFonts w:hint="eastAsia" w:cs="Times New Roman" w:asciiTheme="minorEastAsia" w:hAnsiTheme="minorEastAsia"/>
          <w:spacing w:val="20"/>
          <w:w w:val="110"/>
          <w:kern w:val="10"/>
          <w:sz w:val="23"/>
          <w:szCs w:val="23"/>
          <w:highlight w:val="none"/>
        </w:rPr>
        <w:t>）委托深圳交易集团有限公司（深圳公共资源交易中心）（以下简称“公共资源交易中心”），在深圳市福田区红荔西路8007号土地房产交易大厦（以下简称交易大厦）3楼，以挂牌方式公开出让</w:t>
      </w:r>
      <w:r>
        <w:rPr>
          <w:rFonts w:hint="eastAsia" w:cs="Times New Roman" w:asciiTheme="minorEastAsia" w:hAnsiTheme="minorEastAsia"/>
          <w:spacing w:val="20"/>
          <w:w w:val="110"/>
          <w:kern w:val="10"/>
          <w:sz w:val="23"/>
          <w:szCs w:val="23"/>
          <w:highlight w:val="none"/>
          <w:lang w:val="en" w:eastAsia="zh-CN"/>
        </w:rPr>
        <w:t>H2022-0003</w:t>
      </w:r>
      <w:r>
        <w:rPr>
          <w:rFonts w:hint="eastAsia" w:cs="Times New Roman" w:asciiTheme="minorEastAsia" w:hAnsiTheme="minorEastAsia"/>
          <w:spacing w:val="20"/>
          <w:w w:val="110"/>
          <w:kern w:val="10"/>
          <w:sz w:val="23"/>
          <w:szCs w:val="23"/>
          <w:highlight w:val="none"/>
        </w:rPr>
        <w:t>宗地的使用权，公告期自2022年</w:t>
      </w:r>
      <w:r>
        <w:rPr>
          <w:rFonts w:hint="eastAsia" w:cs="Times New Roman" w:asciiTheme="minorEastAsia" w:hAnsiTheme="minorEastAsia"/>
          <w:spacing w:val="20"/>
          <w:w w:val="110"/>
          <w:kern w:val="10"/>
          <w:sz w:val="23"/>
          <w:szCs w:val="23"/>
          <w:highlight w:val="none"/>
          <w:lang w:val="en-US" w:eastAsia="zh-CN"/>
        </w:rPr>
        <w:t>10</w:t>
      </w:r>
      <w:r>
        <w:rPr>
          <w:rFonts w:hint="eastAsia" w:cs="Times New Roman" w:asciiTheme="minorEastAsia" w:hAnsiTheme="minorEastAsia"/>
          <w:spacing w:val="20"/>
          <w:w w:val="110"/>
          <w:kern w:val="10"/>
          <w:sz w:val="23"/>
          <w:szCs w:val="23"/>
          <w:highlight w:val="none"/>
        </w:rPr>
        <w:t>月</w:t>
      </w:r>
      <w:r>
        <w:rPr>
          <w:rFonts w:hint="eastAsia" w:cs="Times New Roman" w:asciiTheme="minorEastAsia" w:hAnsiTheme="minorEastAsia"/>
          <w:spacing w:val="20"/>
          <w:w w:val="110"/>
          <w:kern w:val="10"/>
          <w:sz w:val="23"/>
          <w:szCs w:val="23"/>
          <w:highlight w:val="none"/>
          <w:lang w:val="en-US" w:eastAsia="zh-CN"/>
        </w:rPr>
        <w:t>27</w:t>
      </w:r>
      <w:r>
        <w:rPr>
          <w:rFonts w:hint="eastAsia" w:cs="Times New Roman" w:asciiTheme="minorEastAsia" w:hAnsiTheme="minorEastAsia"/>
          <w:spacing w:val="20"/>
          <w:w w:val="110"/>
          <w:kern w:val="10"/>
          <w:sz w:val="23"/>
          <w:szCs w:val="23"/>
          <w:highlight w:val="none"/>
        </w:rPr>
        <w:t>日至2022年</w:t>
      </w:r>
      <w:r>
        <w:rPr>
          <w:rFonts w:hint="eastAsia" w:cs="Times New Roman" w:asciiTheme="minorEastAsia" w:hAnsiTheme="minorEastAsia"/>
          <w:spacing w:val="20"/>
          <w:w w:val="110"/>
          <w:kern w:val="10"/>
          <w:sz w:val="23"/>
          <w:szCs w:val="23"/>
          <w:highlight w:val="none"/>
          <w:lang w:val="en-US" w:eastAsia="zh-CN"/>
        </w:rPr>
        <w:t>11</w:t>
      </w:r>
      <w:r>
        <w:rPr>
          <w:rFonts w:hint="eastAsia" w:cs="Times New Roman" w:asciiTheme="minorEastAsia" w:hAnsiTheme="minorEastAsia"/>
          <w:spacing w:val="20"/>
          <w:w w:val="110"/>
          <w:kern w:val="10"/>
          <w:sz w:val="23"/>
          <w:szCs w:val="23"/>
          <w:highlight w:val="none"/>
        </w:rPr>
        <w:t>月</w:t>
      </w:r>
      <w:r>
        <w:rPr>
          <w:rFonts w:hint="eastAsia" w:cs="Times New Roman" w:asciiTheme="minorEastAsia" w:hAnsiTheme="minorEastAsia"/>
          <w:spacing w:val="20"/>
          <w:w w:val="110"/>
          <w:kern w:val="10"/>
          <w:sz w:val="23"/>
          <w:szCs w:val="23"/>
          <w:highlight w:val="none"/>
          <w:lang w:val="en-US" w:eastAsia="zh-CN"/>
        </w:rPr>
        <w:t>15</w:t>
      </w:r>
      <w:r>
        <w:rPr>
          <w:rFonts w:hint="eastAsia" w:cs="Times New Roman" w:asciiTheme="minorEastAsia" w:hAnsiTheme="minorEastAsia"/>
          <w:spacing w:val="20"/>
          <w:w w:val="110"/>
          <w:kern w:val="10"/>
          <w:sz w:val="23"/>
          <w:szCs w:val="23"/>
          <w:highlight w:val="none"/>
        </w:rPr>
        <w:t>日，挂牌期自2022年</w:t>
      </w:r>
      <w:r>
        <w:rPr>
          <w:rFonts w:hint="eastAsia" w:cs="Times New Roman" w:asciiTheme="minorEastAsia" w:hAnsiTheme="minorEastAsia"/>
          <w:spacing w:val="20"/>
          <w:w w:val="110"/>
          <w:kern w:val="10"/>
          <w:sz w:val="23"/>
          <w:szCs w:val="23"/>
          <w:highlight w:val="none"/>
          <w:lang w:val="en-US" w:eastAsia="zh-CN"/>
        </w:rPr>
        <w:t>11</w:t>
      </w:r>
      <w:r>
        <w:rPr>
          <w:rFonts w:hint="eastAsia" w:cs="Times New Roman" w:asciiTheme="minorEastAsia" w:hAnsiTheme="minorEastAsia"/>
          <w:spacing w:val="20"/>
          <w:w w:val="110"/>
          <w:kern w:val="10"/>
          <w:sz w:val="23"/>
          <w:szCs w:val="23"/>
          <w:highlight w:val="none"/>
        </w:rPr>
        <w:t>月</w:t>
      </w:r>
      <w:r>
        <w:rPr>
          <w:rFonts w:hint="eastAsia" w:cs="Times New Roman" w:asciiTheme="minorEastAsia" w:hAnsiTheme="minorEastAsia"/>
          <w:spacing w:val="20"/>
          <w:w w:val="110"/>
          <w:kern w:val="10"/>
          <w:sz w:val="23"/>
          <w:szCs w:val="23"/>
          <w:highlight w:val="none"/>
          <w:lang w:val="en-US" w:eastAsia="zh-CN"/>
        </w:rPr>
        <w:t>16</w:t>
      </w:r>
      <w:r>
        <w:rPr>
          <w:rFonts w:hint="eastAsia" w:cs="Times New Roman" w:asciiTheme="minorEastAsia" w:hAnsiTheme="minorEastAsia"/>
          <w:spacing w:val="20"/>
          <w:w w:val="110"/>
          <w:kern w:val="10"/>
          <w:sz w:val="23"/>
          <w:szCs w:val="23"/>
          <w:highlight w:val="none"/>
        </w:rPr>
        <w:t>日至2022年</w:t>
      </w:r>
      <w:r>
        <w:rPr>
          <w:rFonts w:hint="eastAsia" w:cs="Times New Roman" w:asciiTheme="minorEastAsia" w:hAnsiTheme="minorEastAsia"/>
          <w:spacing w:val="20"/>
          <w:w w:val="110"/>
          <w:kern w:val="10"/>
          <w:sz w:val="23"/>
          <w:szCs w:val="23"/>
          <w:highlight w:val="none"/>
          <w:lang w:val="en-US" w:eastAsia="zh-CN"/>
        </w:rPr>
        <w:t>11</w:t>
      </w:r>
      <w:r>
        <w:rPr>
          <w:rFonts w:hint="eastAsia" w:cs="Times New Roman" w:asciiTheme="minorEastAsia" w:hAnsiTheme="minorEastAsia"/>
          <w:spacing w:val="20"/>
          <w:w w:val="110"/>
          <w:kern w:val="10"/>
          <w:sz w:val="23"/>
          <w:szCs w:val="23"/>
          <w:highlight w:val="none"/>
        </w:rPr>
        <w:t>月</w:t>
      </w:r>
      <w:r>
        <w:rPr>
          <w:rFonts w:hint="eastAsia" w:cs="Times New Roman" w:asciiTheme="minorEastAsia" w:hAnsiTheme="minorEastAsia"/>
          <w:spacing w:val="20"/>
          <w:w w:val="110"/>
          <w:kern w:val="10"/>
          <w:sz w:val="23"/>
          <w:szCs w:val="23"/>
          <w:highlight w:val="none"/>
          <w:lang w:val="en-US" w:eastAsia="zh-CN"/>
        </w:rPr>
        <w:t>25</w:t>
      </w:r>
      <w:r>
        <w:rPr>
          <w:rFonts w:hint="eastAsia" w:cs="Times New Roman" w:asciiTheme="minorEastAsia" w:hAnsiTheme="minorEastAsia"/>
          <w:spacing w:val="20"/>
          <w:w w:val="110"/>
          <w:kern w:val="10"/>
          <w:sz w:val="23"/>
          <w:szCs w:val="23"/>
          <w:highlight w:val="none"/>
        </w:rPr>
        <w:t>日时止。现予公告。</w:t>
      </w:r>
    </w:p>
    <w:p>
      <w:pPr>
        <w:spacing w:line="480" w:lineRule="exact"/>
        <w:ind w:firstLine="568" w:firstLineChars="200"/>
        <w:rPr>
          <w:rFonts w:cs="Times New Roman" w:asciiTheme="minorEastAsia" w:hAnsiTheme="minorEastAsia"/>
          <w:b/>
          <w:spacing w:val="20"/>
          <w:w w:val="110"/>
          <w:kern w:val="10"/>
          <w:sz w:val="23"/>
          <w:szCs w:val="23"/>
          <w:highlight w:val="none"/>
        </w:rPr>
      </w:pPr>
      <w:r>
        <w:rPr>
          <w:rFonts w:hint="eastAsia" w:cs="Times New Roman" w:asciiTheme="minorEastAsia" w:hAnsiTheme="minorEastAsia"/>
          <w:b/>
          <w:spacing w:val="20"/>
          <w:w w:val="110"/>
          <w:kern w:val="10"/>
          <w:sz w:val="23"/>
          <w:szCs w:val="23"/>
          <w:highlight w:val="none"/>
        </w:rPr>
        <w:t>一、宗地情况</w:t>
      </w:r>
    </w:p>
    <w:tbl>
      <w:tblPr>
        <w:tblStyle w:val="9"/>
        <w:tblpPr w:leftFromText="180" w:rightFromText="180" w:vertAnchor="text" w:horzAnchor="page" w:tblpX="1067" w:tblpY="455"/>
        <w:tblOverlap w:val="never"/>
        <w:tblW w:w="10156" w:type="dxa"/>
        <w:tblInd w:w="0" w:type="dxa"/>
        <w:shd w:val="clear" w:color="auto" w:fill="FFFFFF"/>
        <w:tblLayout w:type="fixed"/>
        <w:tblCellMar>
          <w:top w:w="15" w:type="dxa"/>
          <w:left w:w="15" w:type="dxa"/>
          <w:bottom w:w="15" w:type="dxa"/>
          <w:right w:w="15" w:type="dxa"/>
        </w:tblCellMar>
      </w:tblPr>
      <w:tblGrid>
        <w:gridCol w:w="1180"/>
        <w:gridCol w:w="1334"/>
        <w:gridCol w:w="1391"/>
        <w:gridCol w:w="1063"/>
        <w:gridCol w:w="1218"/>
        <w:gridCol w:w="1029"/>
        <w:gridCol w:w="1283"/>
        <w:gridCol w:w="951"/>
        <w:gridCol w:w="707"/>
      </w:tblGrid>
      <w:tr>
        <w:tblPrEx>
          <w:shd w:val="clear" w:color="auto" w:fill="FFFFFF"/>
          <w:tblCellMar>
            <w:top w:w="15" w:type="dxa"/>
            <w:left w:w="15" w:type="dxa"/>
            <w:bottom w:w="15" w:type="dxa"/>
            <w:right w:w="15" w:type="dxa"/>
          </w:tblCellMar>
        </w:tblPrEx>
        <w:trPr>
          <w:trHeight w:val="1908" w:hRule="atLeast"/>
        </w:trPr>
        <w:tc>
          <w:tcPr>
            <w:tcW w:w="118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宗地号</w:t>
            </w:r>
          </w:p>
        </w:tc>
        <w:tc>
          <w:tcPr>
            <w:tcW w:w="1334"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土地位置</w:t>
            </w:r>
          </w:p>
        </w:tc>
        <w:tc>
          <w:tcPr>
            <w:tcW w:w="1391"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b/>
                <w:bCs/>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土地</w:t>
            </w:r>
          </w:p>
          <w:p>
            <w:pPr>
              <w:widowControl/>
              <w:jc w:val="center"/>
              <w:rPr>
                <w:rFonts w:ascii="微软雅黑" w:hAnsi="微软雅黑" w:eastAsia="微软雅黑" w:cs="宋体"/>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用途</w:t>
            </w:r>
          </w:p>
        </w:tc>
        <w:tc>
          <w:tcPr>
            <w:tcW w:w="1063"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土地面积（平方米）</w:t>
            </w:r>
          </w:p>
        </w:tc>
        <w:tc>
          <w:tcPr>
            <w:tcW w:w="121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建筑面积（平方米）</w:t>
            </w:r>
          </w:p>
        </w:tc>
        <w:tc>
          <w:tcPr>
            <w:tcW w:w="1029"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挂牌起始价（人民币、万元）</w:t>
            </w:r>
          </w:p>
        </w:tc>
        <w:tc>
          <w:tcPr>
            <w:tcW w:w="1283"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最高限制地价（人民币、万元）</w:t>
            </w:r>
          </w:p>
        </w:tc>
        <w:tc>
          <w:tcPr>
            <w:tcW w:w="951"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竞买（投标）保证金（人民币、万元）</w:t>
            </w:r>
          </w:p>
        </w:tc>
        <w:tc>
          <w:tcPr>
            <w:tcW w:w="707"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土地使用年限（年）</w:t>
            </w:r>
          </w:p>
        </w:tc>
      </w:tr>
      <w:tr>
        <w:tblPrEx>
          <w:shd w:val="clear" w:color="auto" w:fill="FFFFFF"/>
          <w:tblCellMar>
            <w:top w:w="15" w:type="dxa"/>
            <w:left w:w="15" w:type="dxa"/>
            <w:bottom w:w="15" w:type="dxa"/>
            <w:right w:w="15" w:type="dxa"/>
          </w:tblCellMar>
        </w:tblPrEx>
        <w:trPr>
          <w:trHeight w:val="1303" w:hRule="atLeast"/>
        </w:trPr>
        <w:tc>
          <w:tcPr>
            <w:tcW w:w="118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spacing w:line="480" w:lineRule="auto"/>
              <w:jc w:val="center"/>
              <w:rPr>
                <w:rFonts w:hint="default" w:cs="宋体" w:asciiTheme="minorEastAsia" w:hAnsiTheme="minorEastAsia"/>
                <w:bCs/>
                <w:kern w:val="0"/>
                <w:sz w:val="20"/>
                <w:szCs w:val="20"/>
                <w:highlight w:val="none"/>
                <w:lang w:val="en-US" w:eastAsia="zh-CN"/>
              </w:rPr>
            </w:pPr>
            <w:r>
              <w:rPr>
                <w:rFonts w:hint="eastAsia" w:cs="宋体" w:asciiTheme="minorEastAsia" w:hAnsiTheme="minorEastAsia"/>
                <w:bCs/>
                <w:kern w:val="0"/>
                <w:sz w:val="20"/>
                <w:szCs w:val="20"/>
                <w:highlight w:val="none"/>
                <w:lang w:val="en" w:eastAsia="zh-CN"/>
              </w:rPr>
              <w:t>H2022-0003</w:t>
            </w:r>
          </w:p>
        </w:tc>
        <w:tc>
          <w:tcPr>
            <w:tcW w:w="1334"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spacing w:line="480" w:lineRule="auto"/>
              <w:jc w:val="center"/>
              <w:rPr>
                <w:rFonts w:hint="default" w:cs="宋体" w:asciiTheme="minorEastAsia" w:hAnsiTheme="minorEastAsia"/>
                <w:bCs/>
                <w:kern w:val="0"/>
                <w:sz w:val="20"/>
                <w:szCs w:val="20"/>
                <w:highlight w:val="none"/>
                <w:lang w:val="en-US" w:eastAsia="zh-CN"/>
              </w:rPr>
            </w:pPr>
            <w:r>
              <w:rPr>
                <w:rFonts w:hint="eastAsia" w:cs="宋体" w:asciiTheme="minorEastAsia" w:hAnsiTheme="minorEastAsia"/>
                <w:bCs/>
                <w:kern w:val="0"/>
                <w:sz w:val="20"/>
                <w:szCs w:val="20"/>
                <w:highlight w:val="none"/>
                <w:lang w:val="en-US" w:eastAsia="zh-CN"/>
              </w:rPr>
              <w:t>深汕特别合作区鲘门镇</w:t>
            </w:r>
          </w:p>
        </w:tc>
        <w:tc>
          <w:tcPr>
            <w:tcW w:w="1391"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spacing w:line="480" w:lineRule="auto"/>
              <w:jc w:val="center"/>
              <w:rPr>
                <w:rFonts w:hint="default" w:cs="宋体" w:asciiTheme="minorEastAsia" w:hAnsiTheme="minorEastAsia"/>
                <w:bCs/>
                <w:kern w:val="0"/>
                <w:sz w:val="20"/>
                <w:szCs w:val="20"/>
                <w:highlight w:val="none"/>
                <w:lang w:val="en-US" w:eastAsia="zh-CN"/>
              </w:rPr>
            </w:pPr>
            <w:r>
              <w:rPr>
                <w:rFonts w:hint="eastAsia" w:cs="宋体" w:asciiTheme="minorEastAsia" w:hAnsiTheme="minorEastAsia"/>
                <w:bCs/>
                <w:kern w:val="0"/>
                <w:sz w:val="20"/>
                <w:szCs w:val="20"/>
                <w:highlight w:val="none"/>
                <w:lang w:val="en-US" w:eastAsia="zh-CN"/>
              </w:rPr>
              <w:t>二类居住用地</w:t>
            </w:r>
          </w:p>
        </w:tc>
        <w:tc>
          <w:tcPr>
            <w:tcW w:w="1063"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spacing w:line="480" w:lineRule="auto"/>
              <w:ind w:firstLine="191" w:firstLineChars="100"/>
              <w:jc w:val="center"/>
              <w:rPr>
                <w:rFonts w:hint="default" w:cs="宋体" w:asciiTheme="minorEastAsia" w:hAnsiTheme="minorEastAsia"/>
                <w:bCs/>
                <w:kern w:val="0"/>
                <w:sz w:val="20"/>
                <w:szCs w:val="20"/>
                <w:highlight w:val="none"/>
                <w:lang w:val="en-US" w:eastAsia="zh-CN"/>
              </w:rPr>
            </w:pPr>
            <w:r>
              <w:rPr>
                <w:rFonts w:hint="eastAsia" w:cs="宋体" w:asciiTheme="minorEastAsia" w:hAnsiTheme="minorEastAsia"/>
                <w:bCs/>
                <w:kern w:val="0"/>
                <w:sz w:val="20"/>
                <w:szCs w:val="20"/>
                <w:highlight w:val="none"/>
                <w:lang w:val="en-US" w:eastAsia="zh-CN"/>
              </w:rPr>
              <w:t>50158</w:t>
            </w:r>
          </w:p>
        </w:tc>
        <w:tc>
          <w:tcPr>
            <w:tcW w:w="121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spacing w:line="480" w:lineRule="auto"/>
              <w:ind w:firstLine="0" w:firstLineChars="0"/>
              <w:jc w:val="center"/>
              <w:rPr>
                <w:rFonts w:hint="default" w:cs="宋体" w:asciiTheme="minorEastAsia" w:hAnsiTheme="minorEastAsia"/>
                <w:bCs/>
                <w:kern w:val="0"/>
                <w:sz w:val="20"/>
                <w:szCs w:val="20"/>
                <w:highlight w:val="none"/>
                <w:lang w:val="en-US" w:eastAsia="zh-CN"/>
              </w:rPr>
            </w:pPr>
            <w:r>
              <w:rPr>
                <w:rFonts w:hint="eastAsia" w:cs="宋体" w:asciiTheme="minorEastAsia" w:hAnsiTheme="minorEastAsia"/>
                <w:bCs/>
                <w:kern w:val="0"/>
                <w:sz w:val="20"/>
                <w:szCs w:val="20"/>
                <w:highlight w:val="none"/>
                <w:lang w:val="en-US" w:eastAsia="zh-CN"/>
              </w:rPr>
              <w:t>165521</w:t>
            </w:r>
          </w:p>
        </w:tc>
        <w:tc>
          <w:tcPr>
            <w:tcW w:w="1029"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spacing w:line="480" w:lineRule="auto"/>
              <w:ind w:firstLine="0" w:firstLineChars="0"/>
              <w:jc w:val="center"/>
              <w:rPr>
                <w:rFonts w:hint="default" w:cs="宋体" w:asciiTheme="minorEastAsia" w:hAnsiTheme="minorEastAsia"/>
                <w:bCs/>
                <w:kern w:val="0"/>
                <w:sz w:val="20"/>
                <w:szCs w:val="20"/>
                <w:highlight w:val="none"/>
                <w:lang w:val="en-US" w:eastAsia="zh-CN"/>
              </w:rPr>
            </w:pPr>
            <w:r>
              <w:rPr>
                <w:rFonts w:hint="eastAsia" w:cs="宋体" w:asciiTheme="minorEastAsia" w:hAnsiTheme="minorEastAsia"/>
                <w:bCs/>
                <w:kern w:val="0"/>
                <w:sz w:val="20"/>
                <w:szCs w:val="20"/>
                <w:highlight w:val="none"/>
                <w:lang w:val="en-US" w:eastAsia="zh-CN"/>
              </w:rPr>
              <w:t>14900</w:t>
            </w:r>
          </w:p>
        </w:tc>
        <w:tc>
          <w:tcPr>
            <w:tcW w:w="1283"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spacing w:line="480" w:lineRule="auto"/>
              <w:ind w:firstLine="0" w:firstLineChars="0"/>
              <w:jc w:val="center"/>
              <w:rPr>
                <w:rFonts w:hint="default" w:cs="宋体" w:asciiTheme="minorEastAsia" w:hAnsiTheme="minorEastAsia"/>
                <w:bCs/>
                <w:kern w:val="0"/>
                <w:sz w:val="20"/>
                <w:szCs w:val="20"/>
                <w:highlight w:val="none"/>
                <w:lang w:val="en-US" w:eastAsia="zh-CN"/>
              </w:rPr>
            </w:pPr>
            <w:r>
              <w:rPr>
                <w:rFonts w:hint="eastAsia" w:cs="宋体" w:asciiTheme="minorEastAsia" w:hAnsiTheme="minorEastAsia"/>
                <w:bCs/>
                <w:kern w:val="0"/>
                <w:sz w:val="20"/>
                <w:szCs w:val="20"/>
                <w:highlight w:val="none"/>
                <w:lang w:val="en-US" w:eastAsia="zh-CN"/>
              </w:rPr>
              <w:t>17135</w:t>
            </w:r>
          </w:p>
        </w:tc>
        <w:tc>
          <w:tcPr>
            <w:tcW w:w="951"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spacing w:line="480" w:lineRule="auto"/>
              <w:ind w:firstLine="0" w:firstLineChars="0"/>
              <w:jc w:val="center"/>
              <w:rPr>
                <w:rFonts w:hint="default" w:cs="宋体" w:asciiTheme="minorEastAsia" w:hAnsiTheme="minorEastAsia"/>
                <w:bCs/>
                <w:kern w:val="0"/>
                <w:sz w:val="20"/>
                <w:szCs w:val="20"/>
                <w:highlight w:val="none"/>
                <w:lang w:val="en-US" w:eastAsia="zh-CN"/>
              </w:rPr>
            </w:pPr>
            <w:r>
              <w:rPr>
                <w:rFonts w:hint="eastAsia" w:cs="宋体" w:asciiTheme="minorEastAsia" w:hAnsiTheme="minorEastAsia"/>
                <w:bCs/>
                <w:kern w:val="0"/>
                <w:sz w:val="20"/>
                <w:szCs w:val="20"/>
                <w:highlight w:val="none"/>
                <w:lang w:val="en-US" w:eastAsia="zh-CN"/>
              </w:rPr>
              <w:t>7450</w:t>
            </w:r>
          </w:p>
        </w:tc>
        <w:tc>
          <w:tcPr>
            <w:tcW w:w="707"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spacing w:line="480" w:lineRule="auto"/>
              <w:ind w:firstLine="0" w:firstLineChars="0"/>
              <w:jc w:val="center"/>
              <w:rPr>
                <w:rFonts w:hint="eastAsia" w:cs="宋体" w:asciiTheme="minorEastAsia" w:hAnsiTheme="minorEastAsia"/>
                <w:bCs/>
                <w:kern w:val="0"/>
                <w:sz w:val="20"/>
                <w:szCs w:val="20"/>
                <w:highlight w:val="none"/>
                <w:lang w:val="en-US" w:eastAsia="zh-CN"/>
              </w:rPr>
            </w:pPr>
            <w:r>
              <w:rPr>
                <w:rFonts w:hint="eastAsia" w:cs="宋体" w:asciiTheme="minorEastAsia" w:hAnsiTheme="minorEastAsia"/>
                <w:bCs/>
                <w:kern w:val="0"/>
                <w:sz w:val="20"/>
                <w:szCs w:val="20"/>
                <w:highlight w:val="none"/>
                <w:lang w:val="en-US" w:eastAsia="zh-CN"/>
              </w:rPr>
              <w:t>70</w:t>
            </w:r>
          </w:p>
        </w:tc>
      </w:tr>
    </w:tbl>
    <w:p>
      <w:pPr>
        <w:tabs>
          <w:tab w:val="left" w:pos="8460"/>
        </w:tabs>
        <w:spacing w:line="480" w:lineRule="exact"/>
        <w:ind w:firstLine="568" w:firstLineChars="200"/>
        <w:rPr>
          <w:rFonts w:ascii="微软雅黑" w:hAnsi="微软雅黑" w:eastAsia="微软雅黑" w:cs="宋体"/>
          <w:color w:val="000000"/>
          <w:kern w:val="0"/>
          <w:sz w:val="20"/>
          <w:szCs w:val="20"/>
          <w:highlight w:val="none"/>
        </w:rPr>
      </w:pPr>
      <w:r>
        <w:rPr>
          <w:rFonts w:hint="eastAsia" w:cs="Times New Roman" w:asciiTheme="minorEastAsia" w:hAnsiTheme="minorEastAsia"/>
          <w:spacing w:val="20"/>
          <w:w w:val="110"/>
          <w:kern w:val="10"/>
          <w:sz w:val="23"/>
          <w:szCs w:val="23"/>
          <w:highlight w:val="none"/>
        </w:rPr>
        <w:t>上述宗地具体情况以宗地的《深圳市土地使用权出让合同书》（样本，以下简称《出让合同》）为准。</w:t>
      </w:r>
    </w:p>
    <w:p>
      <w:pPr>
        <w:spacing w:line="480" w:lineRule="exact"/>
        <w:ind w:firstLine="568" w:firstLineChars="200"/>
        <w:rPr>
          <w:rFonts w:cs="Times New Roman" w:asciiTheme="minorEastAsia" w:hAnsiTheme="minorEastAsia"/>
          <w:b/>
          <w:spacing w:val="20"/>
          <w:w w:val="110"/>
          <w:kern w:val="10"/>
          <w:sz w:val="23"/>
          <w:szCs w:val="23"/>
          <w:highlight w:val="none"/>
        </w:rPr>
      </w:pPr>
      <w:r>
        <w:rPr>
          <w:rFonts w:hint="eastAsia" w:cs="Times New Roman" w:asciiTheme="minorEastAsia" w:hAnsiTheme="minorEastAsia"/>
          <w:b/>
          <w:spacing w:val="20"/>
          <w:w w:val="110"/>
          <w:kern w:val="10"/>
          <w:sz w:val="23"/>
          <w:szCs w:val="23"/>
          <w:highlight w:val="none"/>
        </w:rPr>
        <w:t>二、出让条件</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（一）本公告出让宗地住宅部分拟建设安居型</w:t>
      </w:r>
      <w:r>
        <w:rPr>
          <w:rFonts w:hint="eastAsia" w:cs="Times New Roman" w:asciiTheme="minorEastAsia" w:hAnsiTheme="minorEastAsia"/>
          <w:spacing w:val="20"/>
          <w:w w:val="110"/>
          <w:kern w:val="10"/>
          <w:sz w:val="23"/>
          <w:szCs w:val="23"/>
          <w:highlight w:val="none"/>
          <w:lang w:eastAsia="zh-CN"/>
        </w:rPr>
        <w:t>商品住房</w:t>
      </w:r>
      <w:r>
        <w:rPr>
          <w:rFonts w:hint="eastAsia" w:cs="Times New Roman" w:asciiTheme="minorEastAsia" w:hAnsiTheme="minorEastAsia"/>
          <w:spacing w:val="20"/>
          <w:w w:val="110"/>
          <w:kern w:val="10"/>
          <w:sz w:val="23"/>
          <w:szCs w:val="23"/>
          <w:highlight w:val="none"/>
          <w:lang w:val="en-US" w:eastAsia="zh-CN"/>
        </w:rPr>
        <w:t>和</w:t>
      </w:r>
      <w:r>
        <w:rPr>
          <w:rFonts w:hint="eastAsia" w:cs="Times New Roman" w:asciiTheme="minorEastAsia" w:hAnsiTheme="minorEastAsia"/>
          <w:spacing w:val="20"/>
          <w:w w:val="110"/>
          <w:kern w:val="10"/>
          <w:sz w:val="23"/>
          <w:szCs w:val="23"/>
          <w:highlight w:val="none"/>
        </w:rPr>
        <w:t>安置用房，采取“双限单竞+摇号”规则挂牌出让,即:限地价、限安居型商品住房销售价格</w:t>
      </w:r>
      <w:r>
        <w:rPr>
          <w:rFonts w:hint="eastAsia" w:cs="Times New Roman" w:asciiTheme="minorEastAsia" w:hAnsiTheme="minorEastAsia"/>
          <w:spacing w:val="20"/>
          <w:w w:val="110"/>
          <w:kern w:val="10"/>
          <w:sz w:val="23"/>
          <w:szCs w:val="23"/>
          <w:highlight w:val="none"/>
          <w:lang w:eastAsia="zh-CN"/>
        </w:rPr>
        <w:t>（</w:t>
      </w:r>
      <w:r>
        <w:rPr>
          <w:rFonts w:hint="eastAsia" w:cs="Times New Roman" w:asciiTheme="minorEastAsia" w:hAnsiTheme="minorEastAsia"/>
          <w:spacing w:val="20"/>
          <w:w w:val="110"/>
          <w:kern w:val="10"/>
          <w:sz w:val="23"/>
          <w:szCs w:val="23"/>
          <w:highlight w:val="none"/>
          <w:lang w:val="en-US" w:eastAsia="zh-CN"/>
        </w:rPr>
        <w:t>均价</w:t>
      </w:r>
      <w:r>
        <w:rPr>
          <w:rFonts w:hint="eastAsia" w:cs="Times New Roman" w:asciiTheme="minorEastAsia" w:hAnsiTheme="minorEastAsia"/>
          <w:spacing w:val="20"/>
          <w:w w:val="110"/>
          <w:kern w:val="10"/>
          <w:sz w:val="23"/>
          <w:szCs w:val="23"/>
          <w:highlight w:val="none"/>
          <w:lang w:eastAsia="zh-CN"/>
        </w:rPr>
        <w:t>）</w:t>
      </w:r>
      <w:r>
        <w:rPr>
          <w:rFonts w:hint="eastAsia" w:cs="Times New Roman" w:asciiTheme="minorEastAsia" w:hAnsiTheme="minorEastAsia"/>
          <w:spacing w:val="20"/>
          <w:w w:val="110"/>
          <w:kern w:val="10"/>
          <w:sz w:val="23"/>
          <w:szCs w:val="23"/>
          <w:highlight w:val="none"/>
        </w:rPr>
        <w:t>，竞地价，达到最高</w:t>
      </w:r>
      <w:r>
        <w:rPr>
          <w:rFonts w:hint="eastAsia" w:cs="Times New Roman" w:asciiTheme="minorEastAsia" w:hAnsiTheme="minorEastAsia"/>
          <w:spacing w:val="20"/>
          <w:w w:val="110"/>
          <w:kern w:val="10"/>
          <w:sz w:val="23"/>
          <w:szCs w:val="23"/>
          <w:highlight w:val="none"/>
          <w:lang w:val="en-US" w:eastAsia="zh-CN"/>
        </w:rPr>
        <w:t>限制</w:t>
      </w:r>
      <w:r>
        <w:rPr>
          <w:rFonts w:hint="eastAsia" w:cs="Times New Roman" w:asciiTheme="minorEastAsia" w:hAnsiTheme="minorEastAsia"/>
          <w:spacing w:val="20"/>
          <w:w w:val="110"/>
          <w:kern w:val="10"/>
          <w:sz w:val="23"/>
          <w:szCs w:val="23"/>
          <w:highlight w:val="none"/>
        </w:rPr>
        <w:t>地价后</w:t>
      </w:r>
      <w:r>
        <w:rPr>
          <w:rFonts w:hint="eastAsia" w:cs="Times New Roman" w:asciiTheme="minorEastAsia" w:hAnsiTheme="minorEastAsia"/>
          <w:spacing w:val="20"/>
          <w:w w:val="110"/>
          <w:kern w:val="10"/>
          <w:sz w:val="23"/>
          <w:szCs w:val="23"/>
          <w:highlight w:val="none"/>
          <w:lang w:eastAsia="zh-CN"/>
        </w:rPr>
        <w:t>（</w:t>
      </w:r>
      <w:r>
        <w:rPr>
          <w:rFonts w:hint="eastAsia" w:cs="Times New Roman" w:asciiTheme="minorEastAsia" w:hAnsiTheme="minorEastAsia"/>
          <w:spacing w:val="20"/>
          <w:w w:val="110"/>
          <w:kern w:val="10"/>
          <w:sz w:val="23"/>
          <w:szCs w:val="23"/>
          <w:highlight w:val="none"/>
          <w:lang w:val="en-US" w:eastAsia="zh-CN"/>
        </w:rPr>
        <w:t>限15%溢价率</w:t>
      </w:r>
      <w:r>
        <w:rPr>
          <w:rFonts w:hint="eastAsia" w:cs="Times New Roman" w:asciiTheme="minorEastAsia" w:hAnsiTheme="minorEastAsia"/>
          <w:spacing w:val="20"/>
          <w:w w:val="110"/>
          <w:kern w:val="10"/>
          <w:sz w:val="23"/>
          <w:szCs w:val="23"/>
          <w:highlight w:val="none"/>
          <w:lang w:eastAsia="zh-CN"/>
        </w:rPr>
        <w:t>）</w:t>
      </w:r>
      <w:r>
        <w:rPr>
          <w:rFonts w:hint="eastAsia" w:cs="Times New Roman" w:asciiTheme="minorEastAsia" w:hAnsiTheme="minorEastAsia"/>
          <w:spacing w:val="20"/>
          <w:w w:val="110"/>
          <w:kern w:val="10"/>
          <w:sz w:val="23"/>
          <w:szCs w:val="23"/>
          <w:highlight w:val="none"/>
        </w:rPr>
        <w:t>通过摇号方式确定竞得人。竞价过程中，竞买人最高报价未超过最高限制地价时，按价高者得的原则确定竞得人和成交价；当</w:t>
      </w:r>
      <w:r>
        <w:rPr>
          <w:rFonts w:hint="eastAsia" w:cs="Times New Roman" w:asciiTheme="minorEastAsia" w:hAnsiTheme="minorEastAsia"/>
          <w:spacing w:val="20"/>
          <w:w w:val="110"/>
          <w:kern w:val="10"/>
          <w:sz w:val="23"/>
          <w:szCs w:val="23"/>
          <w:highlight w:val="none"/>
          <w:lang w:val="en-US" w:eastAsia="zh-CN"/>
        </w:rPr>
        <w:t>报价</w:t>
      </w:r>
      <w:r>
        <w:rPr>
          <w:rFonts w:hint="eastAsia" w:cs="Times New Roman" w:asciiTheme="minorEastAsia" w:hAnsiTheme="minorEastAsia"/>
          <w:spacing w:val="20"/>
          <w:w w:val="110"/>
          <w:kern w:val="10"/>
          <w:sz w:val="23"/>
          <w:szCs w:val="23"/>
          <w:highlight w:val="none"/>
        </w:rPr>
        <w:t>达到最高</w:t>
      </w:r>
      <w:r>
        <w:rPr>
          <w:rFonts w:hint="eastAsia" w:cs="Times New Roman" w:asciiTheme="minorEastAsia" w:hAnsiTheme="minorEastAsia"/>
          <w:spacing w:val="20"/>
          <w:w w:val="110"/>
          <w:kern w:val="10"/>
          <w:sz w:val="23"/>
          <w:szCs w:val="23"/>
          <w:highlight w:val="none"/>
          <w:lang w:val="en-US" w:eastAsia="zh-CN"/>
        </w:rPr>
        <w:t>限制</w:t>
      </w:r>
      <w:r>
        <w:rPr>
          <w:rFonts w:hint="eastAsia" w:cs="Times New Roman" w:asciiTheme="minorEastAsia" w:hAnsiTheme="minorEastAsia"/>
          <w:spacing w:val="20"/>
          <w:w w:val="110"/>
          <w:kern w:val="10"/>
          <w:sz w:val="23"/>
          <w:szCs w:val="23"/>
          <w:highlight w:val="none"/>
        </w:rPr>
        <w:t>地价且有2个或2个以上竞买人接受该</w:t>
      </w:r>
      <w:r>
        <w:rPr>
          <w:rFonts w:hint="eastAsia" w:cs="Times New Roman" w:asciiTheme="minorEastAsia" w:hAnsiTheme="minorEastAsia"/>
          <w:spacing w:val="20"/>
          <w:w w:val="110"/>
          <w:kern w:val="10"/>
          <w:sz w:val="23"/>
          <w:szCs w:val="23"/>
          <w:highlight w:val="none"/>
          <w:lang w:val="en-US" w:eastAsia="zh-CN"/>
        </w:rPr>
        <w:t>报价</w:t>
      </w:r>
      <w:r>
        <w:rPr>
          <w:rFonts w:hint="eastAsia" w:cs="Times New Roman" w:asciiTheme="minorEastAsia" w:hAnsiTheme="minorEastAsia"/>
          <w:spacing w:val="20"/>
          <w:w w:val="110"/>
          <w:kern w:val="10"/>
          <w:sz w:val="23"/>
          <w:szCs w:val="23"/>
          <w:highlight w:val="none"/>
        </w:rPr>
        <w:t>时，通过摇号方式确定竞得人，所有接受最高</w:t>
      </w:r>
      <w:r>
        <w:rPr>
          <w:rFonts w:hint="eastAsia" w:cs="Times New Roman" w:asciiTheme="minorEastAsia" w:hAnsiTheme="minorEastAsia"/>
          <w:spacing w:val="20"/>
          <w:w w:val="110"/>
          <w:kern w:val="10"/>
          <w:sz w:val="23"/>
          <w:szCs w:val="23"/>
          <w:highlight w:val="none"/>
          <w:lang w:val="en-US" w:eastAsia="zh-CN"/>
        </w:rPr>
        <w:t>限制</w:t>
      </w:r>
      <w:r>
        <w:rPr>
          <w:rFonts w:hint="eastAsia" w:cs="Times New Roman" w:asciiTheme="minorEastAsia" w:hAnsiTheme="minorEastAsia"/>
          <w:spacing w:val="20"/>
          <w:w w:val="110"/>
          <w:kern w:val="10"/>
          <w:sz w:val="23"/>
          <w:szCs w:val="23"/>
          <w:highlight w:val="none"/>
        </w:rPr>
        <w:t>地价的竞买人可申请参加摇号。摇号具体细则详见《深圳市国有建设用地使用权出让现场摇号操作指引》。</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二）同一企业及其控股的各个公司，不得参加同一宗地的竞买，参与竞买企业应提交相关证明材料及承诺函。经公共资源交易中心审查，认定同一企业及其控股的各个公司参加同一宗地竞买的，即违反竞买人关联性要求，取消该企业及其控股各个公司该宗地的竞买、竞得资格，已交纳的竞买保证金不予退还。具体要求详见《深圳市国有建设用地使用权出让竞买人关联性审查操作指引》。</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（三）同一企业参与本批次（含深土交告〔2022〕</w:t>
      </w:r>
      <w:r>
        <w:rPr>
          <w:rFonts w:hint="eastAsia" w:cs="Times New Roman" w:asciiTheme="minorEastAsia" w:hAnsiTheme="minorEastAsia"/>
          <w:spacing w:val="20"/>
          <w:w w:val="110"/>
          <w:kern w:val="10"/>
          <w:sz w:val="23"/>
          <w:szCs w:val="23"/>
          <w:highlight w:val="none"/>
          <w:lang w:val="en-US" w:eastAsia="zh-CN"/>
        </w:rPr>
        <w:t>55</w:t>
      </w:r>
      <w:r>
        <w:rPr>
          <w:rFonts w:hint="eastAsia" w:cs="Times New Roman" w:asciiTheme="minorEastAsia" w:hAnsiTheme="minorEastAsia"/>
          <w:spacing w:val="20"/>
          <w:w w:val="110"/>
          <w:kern w:val="10"/>
          <w:sz w:val="23"/>
          <w:szCs w:val="23"/>
          <w:highlight w:val="none"/>
        </w:rPr>
        <w:t>、</w:t>
      </w:r>
      <w:r>
        <w:rPr>
          <w:rFonts w:hint="eastAsia" w:cs="Times New Roman" w:asciiTheme="minorEastAsia" w:hAnsiTheme="minorEastAsia"/>
          <w:spacing w:val="20"/>
          <w:w w:val="110"/>
          <w:kern w:val="10"/>
          <w:sz w:val="23"/>
          <w:szCs w:val="23"/>
          <w:highlight w:val="none"/>
          <w:lang w:val="en-US" w:eastAsia="zh-CN"/>
        </w:rPr>
        <w:t>56</w:t>
      </w:r>
      <w:r>
        <w:rPr>
          <w:rFonts w:hint="eastAsia" w:cs="Times New Roman" w:asciiTheme="minorEastAsia" w:hAnsiTheme="minorEastAsia"/>
          <w:spacing w:val="20"/>
          <w:w w:val="110"/>
          <w:kern w:val="10"/>
          <w:sz w:val="23"/>
          <w:szCs w:val="23"/>
          <w:highlight w:val="none"/>
        </w:rPr>
        <w:t>、</w:t>
      </w:r>
      <w:r>
        <w:rPr>
          <w:rFonts w:hint="eastAsia" w:cs="Times New Roman" w:asciiTheme="minorEastAsia" w:hAnsiTheme="minorEastAsia"/>
          <w:spacing w:val="20"/>
          <w:w w:val="110"/>
          <w:kern w:val="10"/>
          <w:sz w:val="23"/>
          <w:szCs w:val="23"/>
          <w:highlight w:val="none"/>
          <w:lang w:val="en-US" w:eastAsia="zh-CN"/>
        </w:rPr>
        <w:t>57、58、59、60</w:t>
      </w:r>
      <w:r>
        <w:rPr>
          <w:rFonts w:hint="eastAsia" w:cs="Times New Roman" w:asciiTheme="minorEastAsia" w:hAnsiTheme="minorEastAsia"/>
          <w:spacing w:val="20"/>
          <w:w w:val="110"/>
          <w:kern w:val="10"/>
          <w:sz w:val="23"/>
          <w:szCs w:val="23"/>
          <w:highlight w:val="none"/>
        </w:rPr>
        <w:t>号公告）用地竞买最多可竞得3宗用地（含联合竞买）。已竞得3宗用地的企业，自确定竞得第3宗地后，该企业自动丧失本批次用地的继续竞买资格，其此前报价继续有效。</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因本条款导致宗地报价、现场竞价或摇号环节有效竞买人不足一人时，则该宗地不受此限制，此前报价继续有效。</w:t>
      </w:r>
    </w:p>
    <w:p>
      <w:pPr>
        <w:pStyle w:val="4"/>
        <w:numPr>
          <w:ilvl w:val="0"/>
          <w:numId w:val="0"/>
        </w:numPr>
        <w:spacing w:line="480" w:lineRule="exact"/>
        <w:ind w:firstLine="568" w:firstLineChars="200"/>
        <w:rPr>
          <w:rFonts w:hint="eastAsia" w:ascii="宋体" w:hAnsi="宋体"/>
          <w:color w:val="auto"/>
          <w:highlight w:val="none"/>
        </w:rPr>
      </w:pPr>
      <w:r>
        <w:rPr>
          <w:rFonts w:hint="eastAsia" w:cs="Times New Roman" w:asciiTheme="minorEastAsia" w:hAnsiTheme="minorEastAsia" w:eastAsiaTheme="minorEastAsia"/>
          <w:spacing w:val="20"/>
          <w:w w:val="110"/>
          <w:kern w:val="10"/>
          <w:sz w:val="23"/>
          <w:szCs w:val="23"/>
          <w:highlight w:val="none"/>
          <w:lang w:val="en-US" w:eastAsia="zh-CN" w:bidi="ar-SA"/>
        </w:rPr>
        <w:t>（四）</w:t>
      </w:r>
      <w:r>
        <w:rPr>
          <w:rFonts w:hint="eastAsia" w:ascii="宋体" w:hAnsi="宋体"/>
          <w:color w:val="auto"/>
          <w:highlight w:val="none"/>
        </w:rPr>
        <w:t>竞得人拟成立全资子公司或项目公司进行开发建设的，应在竞买申请中明确全资子公司或项目公司的出资构成、成立时间等内容。独立竞得的，竞得人可以在深圳市依法注册设立一家全资子公司；联合竞得的，可以并仅限联合竞买各方联合在深圳市依法注册设立一家项目公司，并通过签订土地使用权出让合同补充协议，将土地使用权变更至全资子公司或项目公司名下。</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五）竞得人缴纳地价款时，应凭自然资源主管部门开具的《国有土地使用权出让收入缴款通知书》到深圳市各区税务局办税服务厅或者登录深圳市电子税务局进行缴费，具体流程详见《国有土地使用权出让收入缴款及竞买保证金退转操作指引》。</w:t>
      </w:r>
    </w:p>
    <w:p>
      <w:pPr>
        <w:tabs>
          <w:tab w:val="left" w:pos="8460"/>
        </w:tabs>
        <w:spacing w:line="480" w:lineRule="exact"/>
        <w:ind w:firstLine="568" w:firstLineChars="200"/>
        <w:rPr>
          <w:rFonts w:cs="Times New Roman" w:asciiTheme="minorEastAsia" w:hAnsiTheme="minorEastAsia"/>
          <w:color w:val="auto"/>
          <w:spacing w:val="20"/>
          <w:w w:val="110"/>
          <w:kern w:val="10"/>
          <w:sz w:val="23"/>
          <w:szCs w:val="23"/>
          <w:highlight w:val="none"/>
        </w:rPr>
      </w:pPr>
      <w:r>
        <w:rPr>
          <w:rFonts w:hint="eastAsia" w:cs="Times New Roman" w:asciiTheme="minorEastAsia" w:hAnsiTheme="minorEastAsia"/>
          <w:color w:val="auto"/>
          <w:spacing w:val="20"/>
          <w:w w:val="110"/>
          <w:kern w:val="10"/>
          <w:sz w:val="23"/>
          <w:szCs w:val="23"/>
          <w:highlight w:val="none"/>
        </w:rPr>
        <w:t>（六）本公告出让宗地竞得人需落实海绵城市建设、绿色建筑、装配式建筑、建筑信息模型（BIM）技术应用的相关规定。</w:t>
      </w:r>
    </w:p>
    <w:p>
      <w:pPr>
        <w:tabs>
          <w:tab w:val="left" w:pos="8460"/>
        </w:tabs>
        <w:spacing w:line="480" w:lineRule="exact"/>
        <w:ind w:firstLine="568" w:firstLineChars="200"/>
        <w:rPr>
          <w:rFonts w:hint="eastAsia" w:cs="Times New Roman" w:asciiTheme="minorEastAsia" w:hAnsiTheme="minorEastAsia"/>
          <w:color w:val="auto"/>
          <w:spacing w:val="20"/>
          <w:w w:val="110"/>
          <w:kern w:val="10"/>
          <w:sz w:val="23"/>
          <w:szCs w:val="23"/>
          <w:highlight w:val="none"/>
        </w:rPr>
      </w:pPr>
      <w:r>
        <w:rPr>
          <w:rFonts w:hint="eastAsia" w:cs="Times New Roman" w:asciiTheme="minorEastAsia" w:hAnsiTheme="minorEastAsia"/>
          <w:color w:val="auto"/>
          <w:spacing w:val="20"/>
          <w:w w:val="110"/>
          <w:kern w:val="10"/>
          <w:sz w:val="23"/>
          <w:szCs w:val="23"/>
          <w:highlight w:val="none"/>
        </w:rPr>
        <w:t>（七）本公告出让宗地竞得人须按土壤污染状况调查报告的结论采取相应的土壤污染防治措施；按地质灾害危险性评估报告的结论采取相应的地质灾害防治措施。</w:t>
      </w:r>
    </w:p>
    <w:p>
      <w:pPr>
        <w:widowControl/>
        <w:spacing w:line="360" w:lineRule="auto"/>
        <w:ind w:firstLine="568" w:firstLineChars="200"/>
        <w:jc w:val="both"/>
        <w:rPr>
          <w:rFonts w:hint="eastAsia" w:cs="Times New Roman" w:asciiTheme="minorEastAsia" w:hAnsiTheme="minorEastAsia" w:eastAsia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（八）</w:t>
      </w:r>
      <w:r>
        <w:rPr>
          <w:rFonts w:hint="eastAsia" w:cs="Times New Roman" w:asciiTheme="minorEastAsia" w:hAnsiTheme="minorEastAsia" w:eastAsiaTheme="minorEastAsia"/>
          <w:spacing w:val="20"/>
          <w:w w:val="110"/>
          <w:kern w:val="10"/>
          <w:sz w:val="23"/>
          <w:szCs w:val="23"/>
          <w:highlight w:val="none"/>
        </w:rPr>
        <w:t>本公告出让宗地项目建成后，安居型商品住房销售均价不得高于</w:t>
      </w:r>
      <w:r>
        <w:rPr>
          <w:rFonts w:hint="eastAsia" w:cs="Times New Roman" w:asciiTheme="minorEastAsia" w:hAnsiTheme="minorEastAsia" w:eastAsiaTheme="minorEastAsia"/>
          <w:spacing w:val="20"/>
          <w:w w:val="110"/>
          <w:kern w:val="10"/>
          <w:sz w:val="23"/>
          <w:szCs w:val="23"/>
          <w:highlight w:val="none"/>
          <w:lang w:val="en-US" w:eastAsia="zh-CN"/>
        </w:rPr>
        <w:t>8900</w:t>
      </w:r>
      <w:r>
        <w:rPr>
          <w:rFonts w:hint="eastAsia" w:cs="Times New Roman" w:asciiTheme="minorEastAsia" w:hAnsiTheme="minorEastAsia" w:eastAsiaTheme="minorEastAsia"/>
          <w:spacing w:val="20"/>
          <w:w w:val="110"/>
          <w:kern w:val="10"/>
          <w:sz w:val="23"/>
          <w:szCs w:val="23"/>
          <w:highlight w:val="none"/>
          <w:lang w:eastAsia="zh-CN"/>
        </w:rPr>
        <w:t>元</w:t>
      </w:r>
      <w:r>
        <w:rPr>
          <w:rFonts w:hint="eastAsia" w:cs="Times New Roman" w:asciiTheme="minorEastAsia" w:hAnsiTheme="minorEastAsia" w:eastAsiaTheme="minorEastAsia"/>
          <w:spacing w:val="20"/>
          <w:w w:val="110"/>
          <w:kern w:val="10"/>
          <w:sz w:val="23"/>
          <w:szCs w:val="23"/>
          <w:highlight w:val="none"/>
          <w:lang w:val="en-US" w:eastAsia="zh-CN"/>
        </w:rPr>
        <w:t>/</w:t>
      </w:r>
      <w:r>
        <w:rPr>
          <w:rFonts w:hint="eastAsia" w:cs="Times New Roman" w:asciiTheme="minorEastAsia" w:hAnsiTheme="minorEastAsia" w:eastAsiaTheme="minorEastAsia"/>
          <w:spacing w:val="20"/>
          <w:w w:val="110"/>
          <w:kern w:val="10"/>
          <w:sz w:val="23"/>
          <w:szCs w:val="23"/>
          <w:highlight w:val="none"/>
        </w:rPr>
        <w:t>平方米</w:t>
      </w:r>
      <w:r>
        <w:rPr>
          <w:rFonts w:hint="eastAsia" w:cs="Times New Roman" w:asciiTheme="minorEastAsia" w:hAnsiTheme="minorEastAsia" w:eastAsiaTheme="minorEastAsia"/>
          <w:spacing w:val="20"/>
          <w:w w:val="110"/>
          <w:kern w:val="10"/>
          <w:sz w:val="23"/>
          <w:szCs w:val="23"/>
          <w:highlight w:val="none"/>
          <w:lang w:eastAsia="zh-CN"/>
        </w:rPr>
        <w:t>（不包含室内装修</w:t>
      </w:r>
      <w:r>
        <w:rPr>
          <w:rFonts w:hint="eastAsia" w:cs="Times New Roman" w:asciiTheme="minorEastAsia" w:hAnsiTheme="minorEastAsia"/>
          <w:spacing w:val="20"/>
          <w:w w:val="110"/>
          <w:kern w:val="10"/>
          <w:sz w:val="23"/>
          <w:szCs w:val="23"/>
          <w:highlight w:val="none"/>
          <w:lang w:val="en-US" w:eastAsia="zh-CN"/>
        </w:rPr>
        <w:t>价格</w:t>
      </w:r>
      <w:r>
        <w:rPr>
          <w:rFonts w:hint="eastAsia" w:cs="Times New Roman" w:asciiTheme="minorEastAsia" w:hAnsiTheme="minorEastAsia" w:eastAsiaTheme="minorEastAsia"/>
          <w:spacing w:val="20"/>
          <w:w w:val="110"/>
          <w:kern w:val="10"/>
          <w:sz w:val="23"/>
          <w:szCs w:val="23"/>
          <w:highlight w:val="none"/>
          <w:lang w:eastAsia="zh-CN"/>
        </w:rPr>
        <w:t>）</w:t>
      </w:r>
      <w:r>
        <w:rPr>
          <w:rFonts w:hint="eastAsia" w:cs="Times New Roman" w:asciiTheme="minorEastAsia" w:hAnsiTheme="minorEastAsia" w:eastAsiaTheme="minorEastAsia"/>
          <w:spacing w:val="20"/>
          <w:w w:val="110"/>
          <w:kern w:val="10"/>
          <w:sz w:val="23"/>
          <w:szCs w:val="23"/>
          <w:highlight w:val="none"/>
        </w:rPr>
        <w:t>。</w:t>
      </w:r>
    </w:p>
    <w:p>
      <w:pPr>
        <w:autoSpaceDE w:val="0"/>
        <w:autoSpaceDN w:val="0"/>
        <w:spacing w:line="360" w:lineRule="auto"/>
        <w:ind w:firstLine="568" w:firstLineChars="200"/>
        <w:jc w:val="left"/>
        <w:rPr>
          <w:rFonts w:hint="eastAsia" w:cs="Times New Roman" w:asciiTheme="minorEastAsia" w:hAnsiTheme="minorEastAsia" w:eastAsiaTheme="minorEastAsia"/>
          <w:spacing w:val="20"/>
          <w:w w:val="110"/>
          <w:kern w:val="10"/>
          <w:sz w:val="23"/>
          <w:szCs w:val="23"/>
          <w:highlight w:val="none"/>
          <w:lang w:val="en-US" w:eastAsia="zh-CN" w:bidi="ar-SA"/>
        </w:rPr>
      </w:pPr>
      <w:r>
        <w:rPr>
          <w:rFonts w:hint="eastAsia" w:cs="Times New Roman" w:asciiTheme="minorEastAsia" w:hAnsiTheme="minorEastAsia" w:eastAsiaTheme="minorEastAsia"/>
          <w:spacing w:val="20"/>
          <w:w w:val="110"/>
          <w:kern w:val="10"/>
          <w:sz w:val="23"/>
          <w:szCs w:val="23"/>
          <w:highlight w:val="none"/>
        </w:rPr>
        <w:t>（</w:t>
      </w:r>
      <w:r>
        <w:rPr>
          <w:rFonts w:hint="eastAsia" w:cs="Times New Roman" w:asciiTheme="minorEastAsia" w:hAnsiTheme="minorEastAsia" w:eastAsiaTheme="minorEastAsia"/>
          <w:spacing w:val="20"/>
          <w:w w:val="110"/>
          <w:kern w:val="10"/>
          <w:sz w:val="23"/>
          <w:szCs w:val="23"/>
          <w:highlight w:val="none"/>
          <w:lang w:val="en-US" w:eastAsia="zh-CN"/>
        </w:rPr>
        <w:t>九</w:t>
      </w:r>
      <w:r>
        <w:rPr>
          <w:rFonts w:hint="eastAsia" w:cs="Times New Roman" w:asciiTheme="minorEastAsia" w:hAnsiTheme="minorEastAsia" w:eastAsiaTheme="minorEastAsia"/>
          <w:spacing w:val="20"/>
          <w:w w:val="110"/>
          <w:kern w:val="10"/>
          <w:sz w:val="23"/>
          <w:szCs w:val="23"/>
          <w:highlight w:val="none"/>
        </w:rPr>
        <w:t>）本公告出让宗地项目中的安居型商品房</w:t>
      </w:r>
      <w:r>
        <w:rPr>
          <w:rFonts w:hint="eastAsia" w:cs="Times New Roman" w:asciiTheme="minorEastAsia" w:hAnsiTheme="minorEastAsia"/>
          <w:spacing w:val="20"/>
          <w:w w:val="110"/>
          <w:kern w:val="10"/>
          <w:sz w:val="23"/>
          <w:szCs w:val="23"/>
          <w:highlight w:val="none"/>
          <w:lang w:val="en-US" w:eastAsia="zh-CN"/>
        </w:rPr>
        <w:t>及</w:t>
      </w:r>
      <w:r>
        <w:rPr>
          <w:rFonts w:hint="eastAsia" w:cs="Times New Roman" w:asciiTheme="minorEastAsia" w:hAnsiTheme="minorEastAsia" w:eastAsiaTheme="minorEastAsia"/>
          <w:spacing w:val="20"/>
          <w:w w:val="110"/>
          <w:kern w:val="10"/>
          <w:sz w:val="23"/>
          <w:szCs w:val="23"/>
          <w:highlight w:val="none"/>
          <w:lang w:val="en-US" w:eastAsia="zh-CN" w:bidi="ar-SA"/>
        </w:rPr>
        <w:t>安置用房</w:t>
      </w:r>
      <w:r>
        <w:rPr>
          <w:rFonts w:hint="eastAsia" w:cs="Times New Roman" w:asciiTheme="minorEastAsia" w:hAnsiTheme="minorEastAsia" w:eastAsiaTheme="minorEastAsia"/>
          <w:spacing w:val="20"/>
          <w:w w:val="110"/>
          <w:kern w:val="10"/>
          <w:sz w:val="23"/>
          <w:szCs w:val="23"/>
          <w:highlight w:val="none"/>
        </w:rPr>
        <w:t>由</w:t>
      </w:r>
      <w:r>
        <w:rPr>
          <w:rFonts w:hint="eastAsia" w:cs="Times New Roman" w:asciiTheme="minorEastAsia" w:hAnsiTheme="minorEastAsia"/>
          <w:spacing w:val="20"/>
          <w:w w:val="110"/>
          <w:kern w:val="10"/>
          <w:sz w:val="23"/>
          <w:szCs w:val="23"/>
          <w:highlight w:val="none"/>
          <w:lang w:val="en-US" w:eastAsia="zh-CN"/>
        </w:rPr>
        <w:t>深圳市</w:t>
      </w:r>
      <w:r>
        <w:rPr>
          <w:rFonts w:hint="eastAsia" w:cs="Times New Roman" w:asciiTheme="minorEastAsia" w:hAnsiTheme="minorEastAsia" w:eastAsiaTheme="minorEastAsia"/>
          <w:spacing w:val="20"/>
          <w:w w:val="110"/>
          <w:kern w:val="10"/>
          <w:sz w:val="23"/>
          <w:szCs w:val="23"/>
          <w:highlight w:val="none"/>
        </w:rPr>
        <w:t>深汕特别合作区住房建设和水务局</w:t>
      </w:r>
      <w:r>
        <w:rPr>
          <w:rFonts w:hint="eastAsia" w:cs="Times New Roman" w:asciiTheme="minorEastAsia" w:hAnsiTheme="minorEastAsia" w:eastAsiaTheme="minorEastAsia"/>
          <w:spacing w:val="20"/>
          <w:w w:val="110"/>
          <w:kern w:val="10"/>
          <w:sz w:val="23"/>
          <w:szCs w:val="23"/>
          <w:highlight w:val="none"/>
          <w:lang w:eastAsia="zh-CN"/>
        </w:rPr>
        <w:t>（</w:t>
      </w:r>
      <w:r>
        <w:rPr>
          <w:rFonts w:hint="eastAsia" w:cs="Times New Roman" w:asciiTheme="minorEastAsia" w:hAnsiTheme="minorEastAsia" w:eastAsiaTheme="minorEastAsia"/>
          <w:spacing w:val="20"/>
          <w:w w:val="110"/>
          <w:kern w:val="10"/>
          <w:sz w:val="23"/>
          <w:szCs w:val="23"/>
          <w:highlight w:val="none"/>
          <w:lang w:val="en-US" w:eastAsia="zh-CN"/>
        </w:rPr>
        <w:t>以下简称区住建水务局)</w:t>
      </w:r>
      <w:r>
        <w:rPr>
          <w:rFonts w:hint="eastAsia" w:cs="Times New Roman" w:asciiTheme="minorEastAsia" w:hAnsiTheme="minorEastAsia" w:eastAsiaTheme="minorEastAsia"/>
          <w:spacing w:val="20"/>
          <w:w w:val="110"/>
          <w:kern w:val="10"/>
          <w:sz w:val="23"/>
          <w:szCs w:val="23"/>
          <w:highlight w:val="none"/>
        </w:rPr>
        <w:t>负责监管</w:t>
      </w:r>
      <w:r>
        <w:rPr>
          <w:rFonts w:hint="eastAsia" w:cs="Times New Roman" w:asciiTheme="minorEastAsia" w:hAnsiTheme="minorEastAsia"/>
          <w:spacing w:val="20"/>
          <w:w w:val="110"/>
          <w:kern w:val="10"/>
          <w:sz w:val="23"/>
          <w:szCs w:val="23"/>
          <w:highlight w:val="none"/>
          <w:lang w:val="en-US" w:eastAsia="zh-CN" w:bidi="ar-SA"/>
        </w:rPr>
        <w:t>。</w:t>
      </w:r>
      <w:r>
        <w:rPr>
          <w:rFonts w:hint="eastAsia" w:cs="Times New Roman" w:asciiTheme="minorEastAsia" w:hAnsiTheme="minorEastAsia" w:eastAsiaTheme="minorEastAsia"/>
          <w:spacing w:val="20"/>
          <w:w w:val="110"/>
          <w:kern w:val="10"/>
          <w:sz w:val="23"/>
          <w:szCs w:val="23"/>
          <w:highlight w:val="none"/>
        </w:rPr>
        <w:t>竞得</w:t>
      </w:r>
      <w:r>
        <w:rPr>
          <w:rFonts w:hint="eastAsia" w:cs="Times New Roman" w:asciiTheme="minorEastAsia" w:hAnsiTheme="minorEastAsia" w:eastAsiaTheme="minorEastAsia"/>
          <w:spacing w:val="20"/>
          <w:w w:val="110"/>
          <w:kern w:val="10"/>
          <w:sz w:val="23"/>
          <w:szCs w:val="23"/>
          <w:highlight w:val="none"/>
          <w:lang w:val="en-US" w:eastAsia="zh-CN" w:bidi="ar-SA"/>
        </w:rPr>
        <w:t>人须与区住建水务局</w:t>
      </w:r>
      <w:r>
        <w:rPr>
          <w:rFonts w:hint="eastAsia" w:cs="Times New Roman" w:asciiTheme="minorEastAsia" w:hAnsiTheme="minorEastAsia"/>
          <w:spacing w:val="20"/>
          <w:w w:val="110"/>
          <w:kern w:val="10"/>
          <w:sz w:val="23"/>
          <w:szCs w:val="23"/>
          <w:highlight w:val="none"/>
          <w:lang w:val="en-US" w:eastAsia="zh-CN" w:bidi="ar-SA"/>
        </w:rPr>
        <w:t>分别</w:t>
      </w:r>
      <w:r>
        <w:rPr>
          <w:rFonts w:hint="eastAsia" w:cs="Times New Roman" w:asciiTheme="minorEastAsia" w:hAnsiTheme="minorEastAsia" w:eastAsiaTheme="minorEastAsia"/>
          <w:spacing w:val="20"/>
          <w:w w:val="110"/>
          <w:kern w:val="10"/>
          <w:sz w:val="23"/>
          <w:szCs w:val="23"/>
          <w:highlight w:val="none"/>
          <w:lang w:val="en-US" w:eastAsia="zh-CN" w:bidi="ar-SA"/>
        </w:rPr>
        <w:t>就安居型商品住房、安置用房建设管理事宜签订</w:t>
      </w:r>
      <w:r>
        <w:rPr>
          <w:rFonts w:hint="eastAsia" w:cs="Times New Roman" w:asciiTheme="minorEastAsia" w:hAnsiTheme="minorEastAsia"/>
          <w:spacing w:val="20"/>
          <w:w w:val="110"/>
          <w:kern w:val="10"/>
          <w:sz w:val="23"/>
          <w:szCs w:val="23"/>
          <w:highlight w:val="none"/>
          <w:lang w:val="en-US" w:eastAsia="zh-CN" w:bidi="ar-SA"/>
        </w:rPr>
        <w:t>《H2022-0003宗地住房建设和管理协议书</w:t>
      </w:r>
      <w:r>
        <w:rPr>
          <w:rFonts w:hint="eastAsia" w:cs="Times New Roman" w:asciiTheme="minorEastAsia" w:hAnsiTheme="minorEastAsia" w:eastAsiaTheme="minorEastAsia"/>
          <w:spacing w:val="20"/>
          <w:w w:val="110"/>
          <w:kern w:val="10"/>
          <w:sz w:val="23"/>
          <w:szCs w:val="23"/>
          <w:highlight w:val="none"/>
          <w:lang w:val="en-US" w:eastAsia="zh-CN" w:bidi="ar-SA"/>
        </w:rPr>
        <w:t>》</w:t>
      </w:r>
      <w:r>
        <w:rPr>
          <w:rFonts w:hint="eastAsia" w:cs="Times New Roman" w:asciiTheme="minorEastAsia" w:hAnsiTheme="minorEastAsia"/>
          <w:spacing w:val="20"/>
          <w:w w:val="110"/>
          <w:kern w:val="10"/>
          <w:sz w:val="23"/>
          <w:szCs w:val="23"/>
          <w:highlight w:val="none"/>
          <w:lang w:val="en-US" w:eastAsia="zh-CN" w:bidi="ar-SA"/>
        </w:rPr>
        <w:t>。</w:t>
      </w:r>
    </w:p>
    <w:p>
      <w:pPr>
        <w:tabs>
          <w:tab w:val="left" w:pos="8460"/>
        </w:tabs>
        <w:spacing w:line="480" w:lineRule="exact"/>
        <w:ind w:firstLine="566" w:firstLineChars="199"/>
        <w:rPr>
          <w:rFonts w:hint="eastAsia" w:cs="Times New Roman" w:asciiTheme="minorEastAsia" w:hAnsiTheme="minorEastAsia"/>
          <w:spacing w:val="20"/>
          <w:w w:val="110"/>
          <w:kern w:val="10"/>
          <w:sz w:val="23"/>
          <w:szCs w:val="23"/>
          <w:highlight w:val="none"/>
          <w:lang w:val="en-US" w:eastAsia="zh-CN"/>
        </w:rPr>
      </w:pPr>
      <w:r>
        <w:rPr>
          <w:rFonts w:hint="eastAsia" w:cs="Times New Roman" w:asciiTheme="minorEastAsia" w:hAnsiTheme="minorEastAsia"/>
          <w:spacing w:val="20"/>
          <w:w w:val="110"/>
          <w:kern w:val="10"/>
          <w:sz w:val="23"/>
          <w:szCs w:val="23"/>
          <w:highlight w:val="none"/>
        </w:rPr>
        <w:t>（十）本公告出让宗地</w:t>
      </w:r>
      <w:r>
        <w:rPr>
          <w:rFonts w:hint="eastAsia" w:cs="Times New Roman" w:asciiTheme="minorEastAsia" w:hAnsiTheme="minorEastAsia"/>
          <w:spacing w:val="20"/>
          <w:w w:val="110"/>
          <w:kern w:val="10"/>
          <w:sz w:val="23"/>
          <w:szCs w:val="23"/>
          <w:highlight w:val="none"/>
          <w:lang w:val="en-US" w:eastAsia="zh-CN"/>
        </w:rPr>
        <w:t>项目建成后：</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宗地规划配建的物业服务用房归全体业主所有，按照《深圳经济特区物业管理条例》的有关规定执行；商业可分割转让；安居型商品住房105781平方米，该部分产权归竞得人，由合作区住房保障部门负责监管，出售的安居型住房在一定年限内实行封闭流转，按照安居型商品住房管理办法有关规定执行；安置用房44210平方米，产权归政府所有，由区管委会按6830元/平方米（不含室内装修价格）回购并指定单位接收，由区住建水务局负责监管。</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（十</w:t>
      </w:r>
      <w:r>
        <w:rPr>
          <w:rFonts w:hint="eastAsia" w:cs="Times New Roman" w:asciiTheme="minorEastAsia" w:hAnsiTheme="minorEastAsia"/>
          <w:spacing w:val="20"/>
          <w:w w:val="110"/>
          <w:kern w:val="10"/>
          <w:sz w:val="23"/>
          <w:szCs w:val="23"/>
          <w:highlight w:val="none"/>
          <w:lang w:val="en-US" w:eastAsia="zh-CN"/>
        </w:rPr>
        <w:t>一</w:t>
      </w:r>
      <w:r>
        <w:rPr>
          <w:rFonts w:hint="eastAsia" w:cs="Times New Roman" w:asciiTheme="minorEastAsia" w:hAnsiTheme="minorEastAsia"/>
          <w:spacing w:val="20"/>
          <w:w w:val="110"/>
          <w:kern w:val="10"/>
          <w:sz w:val="23"/>
          <w:szCs w:val="23"/>
          <w:highlight w:val="none"/>
        </w:rPr>
        <w:t>）本公告出让宗地具体产权要求及其他事项，以《出让合同》为准，涉及的公共配套设施产权按相关规定和约定移交；安居型商品房</w:t>
      </w:r>
      <w:r>
        <w:rPr>
          <w:rFonts w:hint="eastAsia" w:cs="Times New Roman" w:asciiTheme="minorEastAsia" w:hAnsiTheme="minorEastAsia"/>
          <w:spacing w:val="20"/>
          <w:w w:val="110"/>
          <w:kern w:val="10"/>
          <w:sz w:val="23"/>
          <w:szCs w:val="23"/>
          <w:highlight w:val="none"/>
          <w:lang w:eastAsia="zh-CN"/>
        </w:rPr>
        <w:t>、</w:t>
      </w:r>
      <w:r>
        <w:rPr>
          <w:rFonts w:hint="eastAsia" w:cs="Times New Roman" w:asciiTheme="minorEastAsia" w:hAnsiTheme="minorEastAsia" w:eastAsiaTheme="minorEastAsia"/>
          <w:spacing w:val="20"/>
          <w:w w:val="110"/>
          <w:kern w:val="10"/>
          <w:sz w:val="23"/>
          <w:szCs w:val="23"/>
          <w:highlight w:val="none"/>
          <w:lang w:val="en-US" w:eastAsia="zh-CN" w:bidi="ar-SA"/>
        </w:rPr>
        <w:t>安置用房</w:t>
      </w:r>
      <w:r>
        <w:rPr>
          <w:rFonts w:hint="eastAsia" w:cs="Times New Roman" w:asciiTheme="minorEastAsia" w:hAnsiTheme="minorEastAsia"/>
          <w:spacing w:val="20"/>
          <w:w w:val="110"/>
          <w:kern w:val="10"/>
          <w:sz w:val="23"/>
          <w:szCs w:val="23"/>
          <w:highlight w:val="none"/>
        </w:rPr>
        <w:t>涉及的建设要求、用途和产权限制、经营要求等分别以宗地</w:t>
      </w:r>
      <w:r>
        <w:rPr>
          <w:rFonts w:hint="eastAsia" w:cs="Times New Roman" w:asciiTheme="minorEastAsia" w:hAnsiTheme="minorEastAsia"/>
          <w:spacing w:val="20"/>
          <w:w w:val="110"/>
          <w:kern w:val="10"/>
          <w:sz w:val="23"/>
          <w:szCs w:val="23"/>
          <w:highlight w:val="none"/>
          <w:lang w:val="en-US" w:eastAsia="zh-CN"/>
        </w:rPr>
        <w:t>的</w:t>
      </w:r>
      <w:r>
        <w:rPr>
          <w:rFonts w:hint="eastAsia" w:cs="Times New Roman" w:asciiTheme="minorEastAsia" w:hAnsiTheme="minorEastAsia"/>
          <w:spacing w:val="20"/>
          <w:w w:val="110"/>
          <w:kern w:val="10"/>
          <w:sz w:val="23"/>
          <w:szCs w:val="23"/>
          <w:highlight w:val="none"/>
        </w:rPr>
        <w:t>《</w:t>
      </w:r>
      <w:r>
        <w:rPr>
          <w:rFonts w:hint="eastAsia" w:cs="Times New Roman" w:asciiTheme="minorEastAsia" w:hAnsiTheme="minorEastAsia"/>
          <w:spacing w:val="20"/>
          <w:w w:val="110"/>
          <w:kern w:val="10"/>
          <w:sz w:val="23"/>
          <w:szCs w:val="23"/>
          <w:highlight w:val="none"/>
          <w:lang w:eastAsia="zh-CN"/>
        </w:rPr>
        <w:t>H2022-0003宗地住房建设和管理协议书</w:t>
      </w:r>
      <w:r>
        <w:rPr>
          <w:rFonts w:hint="eastAsia" w:cs="Times New Roman" w:asciiTheme="minorEastAsia" w:hAnsiTheme="minorEastAsia"/>
          <w:spacing w:val="20"/>
          <w:w w:val="110"/>
          <w:kern w:val="10"/>
          <w:sz w:val="23"/>
          <w:szCs w:val="23"/>
          <w:highlight w:val="none"/>
        </w:rPr>
        <w:t>》为准。</w:t>
      </w:r>
    </w:p>
    <w:p>
      <w:pPr>
        <w:spacing w:line="480" w:lineRule="exact"/>
        <w:ind w:firstLine="568" w:firstLineChars="200"/>
        <w:rPr>
          <w:rFonts w:cs="Times New Roman" w:asciiTheme="minorEastAsia" w:hAnsiTheme="minorEastAsia"/>
          <w:b/>
          <w:spacing w:val="20"/>
          <w:w w:val="110"/>
          <w:kern w:val="10"/>
          <w:sz w:val="23"/>
          <w:szCs w:val="23"/>
          <w:highlight w:val="none"/>
        </w:rPr>
      </w:pPr>
      <w:r>
        <w:rPr>
          <w:rFonts w:hint="eastAsia" w:cs="Times New Roman" w:asciiTheme="minorEastAsia" w:hAnsiTheme="minorEastAsia"/>
          <w:b/>
          <w:spacing w:val="20"/>
          <w:w w:val="110"/>
          <w:kern w:val="10"/>
          <w:sz w:val="23"/>
          <w:szCs w:val="23"/>
          <w:highlight w:val="none"/>
        </w:rPr>
        <w:t>三、竞买申请人主体资格要求</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lang w:val="en-US" w:eastAsia="zh-CN"/>
        </w:rPr>
      </w:pPr>
      <w:r>
        <w:rPr>
          <w:rFonts w:hint="eastAsia" w:cs="Times New Roman" w:asciiTheme="minorEastAsia" w:hAnsiTheme="minorEastAsia"/>
          <w:spacing w:val="20"/>
          <w:w w:val="110"/>
          <w:kern w:val="10"/>
          <w:sz w:val="23"/>
          <w:szCs w:val="23"/>
          <w:highlight w:val="none"/>
          <w:lang w:val="en-US" w:eastAsia="zh-CN"/>
        </w:rPr>
        <w:t>具有房地产开发资质的中华人民共和国境内法人企业，均可独立或联合竞买本公告出让宗地（联合竞买的，联合各方均应具备前述资格）。</w:t>
      </w:r>
    </w:p>
    <w:p>
      <w:pPr>
        <w:spacing w:line="480" w:lineRule="exact"/>
        <w:ind w:firstLine="568" w:firstLineChars="200"/>
        <w:rPr>
          <w:rFonts w:cs="Times New Roman" w:asciiTheme="minorEastAsia" w:hAnsiTheme="minorEastAsia"/>
          <w:b/>
          <w:spacing w:val="20"/>
          <w:w w:val="110"/>
          <w:kern w:val="10"/>
          <w:sz w:val="23"/>
          <w:szCs w:val="23"/>
          <w:highlight w:val="none"/>
        </w:rPr>
      </w:pPr>
      <w:r>
        <w:rPr>
          <w:rFonts w:hint="eastAsia" w:cs="Times New Roman" w:asciiTheme="minorEastAsia" w:hAnsiTheme="minorEastAsia"/>
          <w:b/>
          <w:spacing w:val="20"/>
          <w:w w:val="110"/>
          <w:kern w:val="10"/>
          <w:sz w:val="23"/>
          <w:szCs w:val="23"/>
          <w:highlight w:val="none"/>
        </w:rPr>
        <w:t>四、竞买申请程序</w:t>
      </w:r>
    </w:p>
    <w:p>
      <w:pPr>
        <w:tabs>
          <w:tab w:val="left" w:pos="8460"/>
        </w:tabs>
        <w:spacing w:line="480" w:lineRule="exact"/>
        <w:ind w:firstLine="4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（一）网上注册</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竞买申请人应登录深圳土地矿业权交易平台（https://td.szggzy.com）进行网上注册。网上注册的程序和要求详见深圳土地矿业权交易平台网站中的操作指引。</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w:t>
      </w:r>
      <w:r>
        <w:rPr>
          <w:rFonts w:hint="eastAsia" w:cs="Times New Roman" w:asciiTheme="minorEastAsia" w:hAnsiTheme="minorEastAsia"/>
          <w:spacing w:val="20"/>
          <w:w w:val="110"/>
          <w:kern w:val="10"/>
          <w:sz w:val="23"/>
          <w:szCs w:val="23"/>
          <w:highlight w:val="none"/>
          <w:lang w:val="en-US" w:eastAsia="zh-CN"/>
        </w:rPr>
        <w:t>二</w:t>
      </w:r>
      <w:r>
        <w:rPr>
          <w:rFonts w:hint="eastAsia" w:cs="Times New Roman" w:asciiTheme="minorEastAsia" w:hAnsiTheme="minorEastAsia"/>
          <w:spacing w:val="20"/>
          <w:w w:val="110"/>
          <w:kern w:val="10"/>
          <w:sz w:val="23"/>
          <w:szCs w:val="23"/>
          <w:highlight w:val="none"/>
        </w:rPr>
        <w:t>）申请竞买</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竞买申请人网上注册后，应按照操作指引有关要求，选择意向竞买的宗地，提出竞买申请。</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w:t>
      </w:r>
      <w:r>
        <w:rPr>
          <w:rFonts w:hint="eastAsia" w:cs="Times New Roman" w:asciiTheme="minorEastAsia" w:hAnsiTheme="minorEastAsia"/>
          <w:spacing w:val="20"/>
          <w:w w:val="110"/>
          <w:kern w:val="10"/>
          <w:sz w:val="23"/>
          <w:szCs w:val="23"/>
          <w:highlight w:val="none"/>
          <w:lang w:val="en-US" w:eastAsia="zh-CN"/>
        </w:rPr>
        <w:t>三</w:t>
      </w:r>
      <w:r>
        <w:rPr>
          <w:rFonts w:hint="eastAsia" w:cs="Times New Roman" w:asciiTheme="minorEastAsia" w:hAnsiTheme="minorEastAsia"/>
          <w:spacing w:val="20"/>
          <w:w w:val="110"/>
          <w:kern w:val="10"/>
          <w:sz w:val="23"/>
          <w:szCs w:val="23"/>
          <w:highlight w:val="none"/>
        </w:rPr>
        <w:t>）交纳竞买（投标）保证金</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竞买申请人提出竞买申请后，按入账申请单提示交纳竞买（投标）保证金，竞买（投标）保证金不得由其他单位或个人代交。具体详见操作指引。</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竞买申请人可通过深圳土地矿业权交易平台及时查询竞买（投标）保证金到账情况。竞买（投标）保证金的到账截止时间为2022年</w:t>
      </w:r>
      <w:r>
        <w:rPr>
          <w:rFonts w:hint="eastAsia" w:cs="Times New Roman" w:asciiTheme="minorEastAsia" w:hAnsiTheme="minorEastAsia"/>
          <w:spacing w:val="20"/>
          <w:w w:val="110"/>
          <w:kern w:val="10"/>
          <w:sz w:val="23"/>
          <w:szCs w:val="23"/>
          <w:highlight w:val="none"/>
          <w:lang w:val="en-US" w:eastAsia="zh-CN"/>
        </w:rPr>
        <w:t>11</w:t>
      </w:r>
      <w:r>
        <w:rPr>
          <w:rFonts w:hint="eastAsia" w:cs="Times New Roman" w:asciiTheme="minorEastAsia" w:hAnsiTheme="minorEastAsia"/>
          <w:spacing w:val="20"/>
          <w:w w:val="110"/>
          <w:kern w:val="10"/>
          <w:sz w:val="23"/>
          <w:szCs w:val="23"/>
          <w:highlight w:val="none"/>
        </w:rPr>
        <w:t>月</w:t>
      </w:r>
      <w:r>
        <w:rPr>
          <w:rFonts w:hint="eastAsia" w:cs="Times New Roman" w:asciiTheme="minorEastAsia" w:hAnsiTheme="minorEastAsia"/>
          <w:spacing w:val="20"/>
          <w:w w:val="110"/>
          <w:kern w:val="10"/>
          <w:sz w:val="23"/>
          <w:szCs w:val="23"/>
          <w:highlight w:val="none"/>
          <w:lang w:val="en-US" w:eastAsia="zh-CN"/>
        </w:rPr>
        <w:t>23</w:t>
      </w:r>
      <w:r>
        <w:rPr>
          <w:rFonts w:hint="eastAsia" w:cs="Times New Roman" w:asciiTheme="minorEastAsia" w:hAnsiTheme="minorEastAsia"/>
          <w:spacing w:val="20"/>
          <w:w w:val="110"/>
          <w:kern w:val="10"/>
          <w:sz w:val="23"/>
          <w:szCs w:val="23"/>
          <w:highlight w:val="none"/>
        </w:rPr>
        <w:t>日1</w:t>
      </w:r>
      <w:r>
        <w:rPr>
          <w:rFonts w:cs="Times New Roman" w:asciiTheme="minorEastAsia" w:hAnsiTheme="minorEastAsia"/>
          <w:spacing w:val="20"/>
          <w:w w:val="110"/>
          <w:kern w:val="10"/>
          <w:sz w:val="23"/>
          <w:szCs w:val="23"/>
          <w:highlight w:val="none"/>
        </w:rPr>
        <w:t>5</w:t>
      </w:r>
      <w:r>
        <w:rPr>
          <w:rFonts w:hint="eastAsia" w:cs="Times New Roman" w:asciiTheme="minorEastAsia" w:hAnsiTheme="minorEastAsia"/>
          <w:spacing w:val="20"/>
          <w:w w:val="110"/>
          <w:kern w:val="10"/>
          <w:sz w:val="23"/>
          <w:szCs w:val="23"/>
          <w:highlight w:val="none"/>
        </w:rPr>
        <w:t>时整（以深圳土地矿业权交易平台网站显示的银行到账时间为准）。</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w:t>
      </w:r>
      <w:r>
        <w:rPr>
          <w:rFonts w:hint="eastAsia" w:cs="Times New Roman" w:asciiTheme="minorEastAsia" w:hAnsiTheme="minorEastAsia"/>
          <w:spacing w:val="20"/>
          <w:w w:val="110"/>
          <w:kern w:val="10"/>
          <w:sz w:val="23"/>
          <w:szCs w:val="23"/>
          <w:highlight w:val="none"/>
          <w:lang w:val="en-US" w:eastAsia="zh-CN"/>
        </w:rPr>
        <w:t>四</w:t>
      </w:r>
      <w:r>
        <w:rPr>
          <w:rFonts w:hint="eastAsia" w:cs="Times New Roman" w:asciiTheme="minorEastAsia" w:hAnsiTheme="minorEastAsia"/>
          <w:spacing w:val="20"/>
          <w:w w:val="110"/>
          <w:kern w:val="10"/>
          <w:sz w:val="23"/>
          <w:szCs w:val="23"/>
          <w:highlight w:val="none"/>
        </w:rPr>
        <w:t>）申请确认竞买资格</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竞买申请人按时足额交纳竞买（投标）保证金后，可登录深圳土地矿业权交易平台网站查看《竞买申请受理回执》并打印该回执，在2</w:t>
      </w:r>
      <w:r>
        <w:rPr>
          <w:rFonts w:cs="Times New Roman" w:asciiTheme="minorEastAsia" w:hAnsiTheme="minorEastAsia"/>
          <w:spacing w:val="20"/>
          <w:w w:val="110"/>
          <w:kern w:val="10"/>
          <w:sz w:val="23"/>
          <w:szCs w:val="23"/>
          <w:highlight w:val="none"/>
        </w:rPr>
        <w:t>022</w:t>
      </w:r>
      <w:r>
        <w:rPr>
          <w:rFonts w:hint="eastAsia" w:cs="Times New Roman" w:asciiTheme="minorEastAsia" w:hAnsiTheme="minorEastAsia"/>
          <w:spacing w:val="20"/>
          <w:w w:val="110"/>
          <w:kern w:val="10"/>
          <w:sz w:val="23"/>
          <w:szCs w:val="23"/>
          <w:highlight w:val="none"/>
        </w:rPr>
        <w:t>年</w:t>
      </w:r>
      <w:r>
        <w:rPr>
          <w:rFonts w:hint="eastAsia" w:cs="Times New Roman" w:asciiTheme="minorEastAsia" w:hAnsiTheme="minorEastAsia"/>
          <w:spacing w:val="20"/>
          <w:w w:val="110"/>
          <w:kern w:val="10"/>
          <w:sz w:val="23"/>
          <w:szCs w:val="23"/>
          <w:highlight w:val="none"/>
          <w:lang w:val="en-US" w:eastAsia="zh-CN"/>
        </w:rPr>
        <w:t>11</w:t>
      </w:r>
      <w:r>
        <w:rPr>
          <w:rFonts w:hint="eastAsia" w:cs="Times New Roman" w:asciiTheme="minorEastAsia" w:hAnsiTheme="minorEastAsia"/>
          <w:spacing w:val="20"/>
          <w:w w:val="110"/>
          <w:kern w:val="10"/>
          <w:sz w:val="23"/>
          <w:szCs w:val="23"/>
          <w:highlight w:val="none"/>
        </w:rPr>
        <w:t>月</w:t>
      </w:r>
      <w:r>
        <w:rPr>
          <w:rFonts w:hint="eastAsia" w:cs="Times New Roman" w:asciiTheme="minorEastAsia" w:hAnsiTheme="minorEastAsia"/>
          <w:spacing w:val="20"/>
          <w:w w:val="110"/>
          <w:kern w:val="10"/>
          <w:sz w:val="23"/>
          <w:szCs w:val="23"/>
          <w:highlight w:val="none"/>
          <w:lang w:val="en-US" w:eastAsia="zh-CN"/>
        </w:rPr>
        <w:t>25</w:t>
      </w:r>
      <w:r>
        <w:rPr>
          <w:rFonts w:hint="eastAsia" w:cs="Times New Roman" w:asciiTheme="minorEastAsia" w:hAnsiTheme="minorEastAsia"/>
          <w:spacing w:val="20"/>
          <w:w w:val="110"/>
          <w:kern w:val="10"/>
          <w:sz w:val="23"/>
          <w:szCs w:val="23"/>
          <w:highlight w:val="none"/>
        </w:rPr>
        <w:t>日1</w:t>
      </w:r>
      <w:r>
        <w:rPr>
          <w:rFonts w:cs="Times New Roman" w:asciiTheme="minorEastAsia" w:hAnsiTheme="minorEastAsia"/>
          <w:spacing w:val="20"/>
          <w:w w:val="110"/>
          <w:kern w:val="10"/>
          <w:sz w:val="23"/>
          <w:szCs w:val="23"/>
          <w:highlight w:val="none"/>
        </w:rPr>
        <w:t>4</w:t>
      </w:r>
      <w:r>
        <w:rPr>
          <w:rFonts w:hint="eastAsia" w:cs="Times New Roman" w:asciiTheme="minorEastAsia" w:hAnsiTheme="minorEastAsia"/>
          <w:spacing w:val="20"/>
          <w:w w:val="110"/>
          <w:kern w:val="10"/>
          <w:sz w:val="23"/>
          <w:szCs w:val="23"/>
          <w:highlight w:val="none"/>
        </w:rPr>
        <w:t>时30分前（工作日），到交易大厦3楼土地业务受理窗口提交书面材料，申请确认竞买资格。申请确认竞买资格须提交的材料详见《深圳市土地使用权挂牌出让竞买须知》（以下简称《竞买须知》）。</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竞买申请人申请确认竞买资格时应提交《关于竞买人关联性的承诺函》，承诺按公告中对竞买人的规定要求参加宗地竞买；提交能体现竞买人所有涉及直接控股、间接控股的股东结构关系的树形图。具体要求详见《深圳市国有建设用地使用权出让竞买人关联性审查操作指引》。</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申请确认竞买资格时应提交《关于土地购置资金来源的承诺函》，承诺其土地购置资金来源不属于股东违规提供的借款、转贷、担保或其他相关融资便利等；不属于金融机构各类融资资金；不属于房地产产业链上下游关联企业借款或预付款；不属于其他自然人、法人、非法人组织的借款；不属于竞买企业控制的非房地产企业融资等。其他须提交的材料以《竞买须知》为准。</w:t>
      </w:r>
    </w:p>
    <w:p>
      <w:pPr>
        <w:spacing w:line="480" w:lineRule="exact"/>
        <w:ind w:firstLine="568" w:firstLineChars="200"/>
        <w:rPr>
          <w:rFonts w:cs="Times New Roman" w:asciiTheme="minorEastAsia" w:hAnsiTheme="minorEastAsia"/>
          <w:b/>
          <w:spacing w:val="20"/>
          <w:w w:val="110"/>
          <w:kern w:val="10"/>
          <w:sz w:val="23"/>
          <w:szCs w:val="23"/>
          <w:highlight w:val="none"/>
        </w:rPr>
      </w:pPr>
      <w:r>
        <w:rPr>
          <w:rFonts w:hint="eastAsia" w:cs="Times New Roman" w:asciiTheme="minorEastAsia" w:hAnsiTheme="minorEastAsia"/>
          <w:b/>
          <w:spacing w:val="20"/>
          <w:w w:val="110"/>
          <w:kern w:val="10"/>
          <w:sz w:val="23"/>
          <w:szCs w:val="23"/>
          <w:highlight w:val="none"/>
        </w:rPr>
        <w:t>五、确定竞得人的办法</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深圳土地矿业权交易平台在挂牌期内（工作日）接受竞买人的电脑报价，电脑报价截止时间为2022年</w:t>
      </w:r>
      <w:r>
        <w:rPr>
          <w:rFonts w:hint="eastAsia" w:cs="Times New Roman" w:asciiTheme="minorEastAsia" w:hAnsiTheme="minorEastAsia"/>
          <w:spacing w:val="20"/>
          <w:w w:val="110"/>
          <w:kern w:val="10"/>
          <w:sz w:val="23"/>
          <w:szCs w:val="23"/>
          <w:highlight w:val="none"/>
          <w:lang w:val="en-US" w:eastAsia="zh-CN"/>
        </w:rPr>
        <w:t>11</w:t>
      </w:r>
      <w:r>
        <w:rPr>
          <w:rFonts w:hint="eastAsia" w:cs="Times New Roman" w:asciiTheme="minorEastAsia" w:hAnsiTheme="minorEastAsia"/>
          <w:spacing w:val="20"/>
          <w:w w:val="110"/>
          <w:kern w:val="10"/>
          <w:sz w:val="23"/>
          <w:szCs w:val="23"/>
          <w:highlight w:val="none"/>
        </w:rPr>
        <w:t>月</w:t>
      </w:r>
      <w:r>
        <w:rPr>
          <w:rFonts w:hint="eastAsia" w:cs="Times New Roman" w:asciiTheme="minorEastAsia" w:hAnsiTheme="minorEastAsia"/>
          <w:spacing w:val="20"/>
          <w:w w:val="110"/>
          <w:kern w:val="10"/>
          <w:sz w:val="23"/>
          <w:szCs w:val="23"/>
          <w:highlight w:val="none"/>
          <w:lang w:val="en-US" w:eastAsia="zh-CN"/>
        </w:rPr>
        <w:t>25</w:t>
      </w:r>
      <w:r>
        <w:rPr>
          <w:rFonts w:hint="eastAsia" w:cs="Times New Roman" w:asciiTheme="minorEastAsia" w:hAnsiTheme="minorEastAsia"/>
          <w:spacing w:val="20"/>
          <w:w w:val="110"/>
          <w:kern w:val="10"/>
          <w:sz w:val="23"/>
          <w:szCs w:val="23"/>
          <w:highlight w:val="none"/>
        </w:rPr>
        <w:t>日1</w:t>
      </w:r>
      <w:r>
        <w:rPr>
          <w:rFonts w:cs="Times New Roman" w:asciiTheme="minorEastAsia" w:hAnsiTheme="minorEastAsia"/>
          <w:spacing w:val="20"/>
          <w:w w:val="110"/>
          <w:kern w:val="10"/>
          <w:sz w:val="23"/>
          <w:szCs w:val="23"/>
          <w:highlight w:val="none"/>
        </w:rPr>
        <w:t>5</w:t>
      </w:r>
      <w:r>
        <w:rPr>
          <w:rFonts w:hint="eastAsia" w:cs="Times New Roman" w:asciiTheme="minorEastAsia" w:hAnsiTheme="minorEastAsia"/>
          <w:spacing w:val="20"/>
          <w:w w:val="110"/>
          <w:kern w:val="10"/>
          <w:sz w:val="23"/>
          <w:szCs w:val="23"/>
          <w:highlight w:val="none"/>
        </w:rPr>
        <w:t>时整。竞买人如需进行电脑报价的，应到交易大厦3楼使用专用电脑报价终端进行报价，电脑报价的要求详见《竞买须知》。电脑报价截止时，属“1人竞买”的，将根据竞买人的电脑报价情况和《竞买须知》的规定确定竞得人；属“多人竞买”的，将在电脑报价截止时间届满后进入现场竞价程序，</w:t>
      </w:r>
      <w:r>
        <w:rPr>
          <w:rFonts w:hint="eastAsia" w:cs="Times New Roman" w:asciiTheme="minorEastAsia" w:hAnsiTheme="minorEastAsia"/>
          <w:color w:val="000000" w:themeColor="text1"/>
          <w:spacing w:val="20"/>
          <w:w w:val="110"/>
          <w:kern w:val="10"/>
          <w:sz w:val="23"/>
          <w:szCs w:val="23"/>
          <w:highlight w:val="none"/>
          <w14:textFill>
            <w14:solidFill>
              <w14:schemeClr w14:val="tx1"/>
            </w14:solidFill>
          </w14:textFill>
        </w:rPr>
        <w:t>采用向上竞成交地价和竞</w:t>
      </w:r>
      <w:r>
        <w:rPr>
          <w:rFonts w:hint="eastAsia" w:cs="Times New Roman" w:asciiTheme="minorEastAsia" w:hAnsiTheme="minorEastAsia"/>
          <w:color w:val="000000" w:themeColor="text1"/>
          <w:spacing w:val="20"/>
          <w:w w:val="110"/>
          <w:kern w:val="10"/>
          <w:sz w:val="23"/>
          <w:szCs w:val="23"/>
          <w:highlight w:val="none"/>
          <w:lang w:eastAsia="zh-CN"/>
          <w14:textFill>
            <w14:solidFill>
              <w14:schemeClr w14:val="tx1"/>
            </w14:solidFill>
          </w14:textFill>
        </w:rPr>
        <w:t>安居型商品房</w:t>
      </w:r>
      <w:r>
        <w:rPr>
          <w:rFonts w:hint="eastAsia" w:cs="Times New Roman" w:asciiTheme="minorEastAsia" w:hAnsiTheme="minorEastAsia"/>
          <w:color w:val="000000"/>
          <w:spacing w:val="20"/>
          <w:w w:val="110"/>
          <w:kern w:val="10"/>
          <w:sz w:val="23"/>
          <w:szCs w:val="23"/>
          <w:highlight w:val="none"/>
        </w:rPr>
        <w:t>建筑</w:t>
      </w:r>
      <w:r>
        <w:rPr>
          <w:rFonts w:hint="eastAsia" w:cs="Times New Roman" w:asciiTheme="minorEastAsia" w:hAnsiTheme="minorEastAsia"/>
          <w:color w:val="000000" w:themeColor="text1"/>
          <w:spacing w:val="20"/>
          <w:w w:val="110"/>
          <w:kern w:val="10"/>
          <w:sz w:val="23"/>
          <w:szCs w:val="23"/>
          <w:highlight w:val="none"/>
          <w14:textFill>
            <w14:solidFill>
              <w14:schemeClr w14:val="tx1"/>
            </w14:solidFill>
          </w14:textFill>
        </w:rPr>
        <w:t>面积</w:t>
      </w:r>
      <w:r>
        <w:rPr>
          <w:rFonts w:hint="eastAsia" w:cs="Times New Roman" w:asciiTheme="minorEastAsia" w:hAnsiTheme="minorEastAsia"/>
          <w:spacing w:val="20"/>
          <w:w w:val="110"/>
          <w:kern w:val="10"/>
          <w:sz w:val="23"/>
          <w:szCs w:val="23"/>
          <w:highlight w:val="none"/>
        </w:rPr>
        <w:t>（相应扣减普通商品住房建筑面积）</w:t>
      </w:r>
      <w:r>
        <w:rPr>
          <w:rFonts w:hint="eastAsia" w:cs="Times New Roman" w:asciiTheme="minorEastAsia" w:hAnsiTheme="minorEastAsia"/>
          <w:color w:val="000000" w:themeColor="text1"/>
          <w:spacing w:val="20"/>
          <w:w w:val="110"/>
          <w:kern w:val="10"/>
          <w:sz w:val="23"/>
          <w:szCs w:val="23"/>
          <w:highlight w:val="none"/>
          <w14:textFill>
            <w14:solidFill>
              <w14:schemeClr w14:val="tx1"/>
            </w14:solidFill>
          </w14:textFill>
        </w:rPr>
        <w:t>的办法确定竞得人；如达到最高限制建筑面积，通过摇号方式确定竞得人，参与摇号的竞买人需在竞价活动结束后</w:t>
      </w:r>
      <w:r>
        <w:rPr>
          <w:rFonts w:hint="eastAsia" w:cs="Times New Roman" w:asciiTheme="minorEastAsia" w:hAnsiTheme="minorEastAsia"/>
          <w:spacing w:val="20"/>
          <w:w w:val="110"/>
          <w:kern w:val="10"/>
          <w:sz w:val="23"/>
          <w:szCs w:val="23"/>
          <w:highlight w:val="none"/>
        </w:rPr>
        <w:t>当场确认摇号资格。当日现场竞价活动结束后组织现场摇号活动，具体规则以《竞买须知》《深圳市国有建设用地使用权出让现场摇号操作指引》为准。</w:t>
      </w:r>
    </w:p>
    <w:p>
      <w:pPr>
        <w:spacing w:line="480" w:lineRule="exact"/>
        <w:ind w:firstLine="568" w:firstLineChars="200"/>
        <w:rPr>
          <w:rFonts w:cs="Times New Roman" w:asciiTheme="minorEastAsia" w:hAnsiTheme="minorEastAsia"/>
          <w:b/>
          <w:spacing w:val="20"/>
          <w:w w:val="110"/>
          <w:kern w:val="10"/>
          <w:sz w:val="23"/>
          <w:szCs w:val="23"/>
          <w:highlight w:val="none"/>
        </w:rPr>
      </w:pPr>
      <w:r>
        <w:rPr>
          <w:rFonts w:hint="eastAsia" w:cs="Times New Roman" w:asciiTheme="minorEastAsia" w:hAnsiTheme="minorEastAsia"/>
          <w:b/>
          <w:spacing w:val="20"/>
          <w:w w:val="110"/>
          <w:kern w:val="10"/>
          <w:sz w:val="23"/>
          <w:szCs w:val="23"/>
          <w:highlight w:val="none"/>
        </w:rPr>
        <w:t>六、成交与缴纳地价款</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竞得人须在成交后即时签订《成交确认书》，并自签订《成交确认书》次日起5个工作日内一次性付清成交地价款。</w:t>
      </w:r>
    </w:p>
    <w:p>
      <w:pPr>
        <w:spacing w:line="480" w:lineRule="exact"/>
        <w:ind w:firstLine="568" w:firstLineChars="200"/>
        <w:rPr>
          <w:rFonts w:cs="Times New Roman" w:asciiTheme="minorEastAsia" w:hAnsiTheme="minorEastAsia"/>
          <w:b/>
          <w:spacing w:val="20"/>
          <w:w w:val="110"/>
          <w:kern w:val="10"/>
          <w:sz w:val="23"/>
          <w:szCs w:val="23"/>
          <w:highlight w:val="none"/>
        </w:rPr>
      </w:pPr>
      <w:r>
        <w:rPr>
          <w:rFonts w:hint="eastAsia" w:cs="Times New Roman" w:asciiTheme="minorEastAsia" w:hAnsiTheme="minorEastAsia"/>
          <w:b/>
          <w:spacing w:val="20"/>
          <w:w w:val="110"/>
          <w:kern w:val="10"/>
          <w:sz w:val="23"/>
          <w:szCs w:val="23"/>
          <w:highlight w:val="none"/>
        </w:rPr>
        <w:t>七、土地购置资金来源审查</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自缴清全部地价款之日起5个工作日内，竞得人须向市规划和自然资源局提交如下资料:</w:t>
      </w:r>
    </w:p>
    <w:p>
      <w:pPr>
        <w:numPr>
          <w:numId w:val="0"/>
        </w:num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lang w:eastAsia="zh-CN"/>
        </w:rPr>
        <w:t>（</w:t>
      </w:r>
      <w:r>
        <w:rPr>
          <w:rFonts w:hint="eastAsia" w:cs="Times New Roman" w:asciiTheme="minorEastAsia" w:hAnsiTheme="minorEastAsia"/>
          <w:spacing w:val="20"/>
          <w:w w:val="110"/>
          <w:kern w:val="10"/>
          <w:sz w:val="23"/>
          <w:szCs w:val="23"/>
          <w:highlight w:val="none"/>
          <w:lang w:val="en-US" w:eastAsia="zh-CN"/>
        </w:rPr>
        <w:t>一</w:t>
      </w:r>
      <w:r>
        <w:rPr>
          <w:rFonts w:hint="eastAsia" w:cs="Times New Roman" w:asciiTheme="minorEastAsia" w:hAnsiTheme="minorEastAsia"/>
          <w:spacing w:val="20"/>
          <w:w w:val="110"/>
          <w:kern w:val="10"/>
          <w:sz w:val="23"/>
          <w:szCs w:val="23"/>
          <w:highlight w:val="none"/>
          <w:lang w:eastAsia="zh-CN"/>
        </w:rPr>
        <w:t>）</w:t>
      </w:r>
      <w:r>
        <w:rPr>
          <w:rFonts w:hint="eastAsia" w:cs="Times New Roman" w:asciiTheme="minorEastAsia" w:hAnsiTheme="minorEastAsia"/>
          <w:spacing w:val="20"/>
          <w:w w:val="110"/>
          <w:kern w:val="10"/>
          <w:sz w:val="23"/>
          <w:szCs w:val="23"/>
          <w:highlight w:val="none"/>
        </w:rPr>
        <w:t>经境内具有证券期货资格的会计师事务所鉴证的《商品住房用地购置资金来源情况申报表》（以下简称《申报表》，具体详见出让文件）。</w:t>
      </w:r>
    </w:p>
    <w:p>
      <w:pPr>
        <w:pStyle w:val="4"/>
        <w:spacing w:line="480" w:lineRule="exact"/>
        <w:ind w:firstLine="568" w:firstLineChars="200"/>
        <w:rPr>
          <w:rFonts w:hint="eastAsia" w:ascii="宋体" w:hAnsi="宋体"/>
          <w:color w:val="auto"/>
          <w:highlight w:val="none"/>
        </w:rPr>
      </w:pPr>
      <w:r>
        <w:rPr>
          <w:rFonts w:hint="eastAsia" w:ascii="宋体" w:hAnsi="宋体"/>
          <w:color w:val="auto"/>
          <w:highlight w:val="none"/>
        </w:rPr>
        <w:t>属联合竞</w:t>
      </w:r>
      <w:bookmarkStart w:id="0" w:name="_GoBack"/>
      <w:bookmarkEnd w:id="0"/>
      <w:r>
        <w:rPr>
          <w:rFonts w:hint="eastAsia" w:ascii="宋体" w:hAnsi="宋体"/>
          <w:color w:val="auto"/>
          <w:highlight w:val="none"/>
        </w:rPr>
        <w:t>买的，联合竞买主体应分别提交。</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（二）竞得人相关身份证明材料（具体要求参见《竞买须知》）。</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（三）境内具有证券期货资格的会计师事务所出具的《资金审计报告》，具体列明以下内容：</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1、土地竞得主体基本情况，包括控股股东、资金最终关联方基本情况；</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2、承诺并实际核查土地竞得主体提交的《申报表》及附件证明材料；</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3、穿透核查土地竞得主体及控股股东、资金最终关联方的资金来源，明确说明土地竞得主体的实际资金来源（如涉及关联方，要说明最终关联方的资金来源类型）；</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4、针对“土地购置资金来源是否属于企业股东提供的借款、转贷、担保或其他相关融资便利等；是否属于金融机构各类融资资金；是否属于房地产产业链上下游关联企业借款或预付款；是否属于其他自然人、法人、非法人组织的借款；是否属于竞买企业控制的非房地产企业融资等。”作出结论。</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审计报告后附会计师事务所的执业证明、证券期货资格证明等。</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上述资料由深圳土地矿业权交易平台土地业务受理窗口代收后2个工作日内移交深圳市地方金融监督管理局（以下简称市地方金融监管局）进行资金来源审查。</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根据竞得人提供的材料，由市地方金融监管局组织相关监管部门对竞得人土地购置资金来源进行审查，并自收到材料之日起10个工作日内向市规划和自然资源局出具书面审查结果。市规划和自然资源局收到审查结果后应在2个工作日内通知竞得人。</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土地购置资金来源审查未获通过的竞得人，由市规划和自然资源局取消其竞得资格，已交纳的竞买（投标）保证金不予退还，1年内禁止该企业参加我市国有建设用地竞买活动。相关处理结果向社会公开。</w:t>
      </w:r>
    </w:p>
    <w:p>
      <w:pPr>
        <w:spacing w:line="480" w:lineRule="exact"/>
        <w:ind w:firstLine="568" w:firstLineChars="200"/>
        <w:rPr>
          <w:rFonts w:cs="Times New Roman" w:asciiTheme="minorEastAsia" w:hAnsiTheme="minorEastAsia"/>
          <w:b/>
          <w:spacing w:val="20"/>
          <w:w w:val="110"/>
          <w:kern w:val="10"/>
          <w:sz w:val="23"/>
          <w:szCs w:val="23"/>
          <w:highlight w:val="none"/>
        </w:rPr>
      </w:pPr>
      <w:r>
        <w:rPr>
          <w:rFonts w:hint="eastAsia" w:cs="Times New Roman" w:asciiTheme="minorEastAsia" w:hAnsiTheme="minorEastAsia"/>
          <w:b/>
          <w:spacing w:val="20"/>
          <w:w w:val="110"/>
          <w:kern w:val="10"/>
          <w:sz w:val="23"/>
          <w:szCs w:val="23"/>
          <w:highlight w:val="none"/>
        </w:rPr>
        <w:t>八、签订出让合同</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市地方金融监管局出具土地购置资金来源审查通过的批复文件后5个工作日内，竞得人须持批复文件、成交确认书等有关材料分别向相关部门申请签订</w:t>
      </w:r>
      <w:r>
        <w:rPr>
          <w:rFonts w:hint="eastAsia" w:cs="Times New Roman" w:asciiTheme="minorEastAsia" w:hAnsiTheme="minorEastAsia"/>
          <w:spacing w:val="20"/>
          <w:w w:val="110"/>
          <w:kern w:val="10"/>
          <w:sz w:val="23"/>
          <w:szCs w:val="23"/>
          <w:highlight w:val="none"/>
          <w:lang w:val="en-US" w:eastAsia="zh-CN" w:bidi="ar-SA"/>
        </w:rPr>
        <w:t>《H2022-0003宗地住房建设和管理协议书</w:t>
      </w:r>
      <w:r>
        <w:rPr>
          <w:rFonts w:hint="eastAsia" w:cs="Times New Roman" w:asciiTheme="minorEastAsia" w:hAnsiTheme="minorEastAsia" w:eastAsiaTheme="minorEastAsia"/>
          <w:spacing w:val="20"/>
          <w:w w:val="110"/>
          <w:kern w:val="10"/>
          <w:sz w:val="23"/>
          <w:szCs w:val="23"/>
          <w:highlight w:val="none"/>
          <w:lang w:val="en-US" w:eastAsia="zh-CN" w:bidi="ar-SA"/>
        </w:rPr>
        <w:t>》</w:t>
      </w:r>
      <w:r>
        <w:rPr>
          <w:rFonts w:hint="eastAsia" w:cs="Times New Roman" w:asciiTheme="minorEastAsia" w:hAnsiTheme="minorEastAsia"/>
          <w:spacing w:val="20"/>
          <w:w w:val="110"/>
          <w:kern w:val="10"/>
          <w:sz w:val="23"/>
          <w:szCs w:val="23"/>
          <w:highlight w:val="none"/>
          <w:lang w:eastAsia="zh-CN"/>
        </w:rPr>
        <w:t>，</w:t>
      </w:r>
      <w:r>
        <w:rPr>
          <w:rFonts w:hint="eastAsia" w:cs="Times New Roman" w:asciiTheme="minorEastAsia" w:hAnsiTheme="minorEastAsia"/>
          <w:spacing w:val="20"/>
          <w:w w:val="110"/>
          <w:kern w:val="10"/>
          <w:sz w:val="23"/>
          <w:szCs w:val="23"/>
          <w:highlight w:val="none"/>
        </w:rPr>
        <w:t>向市规划和自然资源局相关辖区管理局申请签订《出让合同》。</w:t>
      </w:r>
    </w:p>
    <w:p>
      <w:pPr>
        <w:spacing w:line="480" w:lineRule="exact"/>
        <w:ind w:firstLine="568" w:firstLineChars="200"/>
        <w:rPr>
          <w:rFonts w:cs="Times New Roman" w:asciiTheme="minorEastAsia" w:hAnsiTheme="minorEastAsia"/>
          <w:b/>
          <w:spacing w:val="20"/>
          <w:w w:val="110"/>
          <w:kern w:val="10"/>
          <w:sz w:val="23"/>
          <w:szCs w:val="23"/>
          <w:highlight w:val="none"/>
        </w:rPr>
      </w:pPr>
      <w:r>
        <w:rPr>
          <w:rFonts w:hint="eastAsia" w:cs="Times New Roman" w:asciiTheme="minorEastAsia" w:hAnsiTheme="minorEastAsia"/>
          <w:b/>
          <w:spacing w:val="20"/>
          <w:w w:val="110"/>
          <w:kern w:val="10"/>
          <w:sz w:val="23"/>
          <w:szCs w:val="23"/>
          <w:highlight w:val="none"/>
        </w:rPr>
        <w:t>九、其他</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本公告内容如有调整，将在深圳土地矿业权交易平台网站发布补充公告，不再另行通知。本公告有关详细资料请参阅挂牌出让文件（包括但不限于本公告、《竞买须知》《成交确认书》《出让合同》《关于土地购置资金来源的承诺函》《关于竞买人关联性的承诺函》《申报表》</w:t>
      </w:r>
      <w:r>
        <w:rPr>
          <w:rFonts w:hint="eastAsia" w:cs="Times New Roman" w:asciiTheme="minorEastAsia" w:hAnsiTheme="minorEastAsia"/>
          <w:spacing w:val="20"/>
          <w:w w:val="110"/>
          <w:kern w:val="10"/>
          <w:sz w:val="23"/>
          <w:szCs w:val="23"/>
          <w:highlight w:val="none"/>
          <w:lang w:val="en-US" w:eastAsia="zh-CN" w:bidi="ar-SA"/>
        </w:rPr>
        <w:t>《H2022-0003宗地住房建设和管理协议书</w:t>
      </w:r>
      <w:r>
        <w:rPr>
          <w:rFonts w:hint="eastAsia" w:cs="Times New Roman" w:asciiTheme="minorEastAsia" w:hAnsiTheme="minorEastAsia" w:eastAsiaTheme="minorEastAsia"/>
          <w:spacing w:val="20"/>
          <w:w w:val="110"/>
          <w:kern w:val="10"/>
          <w:sz w:val="23"/>
          <w:szCs w:val="23"/>
          <w:highlight w:val="none"/>
          <w:lang w:val="en-US" w:eastAsia="zh-CN" w:bidi="ar-SA"/>
        </w:rPr>
        <w:t>》</w:t>
      </w:r>
      <w:r>
        <w:rPr>
          <w:rFonts w:hint="eastAsia" w:cs="Times New Roman" w:asciiTheme="minorEastAsia" w:hAnsiTheme="minorEastAsia"/>
          <w:spacing w:val="20"/>
          <w:w w:val="110"/>
          <w:kern w:val="10"/>
          <w:sz w:val="23"/>
          <w:szCs w:val="23"/>
          <w:highlight w:val="none"/>
        </w:rPr>
        <w:t>《深圳市国有建设用地使用权出让竞买人关联性审查操作指引》《深圳市国有建设用地使用权出让现场摇号操作指引》《国有土地使用权出让收入缴款及竞买保证金退转操作指引》等）。本公告同时在市规划和自然资源局、深圳土地矿业权交易平台网站发布，挂牌出让文件可在深圳土地矿业权交易平台网站下载。</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参与竞买活动的竞买人对竞买人关联性资格审查结果有异议的，应当自知道或者应当知道审查结果之日起3个工作日内向公共资源交易中心以书面形式提出异议。公共资源交易中心自收到书面异议材料之日起7个工作日内就异议事项书面答复竞买人。</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对公共资源交易中心的答复不满意或者公共资源交易中心未在规定时间内答复的，提出异议的竞买人可以在答复期满后15个工作日内向市规划和自然资源局投诉。</w:t>
      </w:r>
    </w:p>
    <w:p>
      <w:pPr>
        <w:tabs>
          <w:tab w:val="left" w:pos="8460"/>
        </w:tabs>
        <w:ind w:firstLine="568"/>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eastAsiaTheme="minorEastAsia"/>
          <w:spacing w:val="20"/>
          <w:w w:val="110"/>
          <w:kern w:val="10"/>
          <w:sz w:val="23"/>
          <w:szCs w:val="23"/>
          <w:highlight w:val="none"/>
        </w:rPr>
        <w:t>被</w:t>
      </w:r>
      <w:r>
        <w:rPr>
          <w:rFonts w:hint="eastAsia" w:cs="Times New Roman" w:asciiTheme="minorEastAsia" w:hAnsiTheme="minorEastAsia" w:eastAsiaTheme="minorEastAsia"/>
          <w:spacing w:val="20"/>
          <w:w w:val="110"/>
          <w:kern w:val="10"/>
          <w:sz w:val="23"/>
          <w:szCs w:val="23"/>
          <w:highlight w:val="none"/>
          <w:lang w:val="en-US" w:eastAsia="zh-CN"/>
        </w:rPr>
        <w:t>异议</w:t>
      </w:r>
      <w:r>
        <w:rPr>
          <w:rFonts w:hint="eastAsia" w:cs="Times New Roman" w:asciiTheme="minorEastAsia" w:hAnsiTheme="minorEastAsia" w:eastAsiaTheme="minorEastAsia"/>
          <w:spacing w:val="20"/>
          <w:w w:val="110"/>
          <w:kern w:val="10"/>
          <w:sz w:val="23"/>
          <w:szCs w:val="23"/>
          <w:highlight w:val="none"/>
        </w:rPr>
        <w:t>、投诉的竞买人为非竞得人，不影响对应宗地竞得人竞得结果，成交结果有效。被</w:t>
      </w:r>
      <w:r>
        <w:rPr>
          <w:rFonts w:hint="eastAsia" w:cs="Times New Roman" w:asciiTheme="minorEastAsia" w:hAnsiTheme="minorEastAsia" w:eastAsiaTheme="minorEastAsia"/>
          <w:spacing w:val="20"/>
          <w:w w:val="110"/>
          <w:kern w:val="10"/>
          <w:sz w:val="23"/>
          <w:szCs w:val="23"/>
          <w:highlight w:val="none"/>
          <w:lang w:val="en-US" w:eastAsia="zh-CN"/>
        </w:rPr>
        <w:t>异议</w:t>
      </w:r>
      <w:r>
        <w:rPr>
          <w:rFonts w:hint="eastAsia" w:cs="Times New Roman" w:asciiTheme="minorEastAsia" w:hAnsiTheme="minorEastAsia" w:eastAsiaTheme="minorEastAsia"/>
          <w:spacing w:val="20"/>
          <w:w w:val="110"/>
          <w:kern w:val="10"/>
          <w:sz w:val="23"/>
          <w:szCs w:val="23"/>
          <w:highlight w:val="none"/>
        </w:rPr>
        <w:t>、投诉的竞买人为竞得人，违反出让公告、竞买须知相关规定应取消其竞买（竞得）资格的，对应宗地成交结果无效。</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需咨询本公告出让程序相关问题的，可以书面方式向深圳交易集团有限公司土地矿业权业务分公司提出；其他相关问题，请迳向相关职能部门提出。</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深圳市规划和自然资源局 地址：深圳市福田区红荔西路8009号；网址：</w:t>
      </w:r>
      <w:r>
        <w:rPr>
          <w:rFonts w:hint="eastAsia" w:cs="Times New Roman" w:asciiTheme="minorEastAsia" w:hAnsiTheme="minorEastAsia"/>
          <w:spacing w:val="20"/>
          <w:w w:val="110"/>
          <w:kern w:val="10"/>
          <w:sz w:val="23"/>
          <w:szCs w:val="23"/>
          <w:highlight w:val="none"/>
        </w:rPr>
        <w:fldChar w:fldCharType="begin"/>
      </w:r>
      <w:r>
        <w:rPr>
          <w:rFonts w:hint="eastAsia" w:cs="Times New Roman" w:asciiTheme="minorEastAsia" w:hAnsiTheme="minorEastAsia"/>
          <w:spacing w:val="20"/>
          <w:w w:val="110"/>
          <w:kern w:val="10"/>
          <w:sz w:val="23"/>
          <w:szCs w:val="23"/>
          <w:highlight w:val="none"/>
        </w:rPr>
        <w:instrText xml:space="preserve"> HYPERLINK "http://pnr.sz.gov.cn/。" </w:instrText>
      </w:r>
      <w:r>
        <w:rPr>
          <w:rFonts w:hint="eastAsia" w:cs="Times New Roman" w:asciiTheme="minorEastAsia" w:hAnsiTheme="minorEastAsia"/>
          <w:spacing w:val="20"/>
          <w:w w:val="110"/>
          <w:kern w:val="10"/>
          <w:sz w:val="23"/>
          <w:szCs w:val="23"/>
          <w:highlight w:val="none"/>
        </w:rPr>
        <w:fldChar w:fldCharType="separate"/>
      </w:r>
      <w:r>
        <w:rPr>
          <w:rStyle w:val="12"/>
          <w:rFonts w:hint="eastAsia" w:cs="Times New Roman" w:asciiTheme="minorEastAsia" w:hAnsiTheme="minorEastAsia"/>
          <w:spacing w:val="20"/>
          <w:w w:val="110"/>
          <w:kern w:val="10"/>
          <w:sz w:val="23"/>
          <w:szCs w:val="23"/>
          <w:highlight w:val="none"/>
        </w:rPr>
        <w:t>http://pnr.sz.gov.cn/。</w:t>
      </w:r>
      <w:r>
        <w:rPr>
          <w:rFonts w:hint="eastAsia" w:cs="Times New Roman" w:asciiTheme="minorEastAsia" w:hAnsiTheme="minorEastAsia"/>
          <w:spacing w:val="20"/>
          <w:w w:val="110"/>
          <w:kern w:val="10"/>
          <w:sz w:val="23"/>
          <w:szCs w:val="23"/>
          <w:highlight w:val="none"/>
        </w:rPr>
        <w:fldChar w:fldCharType="end"/>
      </w:r>
    </w:p>
    <w:p>
      <w:pPr>
        <w:tabs>
          <w:tab w:val="left" w:pos="8460"/>
        </w:tabs>
        <w:spacing w:line="480" w:lineRule="exact"/>
        <w:ind w:firstLine="568" w:firstLineChars="200"/>
        <w:rPr>
          <w:rFonts w:hint="default"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lang w:val="en-US" w:eastAsia="zh-CN"/>
        </w:rPr>
        <w:t>深圳市规划和自然资源局深汕管理局 咨询电话：（0755）</w:t>
      </w:r>
      <w:r>
        <w:rPr>
          <w:rFonts w:ascii="宋体" w:hAnsi="宋体" w:eastAsia="宋体" w:cs="宋体"/>
          <w:sz w:val="24"/>
          <w:szCs w:val="24"/>
          <w:highlight w:val="none"/>
        </w:rPr>
        <w:t>22106817</w:t>
      </w:r>
      <w:r>
        <w:rPr>
          <w:rFonts w:hint="default" w:cs="Times New Roman" w:asciiTheme="minorEastAsia" w:hAnsiTheme="minorEastAsia"/>
          <w:spacing w:val="20"/>
          <w:w w:val="110"/>
          <w:kern w:val="10"/>
          <w:sz w:val="23"/>
          <w:szCs w:val="23"/>
          <w:highlight w:val="none"/>
          <w:lang w:val="en-US" w:eastAsia="zh-CN"/>
        </w:rPr>
        <w:t>。</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eastAsiaTheme="minorEastAsia"/>
          <w:spacing w:val="20"/>
          <w:w w:val="110"/>
          <w:kern w:val="10"/>
          <w:sz w:val="23"/>
          <w:szCs w:val="23"/>
          <w:highlight w:val="none"/>
        </w:rPr>
        <w:t>深汕特别合作区住房建设和水务局</w:t>
      </w:r>
      <w:r>
        <w:rPr>
          <w:rFonts w:hint="eastAsia" w:cs="Times New Roman" w:asciiTheme="minorEastAsia" w:hAnsiTheme="minorEastAsia"/>
          <w:spacing w:val="20"/>
          <w:w w:val="110"/>
          <w:kern w:val="10"/>
          <w:sz w:val="23"/>
          <w:szCs w:val="23"/>
          <w:highlight w:val="none"/>
        </w:rPr>
        <w:t xml:space="preserve"> 咨询电话：（0755）</w:t>
      </w:r>
      <w:r>
        <w:rPr>
          <w:rFonts w:ascii="宋体" w:hAnsi="宋体" w:eastAsia="宋体" w:cs="宋体"/>
          <w:sz w:val="24"/>
          <w:szCs w:val="24"/>
          <w:highlight w:val="none"/>
        </w:rPr>
        <w:t>22101186</w:t>
      </w:r>
      <w:r>
        <w:rPr>
          <w:rFonts w:hint="eastAsia" w:cs="Times New Roman" w:asciiTheme="minorEastAsia" w:hAnsiTheme="minorEastAsia"/>
          <w:spacing w:val="20"/>
          <w:w w:val="110"/>
          <w:kern w:val="10"/>
          <w:sz w:val="23"/>
          <w:szCs w:val="23"/>
          <w:highlight w:val="none"/>
        </w:rPr>
        <w:t>。</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深圳交易集团有限公司土地矿业权业务分公司 地址：深圳市福田区红荔西路8007号土地房产交易大厦3楼；咨询电话：（0755）82713074、（0755）82713274；网址：</w:t>
      </w:r>
      <w:r>
        <w:rPr>
          <w:rFonts w:hint="eastAsia" w:cs="Times New Roman" w:asciiTheme="minorEastAsia" w:hAnsiTheme="minorEastAsia"/>
          <w:spacing w:val="20"/>
          <w:w w:val="110"/>
          <w:kern w:val="10"/>
          <w:sz w:val="23"/>
          <w:szCs w:val="23"/>
          <w:highlight w:val="none"/>
        </w:rPr>
        <w:fldChar w:fldCharType="begin"/>
      </w:r>
      <w:r>
        <w:rPr>
          <w:rFonts w:hint="eastAsia" w:cs="Times New Roman" w:asciiTheme="minorEastAsia" w:hAnsiTheme="minorEastAsia"/>
          <w:spacing w:val="20"/>
          <w:w w:val="110"/>
          <w:kern w:val="10"/>
          <w:sz w:val="23"/>
          <w:szCs w:val="23"/>
          <w:highlight w:val="none"/>
        </w:rPr>
        <w:instrText xml:space="preserve"> HYPERLINK "https://td.szggzy.com。" </w:instrText>
      </w:r>
      <w:r>
        <w:rPr>
          <w:rFonts w:hint="eastAsia" w:cs="Times New Roman" w:asciiTheme="minorEastAsia" w:hAnsiTheme="minorEastAsia"/>
          <w:spacing w:val="20"/>
          <w:w w:val="110"/>
          <w:kern w:val="10"/>
          <w:sz w:val="23"/>
          <w:szCs w:val="23"/>
          <w:highlight w:val="none"/>
        </w:rPr>
        <w:fldChar w:fldCharType="separate"/>
      </w:r>
      <w:r>
        <w:rPr>
          <w:rFonts w:hint="eastAsia" w:cs="Times New Roman" w:asciiTheme="minorEastAsia" w:hAnsiTheme="minorEastAsia"/>
          <w:spacing w:val="20"/>
          <w:w w:val="110"/>
          <w:kern w:val="10"/>
          <w:sz w:val="23"/>
          <w:szCs w:val="23"/>
          <w:highlight w:val="none"/>
        </w:rPr>
        <w:t>https://td.szggzy.com。</w:t>
      </w:r>
      <w:r>
        <w:rPr>
          <w:rFonts w:hint="eastAsia" w:cs="Times New Roman" w:asciiTheme="minorEastAsia" w:hAnsiTheme="minorEastAsia"/>
          <w:spacing w:val="20"/>
          <w:w w:val="110"/>
          <w:kern w:val="10"/>
          <w:sz w:val="23"/>
          <w:szCs w:val="23"/>
          <w:highlight w:val="none"/>
        </w:rPr>
        <w:fldChar w:fldCharType="end"/>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p>
    <w:p>
      <w:pPr>
        <w:tabs>
          <w:tab w:val="left" w:pos="8460"/>
        </w:tabs>
        <w:spacing w:line="480" w:lineRule="exact"/>
        <w:ind w:firstLine="568" w:firstLineChars="200"/>
        <w:jc w:val="right"/>
        <w:rPr>
          <w:rFonts w:hint="default" w:asciiTheme="majorEastAsia" w:hAnsiTheme="majorEastAsia" w:eastAsiaTheme="majorEastAsia" w:cstheme="majorEastAsia"/>
          <w:b/>
          <w:bCs/>
          <w:spacing w:val="20"/>
          <w:w w:val="110"/>
          <w:kern w:val="10"/>
          <w:sz w:val="23"/>
          <w:szCs w:val="23"/>
          <w:highlight w:val="none"/>
        </w:rPr>
      </w:pPr>
      <w:r>
        <w:rPr>
          <w:rFonts w:hint="eastAsia" w:asciiTheme="majorEastAsia" w:hAnsiTheme="majorEastAsia" w:eastAsiaTheme="majorEastAsia" w:cstheme="majorEastAsia"/>
          <w:b/>
          <w:bCs/>
          <w:spacing w:val="20"/>
          <w:w w:val="110"/>
          <w:kern w:val="10"/>
          <w:sz w:val="23"/>
          <w:szCs w:val="23"/>
          <w:highlight w:val="none"/>
        </w:rPr>
        <w:t>出让人：深圳市规划和自然资源局</w:t>
      </w:r>
      <w:r>
        <w:rPr>
          <w:rFonts w:hint="eastAsia" w:asciiTheme="majorEastAsia" w:hAnsiTheme="majorEastAsia" w:eastAsiaTheme="majorEastAsia" w:cstheme="majorEastAsia"/>
          <w:b/>
          <w:bCs/>
          <w:spacing w:val="20"/>
          <w:w w:val="110"/>
          <w:kern w:val="10"/>
          <w:sz w:val="23"/>
          <w:szCs w:val="23"/>
          <w:highlight w:val="none"/>
          <w:lang w:val="en-US" w:eastAsia="zh-CN"/>
        </w:rPr>
        <w:t>深汕管理局</w:t>
      </w:r>
    </w:p>
    <w:p>
      <w:pPr>
        <w:tabs>
          <w:tab w:val="left" w:pos="8460"/>
        </w:tabs>
        <w:spacing w:line="480" w:lineRule="exact"/>
        <w:ind w:firstLine="568" w:firstLineChars="200"/>
        <w:jc w:val="right"/>
        <w:rPr>
          <w:rFonts w:asciiTheme="majorEastAsia" w:hAnsiTheme="majorEastAsia" w:eastAsiaTheme="majorEastAsia" w:cstheme="majorEastAsia"/>
          <w:b/>
          <w:bCs/>
          <w:spacing w:val="20"/>
          <w:w w:val="110"/>
          <w:kern w:val="10"/>
          <w:sz w:val="23"/>
          <w:szCs w:val="23"/>
          <w:highlight w:val="none"/>
        </w:rPr>
      </w:pPr>
      <w:r>
        <w:rPr>
          <w:rFonts w:hint="eastAsia" w:asciiTheme="majorEastAsia" w:hAnsiTheme="majorEastAsia" w:eastAsiaTheme="majorEastAsia" w:cstheme="majorEastAsia"/>
          <w:b/>
          <w:bCs/>
          <w:spacing w:val="20"/>
          <w:w w:val="110"/>
          <w:kern w:val="10"/>
          <w:sz w:val="23"/>
          <w:szCs w:val="23"/>
          <w:highlight w:val="none"/>
        </w:rPr>
        <w:t>交易机构：深圳交易集团有限公司</w:t>
      </w:r>
    </w:p>
    <w:p>
      <w:pPr>
        <w:tabs>
          <w:tab w:val="left" w:pos="8460"/>
        </w:tabs>
        <w:spacing w:line="480" w:lineRule="exact"/>
        <w:ind w:firstLine="568" w:firstLineChars="200"/>
        <w:jc w:val="right"/>
        <w:rPr>
          <w:rFonts w:asciiTheme="majorEastAsia" w:hAnsiTheme="majorEastAsia" w:eastAsiaTheme="majorEastAsia" w:cstheme="majorEastAsia"/>
          <w:b/>
          <w:spacing w:val="20"/>
          <w:w w:val="110"/>
          <w:kern w:val="10"/>
          <w:sz w:val="23"/>
          <w:szCs w:val="23"/>
          <w:highlight w:val="none"/>
        </w:rPr>
      </w:pPr>
      <w:r>
        <w:rPr>
          <w:rFonts w:hint="eastAsia" w:asciiTheme="majorEastAsia" w:hAnsiTheme="majorEastAsia" w:eastAsiaTheme="majorEastAsia" w:cstheme="majorEastAsia"/>
          <w:b/>
          <w:bCs/>
          <w:spacing w:val="20"/>
          <w:w w:val="110"/>
          <w:kern w:val="10"/>
          <w:sz w:val="23"/>
          <w:szCs w:val="23"/>
          <w:highlight w:val="none"/>
        </w:rPr>
        <w:t> （深圳公共资源交易中心）</w:t>
      </w:r>
    </w:p>
    <w:p>
      <w:pPr>
        <w:spacing w:line="480" w:lineRule="exact"/>
        <w:ind w:left="267" w:leftChars="133" w:right="568" w:firstLine="5098" w:firstLineChars="1795"/>
        <w:jc w:val="right"/>
        <w:rPr>
          <w:rFonts w:asciiTheme="majorEastAsia" w:hAnsiTheme="majorEastAsia" w:eastAsiaTheme="majorEastAsia" w:cstheme="majorEastAsia"/>
          <w:highlight w:val="none"/>
        </w:rPr>
      </w:pPr>
      <w:r>
        <w:rPr>
          <w:rFonts w:hint="eastAsia" w:asciiTheme="majorEastAsia" w:hAnsiTheme="majorEastAsia" w:eastAsiaTheme="majorEastAsia" w:cstheme="majorEastAsia"/>
          <w:b/>
          <w:spacing w:val="20"/>
          <w:w w:val="110"/>
          <w:kern w:val="10"/>
          <w:sz w:val="23"/>
          <w:szCs w:val="23"/>
          <w:highlight w:val="none"/>
        </w:rPr>
        <w:t>2022年</w:t>
      </w:r>
      <w:r>
        <w:rPr>
          <w:rFonts w:hint="eastAsia" w:asciiTheme="majorEastAsia" w:hAnsiTheme="majorEastAsia" w:eastAsiaTheme="majorEastAsia" w:cstheme="majorEastAsia"/>
          <w:b/>
          <w:spacing w:val="20"/>
          <w:w w:val="110"/>
          <w:kern w:val="10"/>
          <w:sz w:val="23"/>
          <w:szCs w:val="23"/>
          <w:highlight w:val="none"/>
          <w:lang w:val="en-US" w:eastAsia="zh-CN"/>
        </w:rPr>
        <w:t>10</w:t>
      </w:r>
      <w:r>
        <w:rPr>
          <w:rFonts w:hint="eastAsia" w:asciiTheme="majorEastAsia" w:hAnsiTheme="majorEastAsia" w:eastAsiaTheme="majorEastAsia" w:cstheme="majorEastAsia"/>
          <w:b/>
          <w:spacing w:val="20"/>
          <w:w w:val="110"/>
          <w:kern w:val="10"/>
          <w:sz w:val="23"/>
          <w:szCs w:val="23"/>
          <w:highlight w:val="none"/>
        </w:rPr>
        <w:t>月</w:t>
      </w:r>
      <w:r>
        <w:rPr>
          <w:rFonts w:hint="eastAsia" w:asciiTheme="majorEastAsia" w:hAnsiTheme="majorEastAsia" w:eastAsiaTheme="majorEastAsia" w:cstheme="majorEastAsia"/>
          <w:b/>
          <w:spacing w:val="20"/>
          <w:w w:val="110"/>
          <w:kern w:val="10"/>
          <w:sz w:val="23"/>
          <w:szCs w:val="23"/>
          <w:highlight w:val="none"/>
          <w:lang w:val="en-US" w:eastAsia="zh-CN"/>
        </w:rPr>
        <w:t>27</w:t>
      </w:r>
      <w:r>
        <w:rPr>
          <w:rFonts w:hint="eastAsia" w:asciiTheme="majorEastAsia" w:hAnsiTheme="majorEastAsia" w:eastAsiaTheme="majorEastAsia" w:cstheme="majorEastAsia"/>
          <w:b/>
          <w:spacing w:val="20"/>
          <w:w w:val="110"/>
          <w:kern w:val="10"/>
          <w:sz w:val="23"/>
          <w:szCs w:val="23"/>
          <w:highlight w:val="none"/>
        </w:rPr>
        <w:t>日</w:t>
      </w:r>
    </w:p>
    <w:sectPr>
      <w:footerReference r:id="rId3" w:type="default"/>
      <w:footerReference r:id="rId4" w:type="even"/>
      <w:pgSz w:w="11907" w:h="16839"/>
      <w:pgMar w:top="1258" w:right="1259" w:bottom="1616" w:left="1440" w:header="851" w:footer="635" w:gutter="0"/>
      <w:cols w:space="425" w:num="1"/>
      <w:docGrid w:type="linesAndChars" w:linePitch="36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汉仪书宋二简">
    <w:altName w:val="宋体"/>
    <w:panose1 w:val="00000000000000000000"/>
    <w:charset w:val="86"/>
    <w:family w:val="modern"/>
    <w:pitch w:val="default"/>
    <w:sig w:usb0="00000000" w:usb1="00000000" w:usb2="00000012"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MGYzM2E4OGU5N2U1MTlmNjc4YTYzMDNmNDM4ZmIifQ=="/>
  </w:docVars>
  <w:rsids>
    <w:rsidRoot w:val="009107FC"/>
    <w:rsid w:val="0000638A"/>
    <w:rsid w:val="00007F44"/>
    <w:rsid w:val="000201CC"/>
    <w:rsid w:val="000220BA"/>
    <w:rsid w:val="00023187"/>
    <w:rsid w:val="0002672A"/>
    <w:rsid w:val="0003009A"/>
    <w:rsid w:val="000447DD"/>
    <w:rsid w:val="00051BA2"/>
    <w:rsid w:val="00053B7D"/>
    <w:rsid w:val="00062AD2"/>
    <w:rsid w:val="00065BBC"/>
    <w:rsid w:val="00075283"/>
    <w:rsid w:val="00094E7C"/>
    <w:rsid w:val="000964C1"/>
    <w:rsid w:val="000A2E11"/>
    <w:rsid w:val="000A38E8"/>
    <w:rsid w:val="000B014D"/>
    <w:rsid w:val="000B1F1F"/>
    <w:rsid w:val="000B217A"/>
    <w:rsid w:val="000B2310"/>
    <w:rsid w:val="000B46B7"/>
    <w:rsid w:val="000B4C84"/>
    <w:rsid w:val="000C05E5"/>
    <w:rsid w:val="000C17DE"/>
    <w:rsid w:val="000C5356"/>
    <w:rsid w:val="000C6859"/>
    <w:rsid w:val="000D07CD"/>
    <w:rsid w:val="000D0C6B"/>
    <w:rsid w:val="000D27B2"/>
    <w:rsid w:val="000D7C42"/>
    <w:rsid w:val="000E11A7"/>
    <w:rsid w:val="000E419A"/>
    <w:rsid w:val="000F0C71"/>
    <w:rsid w:val="000F63FB"/>
    <w:rsid w:val="0010037C"/>
    <w:rsid w:val="00110E45"/>
    <w:rsid w:val="00113291"/>
    <w:rsid w:val="0011405E"/>
    <w:rsid w:val="001141D0"/>
    <w:rsid w:val="00117F49"/>
    <w:rsid w:val="0012015A"/>
    <w:rsid w:val="00124AF5"/>
    <w:rsid w:val="00131CA9"/>
    <w:rsid w:val="00136004"/>
    <w:rsid w:val="00161616"/>
    <w:rsid w:val="00161BC1"/>
    <w:rsid w:val="0016612A"/>
    <w:rsid w:val="00171A67"/>
    <w:rsid w:val="00192DE8"/>
    <w:rsid w:val="00193D78"/>
    <w:rsid w:val="00194833"/>
    <w:rsid w:val="001A2215"/>
    <w:rsid w:val="001B2175"/>
    <w:rsid w:val="001C7D83"/>
    <w:rsid w:val="001C7FDB"/>
    <w:rsid w:val="001D0F67"/>
    <w:rsid w:val="001E169E"/>
    <w:rsid w:val="001E2FFC"/>
    <w:rsid w:val="001F169D"/>
    <w:rsid w:val="001F317F"/>
    <w:rsid w:val="001F433D"/>
    <w:rsid w:val="002002E9"/>
    <w:rsid w:val="002009CF"/>
    <w:rsid w:val="00206B83"/>
    <w:rsid w:val="00216B20"/>
    <w:rsid w:val="002173DB"/>
    <w:rsid w:val="002221C4"/>
    <w:rsid w:val="00222CDA"/>
    <w:rsid w:val="00224395"/>
    <w:rsid w:val="0022497A"/>
    <w:rsid w:val="00225BF1"/>
    <w:rsid w:val="0023308C"/>
    <w:rsid w:val="0024129B"/>
    <w:rsid w:val="0024288C"/>
    <w:rsid w:val="00243F36"/>
    <w:rsid w:val="002528F0"/>
    <w:rsid w:val="00257E2C"/>
    <w:rsid w:val="00260783"/>
    <w:rsid w:val="002642EB"/>
    <w:rsid w:val="0026553E"/>
    <w:rsid w:val="0026646D"/>
    <w:rsid w:val="00272603"/>
    <w:rsid w:val="00282D11"/>
    <w:rsid w:val="002851CC"/>
    <w:rsid w:val="00291A63"/>
    <w:rsid w:val="00291A9F"/>
    <w:rsid w:val="00292B6C"/>
    <w:rsid w:val="00292ED1"/>
    <w:rsid w:val="002A0AB4"/>
    <w:rsid w:val="002A21EF"/>
    <w:rsid w:val="002A4EAB"/>
    <w:rsid w:val="002A6678"/>
    <w:rsid w:val="002B278C"/>
    <w:rsid w:val="002C0E5E"/>
    <w:rsid w:val="002C5EA4"/>
    <w:rsid w:val="002C7233"/>
    <w:rsid w:val="002C7B34"/>
    <w:rsid w:val="002D3C01"/>
    <w:rsid w:val="002F2160"/>
    <w:rsid w:val="002F6861"/>
    <w:rsid w:val="00304C8D"/>
    <w:rsid w:val="00315EA9"/>
    <w:rsid w:val="00316E00"/>
    <w:rsid w:val="003250F2"/>
    <w:rsid w:val="00325A18"/>
    <w:rsid w:val="003333F5"/>
    <w:rsid w:val="00340C07"/>
    <w:rsid w:val="00373065"/>
    <w:rsid w:val="003734A8"/>
    <w:rsid w:val="00373BD6"/>
    <w:rsid w:val="00374717"/>
    <w:rsid w:val="00375F08"/>
    <w:rsid w:val="00391DC9"/>
    <w:rsid w:val="00393A83"/>
    <w:rsid w:val="003964D0"/>
    <w:rsid w:val="003A6212"/>
    <w:rsid w:val="003B3C01"/>
    <w:rsid w:val="003B525E"/>
    <w:rsid w:val="003C1011"/>
    <w:rsid w:val="003C291B"/>
    <w:rsid w:val="003D673A"/>
    <w:rsid w:val="003E27B8"/>
    <w:rsid w:val="003E3189"/>
    <w:rsid w:val="003E3679"/>
    <w:rsid w:val="003F27B8"/>
    <w:rsid w:val="003F3531"/>
    <w:rsid w:val="0040761A"/>
    <w:rsid w:val="004270DE"/>
    <w:rsid w:val="00440924"/>
    <w:rsid w:val="004437FF"/>
    <w:rsid w:val="0044462E"/>
    <w:rsid w:val="00445B8D"/>
    <w:rsid w:val="00445F2C"/>
    <w:rsid w:val="004520EE"/>
    <w:rsid w:val="00454210"/>
    <w:rsid w:val="00454C0E"/>
    <w:rsid w:val="00470271"/>
    <w:rsid w:val="00470CE5"/>
    <w:rsid w:val="0047684E"/>
    <w:rsid w:val="0048483D"/>
    <w:rsid w:val="00484EA8"/>
    <w:rsid w:val="00494F65"/>
    <w:rsid w:val="004A054F"/>
    <w:rsid w:val="004A38B8"/>
    <w:rsid w:val="004A7CB9"/>
    <w:rsid w:val="004B7A4F"/>
    <w:rsid w:val="004D0474"/>
    <w:rsid w:val="004D5838"/>
    <w:rsid w:val="004F6BF5"/>
    <w:rsid w:val="00513061"/>
    <w:rsid w:val="0051347C"/>
    <w:rsid w:val="00513633"/>
    <w:rsid w:val="005369D6"/>
    <w:rsid w:val="005408C7"/>
    <w:rsid w:val="00550289"/>
    <w:rsid w:val="0056163B"/>
    <w:rsid w:val="00565A6E"/>
    <w:rsid w:val="0057355A"/>
    <w:rsid w:val="00575199"/>
    <w:rsid w:val="005813DA"/>
    <w:rsid w:val="00581686"/>
    <w:rsid w:val="00583969"/>
    <w:rsid w:val="0059361A"/>
    <w:rsid w:val="00593B8D"/>
    <w:rsid w:val="00595D33"/>
    <w:rsid w:val="005A1611"/>
    <w:rsid w:val="005A3826"/>
    <w:rsid w:val="005A3F68"/>
    <w:rsid w:val="005C367C"/>
    <w:rsid w:val="005C4DC1"/>
    <w:rsid w:val="005C79B5"/>
    <w:rsid w:val="005D0D59"/>
    <w:rsid w:val="005D12B4"/>
    <w:rsid w:val="005D4D54"/>
    <w:rsid w:val="005D5368"/>
    <w:rsid w:val="005D7F67"/>
    <w:rsid w:val="005E0CC0"/>
    <w:rsid w:val="005E0ECE"/>
    <w:rsid w:val="005F5184"/>
    <w:rsid w:val="0060695E"/>
    <w:rsid w:val="006128B5"/>
    <w:rsid w:val="0061625B"/>
    <w:rsid w:val="00617952"/>
    <w:rsid w:val="006179AE"/>
    <w:rsid w:val="00624044"/>
    <w:rsid w:val="0062623D"/>
    <w:rsid w:val="00626E73"/>
    <w:rsid w:val="00634610"/>
    <w:rsid w:val="00634DDE"/>
    <w:rsid w:val="00640848"/>
    <w:rsid w:val="006452EE"/>
    <w:rsid w:val="00647513"/>
    <w:rsid w:val="00661388"/>
    <w:rsid w:val="0067233D"/>
    <w:rsid w:val="00673207"/>
    <w:rsid w:val="0068042B"/>
    <w:rsid w:val="00693087"/>
    <w:rsid w:val="0069594E"/>
    <w:rsid w:val="006A520C"/>
    <w:rsid w:val="006A5552"/>
    <w:rsid w:val="006A5650"/>
    <w:rsid w:val="006B01E3"/>
    <w:rsid w:val="006B06D6"/>
    <w:rsid w:val="006B17A5"/>
    <w:rsid w:val="006B3311"/>
    <w:rsid w:val="006B4271"/>
    <w:rsid w:val="006C0BE9"/>
    <w:rsid w:val="006C31F4"/>
    <w:rsid w:val="006C61AD"/>
    <w:rsid w:val="006D6B4B"/>
    <w:rsid w:val="006E2520"/>
    <w:rsid w:val="006E57CB"/>
    <w:rsid w:val="006F006E"/>
    <w:rsid w:val="006F02D0"/>
    <w:rsid w:val="006F2835"/>
    <w:rsid w:val="006F6705"/>
    <w:rsid w:val="006F68FD"/>
    <w:rsid w:val="007013B3"/>
    <w:rsid w:val="007017D7"/>
    <w:rsid w:val="0070454F"/>
    <w:rsid w:val="00711771"/>
    <w:rsid w:val="0073381A"/>
    <w:rsid w:val="0074188A"/>
    <w:rsid w:val="00741F4C"/>
    <w:rsid w:val="00752D80"/>
    <w:rsid w:val="00754472"/>
    <w:rsid w:val="00757D74"/>
    <w:rsid w:val="007634D6"/>
    <w:rsid w:val="007676C1"/>
    <w:rsid w:val="0078268C"/>
    <w:rsid w:val="00786884"/>
    <w:rsid w:val="007920DD"/>
    <w:rsid w:val="0079315F"/>
    <w:rsid w:val="007A2351"/>
    <w:rsid w:val="007A7CB7"/>
    <w:rsid w:val="007B1E21"/>
    <w:rsid w:val="007B79DE"/>
    <w:rsid w:val="007C0E61"/>
    <w:rsid w:val="007C13B0"/>
    <w:rsid w:val="007C1930"/>
    <w:rsid w:val="007C5F89"/>
    <w:rsid w:val="007D17A7"/>
    <w:rsid w:val="007D2B9D"/>
    <w:rsid w:val="007D2FB1"/>
    <w:rsid w:val="007E3D72"/>
    <w:rsid w:val="007E45F4"/>
    <w:rsid w:val="007E6005"/>
    <w:rsid w:val="007F4099"/>
    <w:rsid w:val="00812E24"/>
    <w:rsid w:val="008147C1"/>
    <w:rsid w:val="00815444"/>
    <w:rsid w:val="00821D25"/>
    <w:rsid w:val="008265D1"/>
    <w:rsid w:val="00833423"/>
    <w:rsid w:val="00837618"/>
    <w:rsid w:val="0083781F"/>
    <w:rsid w:val="00846559"/>
    <w:rsid w:val="008547E6"/>
    <w:rsid w:val="00860A88"/>
    <w:rsid w:val="008610D3"/>
    <w:rsid w:val="008673EA"/>
    <w:rsid w:val="008851E5"/>
    <w:rsid w:val="0088669A"/>
    <w:rsid w:val="00896A3E"/>
    <w:rsid w:val="008974B0"/>
    <w:rsid w:val="00897ED3"/>
    <w:rsid w:val="008A3578"/>
    <w:rsid w:val="008A692A"/>
    <w:rsid w:val="008B041B"/>
    <w:rsid w:val="008C1C3D"/>
    <w:rsid w:val="008C6FF9"/>
    <w:rsid w:val="008C75E3"/>
    <w:rsid w:val="008D2C02"/>
    <w:rsid w:val="008D714F"/>
    <w:rsid w:val="008E1818"/>
    <w:rsid w:val="008E263E"/>
    <w:rsid w:val="008E5596"/>
    <w:rsid w:val="008E6E84"/>
    <w:rsid w:val="008F2556"/>
    <w:rsid w:val="008F60C2"/>
    <w:rsid w:val="00905E75"/>
    <w:rsid w:val="009107FC"/>
    <w:rsid w:val="00912231"/>
    <w:rsid w:val="0091308E"/>
    <w:rsid w:val="009179F4"/>
    <w:rsid w:val="009216DA"/>
    <w:rsid w:val="00921F7D"/>
    <w:rsid w:val="00942A1C"/>
    <w:rsid w:val="00952918"/>
    <w:rsid w:val="00960072"/>
    <w:rsid w:val="0096049F"/>
    <w:rsid w:val="00961B98"/>
    <w:rsid w:val="009727A4"/>
    <w:rsid w:val="00977763"/>
    <w:rsid w:val="009879D0"/>
    <w:rsid w:val="00987C73"/>
    <w:rsid w:val="00990F77"/>
    <w:rsid w:val="00997B67"/>
    <w:rsid w:val="009B5679"/>
    <w:rsid w:val="009D6853"/>
    <w:rsid w:val="009E5FBC"/>
    <w:rsid w:val="009F57BD"/>
    <w:rsid w:val="009F71D3"/>
    <w:rsid w:val="00A00AF0"/>
    <w:rsid w:val="00A15A44"/>
    <w:rsid w:val="00A20D79"/>
    <w:rsid w:val="00A216EC"/>
    <w:rsid w:val="00A27E38"/>
    <w:rsid w:val="00A3085B"/>
    <w:rsid w:val="00A6762E"/>
    <w:rsid w:val="00A7238C"/>
    <w:rsid w:val="00A77C12"/>
    <w:rsid w:val="00A8019C"/>
    <w:rsid w:val="00A80634"/>
    <w:rsid w:val="00A840F1"/>
    <w:rsid w:val="00A86D94"/>
    <w:rsid w:val="00A90A49"/>
    <w:rsid w:val="00A92681"/>
    <w:rsid w:val="00AA1662"/>
    <w:rsid w:val="00AA2FF9"/>
    <w:rsid w:val="00AA52EF"/>
    <w:rsid w:val="00AB1DD0"/>
    <w:rsid w:val="00AB2D72"/>
    <w:rsid w:val="00AB7F49"/>
    <w:rsid w:val="00AC0D2A"/>
    <w:rsid w:val="00AC5322"/>
    <w:rsid w:val="00AD767C"/>
    <w:rsid w:val="00AD7AF0"/>
    <w:rsid w:val="00AE0A69"/>
    <w:rsid w:val="00AF08E1"/>
    <w:rsid w:val="00AF2125"/>
    <w:rsid w:val="00AF35B5"/>
    <w:rsid w:val="00AF5FBF"/>
    <w:rsid w:val="00B00CC0"/>
    <w:rsid w:val="00B013C3"/>
    <w:rsid w:val="00B0477C"/>
    <w:rsid w:val="00B1536E"/>
    <w:rsid w:val="00B17AF7"/>
    <w:rsid w:val="00B20A9D"/>
    <w:rsid w:val="00B23580"/>
    <w:rsid w:val="00B264C5"/>
    <w:rsid w:val="00B332D1"/>
    <w:rsid w:val="00B4375B"/>
    <w:rsid w:val="00B4699C"/>
    <w:rsid w:val="00B51F16"/>
    <w:rsid w:val="00B56B94"/>
    <w:rsid w:val="00B6110D"/>
    <w:rsid w:val="00B74393"/>
    <w:rsid w:val="00B80074"/>
    <w:rsid w:val="00B8262E"/>
    <w:rsid w:val="00B926BC"/>
    <w:rsid w:val="00B92F4B"/>
    <w:rsid w:val="00BA49D2"/>
    <w:rsid w:val="00BA737B"/>
    <w:rsid w:val="00BA7C46"/>
    <w:rsid w:val="00BC4DC8"/>
    <w:rsid w:val="00BC74CE"/>
    <w:rsid w:val="00BC7A01"/>
    <w:rsid w:val="00BD2797"/>
    <w:rsid w:val="00BD305C"/>
    <w:rsid w:val="00BD5F03"/>
    <w:rsid w:val="00BD723C"/>
    <w:rsid w:val="00BE1047"/>
    <w:rsid w:val="00BE52D9"/>
    <w:rsid w:val="00BF286B"/>
    <w:rsid w:val="00C10679"/>
    <w:rsid w:val="00C13D17"/>
    <w:rsid w:val="00C216FF"/>
    <w:rsid w:val="00C25385"/>
    <w:rsid w:val="00C35008"/>
    <w:rsid w:val="00C35183"/>
    <w:rsid w:val="00C36D12"/>
    <w:rsid w:val="00C471C9"/>
    <w:rsid w:val="00C6047B"/>
    <w:rsid w:val="00C65E5B"/>
    <w:rsid w:val="00C712D4"/>
    <w:rsid w:val="00C72B26"/>
    <w:rsid w:val="00C731F8"/>
    <w:rsid w:val="00C774DA"/>
    <w:rsid w:val="00C92CD3"/>
    <w:rsid w:val="00C94F92"/>
    <w:rsid w:val="00C95B60"/>
    <w:rsid w:val="00C95C32"/>
    <w:rsid w:val="00CA0E39"/>
    <w:rsid w:val="00CA2CB7"/>
    <w:rsid w:val="00CA79A5"/>
    <w:rsid w:val="00CB106E"/>
    <w:rsid w:val="00CB1321"/>
    <w:rsid w:val="00CB149F"/>
    <w:rsid w:val="00CB1FF0"/>
    <w:rsid w:val="00CB3D6B"/>
    <w:rsid w:val="00CB4851"/>
    <w:rsid w:val="00CB569D"/>
    <w:rsid w:val="00CB6B6C"/>
    <w:rsid w:val="00CC33DA"/>
    <w:rsid w:val="00CD5458"/>
    <w:rsid w:val="00CD61D7"/>
    <w:rsid w:val="00CD666E"/>
    <w:rsid w:val="00CD751B"/>
    <w:rsid w:val="00CE184F"/>
    <w:rsid w:val="00CE4A0C"/>
    <w:rsid w:val="00CF3972"/>
    <w:rsid w:val="00D0076D"/>
    <w:rsid w:val="00D11DFD"/>
    <w:rsid w:val="00D331CA"/>
    <w:rsid w:val="00D35F93"/>
    <w:rsid w:val="00D42971"/>
    <w:rsid w:val="00D60887"/>
    <w:rsid w:val="00D60E3D"/>
    <w:rsid w:val="00D62489"/>
    <w:rsid w:val="00D72A32"/>
    <w:rsid w:val="00D75C00"/>
    <w:rsid w:val="00D80A48"/>
    <w:rsid w:val="00D86E71"/>
    <w:rsid w:val="00DA40D3"/>
    <w:rsid w:val="00DA6332"/>
    <w:rsid w:val="00DA7C7D"/>
    <w:rsid w:val="00DB0348"/>
    <w:rsid w:val="00DB1618"/>
    <w:rsid w:val="00DB4785"/>
    <w:rsid w:val="00DC6957"/>
    <w:rsid w:val="00DC788B"/>
    <w:rsid w:val="00DD2F0C"/>
    <w:rsid w:val="00DD3035"/>
    <w:rsid w:val="00DD43E8"/>
    <w:rsid w:val="00DD7962"/>
    <w:rsid w:val="00DE42D6"/>
    <w:rsid w:val="00DE60FC"/>
    <w:rsid w:val="00DF1284"/>
    <w:rsid w:val="00DF1931"/>
    <w:rsid w:val="00E073E7"/>
    <w:rsid w:val="00E178E2"/>
    <w:rsid w:val="00E20D4F"/>
    <w:rsid w:val="00E23DBD"/>
    <w:rsid w:val="00E256D4"/>
    <w:rsid w:val="00E26FE7"/>
    <w:rsid w:val="00E3032B"/>
    <w:rsid w:val="00E35FC0"/>
    <w:rsid w:val="00E36A12"/>
    <w:rsid w:val="00E50EE6"/>
    <w:rsid w:val="00E51551"/>
    <w:rsid w:val="00E55F68"/>
    <w:rsid w:val="00E628CC"/>
    <w:rsid w:val="00E6294D"/>
    <w:rsid w:val="00E64E6D"/>
    <w:rsid w:val="00E6680C"/>
    <w:rsid w:val="00E70859"/>
    <w:rsid w:val="00E72C50"/>
    <w:rsid w:val="00E73C48"/>
    <w:rsid w:val="00E75956"/>
    <w:rsid w:val="00E80736"/>
    <w:rsid w:val="00EB381E"/>
    <w:rsid w:val="00ED26FA"/>
    <w:rsid w:val="00ED4383"/>
    <w:rsid w:val="00ED57F0"/>
    <w:rsid w:val="00ED6454"/>
    <w:rsid w:val="00ED6EAB"/>
    <w:rsid w:val="00EE2360"/>
    <w:rsid w:val="00EF430F"/>
    <w:rsid w:val="00F027EA"/>
    <w:rsid w:val="00F1192C"/>
    <w:rsid w:val="00F12A0B"/>
    <w:rsid w:val="00F3162B"/>
    <w:rsid w:val="00F324EF"/>
    <w:rsid w:val="00F32AF9"/>
    <w:rsid w:val="00F57413"/>
    <w:rsid w:val="00F578AB"/>
    <w:rsid w:val="00F61C07"/>
    <w:rsid w:val="00F71813"/>
    <w:rsid w:val="00F80416"/>
    <w:rsid w:val="00F818A3"/>
    <w:rsid w:val="00F81DD0"/>
    <w:rsid w:val="00F90251"/>
    <w:rsid w:val="00F91BC0"/>
    <w:rsid w:val="00F93392"/>
    <w:rsid w:val="00F93DE3"/>
    <w:rsid w:val="00F945E4"/>
    <w:rsid w:val="00F95A73"/>
    <w:rsid w:val="00FA177D"/>
    <w:rsid w:val="00FA44E6"/>
    <w:rsid w:val="00FB006C"/>
    <w:rsid w:val="00FB201A"/>
    <w:rsid w:val="00FB3E4C"/>
    <w:rsid w:val="00FB648F"/>
    <w:rsid w:val="00FB7639"/>
    <w:rsid w:val="00FC7917"/>
    <w:rsid w:val="00FD38DC"/>
    <w:rsid w:val="00FD6AF8"/>
    <w:rsid w:val="00FD6D9B"/>
    <w:rsid w:val="00FF08F3"/>
    <w:rsid w:val="00FF1501"/>
    <w:rsid w:val="00FF405A"/>
    <w:rsid w:val="017D4F5C"/>
    <w:rsid w:val="02B250DA"/>
    <w:rsid w:val="0337738D"/>
    <w:rsid w:val="038767BC"/>
    <w:rsid w:val="03E868D9"/>
    <w:rsid w:val="041827A8"/>
    <w:rsid w:val="043833BC"/>
    <w:rsid w:val="046A683D"/>
    <w:rsid w:val="047D34C5"/>
    <w:rsid w:val="05D84452"/>
    <w:rsid w:val="078B414B"/>
    <w:rsid w:val="07B70F31"/>
    <w:rsid w:val="08391C14"/>
    <w:rsid w:val="087348EB"/>
    <w:rsid w:val="08803584"/>
    <w:rsid w:val="08CB4964"/>
    <w:rsid w:val="09852070"/>
    <w:rsid w:val="0AC11947"/>
    <w:rsid w:val="0AF20AEF"/>
    <w:rsid w:val="0B060678"/>
    <w:rsid w:val="0B6232ED"/>
    <w:rsid w:val="0B956B70"/>
    <w:rsid w:val="0C41302A"/>
    <w:rsid w:val="0CAA6E21"/>
    <w:rsid w:val="0D156991"/>
    <w:rsid w:val="0D67754C"/>
    <w:rsid w:val="0D8A752E"/>
    <w:rsid w:val="0E0B5541"/>
    <w:rsid w:val="0E280928"/>
    <w:rsid w:val="0F0C39A1"/>
    <w:rsid w:val="0F2B15C9"/>
    <w:rsid w:val="0FBC30F4"/>
    <w:rsid w:val="101C7854"/>
    <w:rsid w:val="127C4397"/>
    <w:rsid w:val="128952E2"/>
    <w:rsid w:val="131C66CB"/>
    <w:rsid w:val="13767E73"/>
    <w:rsid w:val="140534A4"/>
    <w:rsid w:val="14ED69E8"/>
    <w:rsid w:val="15840280"/>
    <w:rsid w:val="15D6692B"/>
    <w:rsid w:val="15E2762C"/>
    <w:rsid w:val="162C2759"/>
    <w:rsid w:val="1663452C"/>
    <w:rsid w:val="16BC1C9D"/>
    <w:rsid w:val="173B6FF4"/>
    <w:rsid w:val="189B3099"/>
    <w:rsid w:val="189F7F02"/>
    <w:rsid w:val="193B058E"/>
    <w:rsid w:val="1A447B28"/>
    <w:rsid w:val="1A5B4FA7"/>
    <w:rsid w:val="1AC955A7"/>
    <w:rsid w:val="1B2604E2"/>
    <w:rsid w:val="1B6B1E72"/>
    <w:rsid w:val="1D8B05A9"/>
    <w:rsid w:val="1E3C488D"/>
    <w:rsid w:val="1F05439B"/>
    <w:rsid w:val="1F407DE7"/>
    <w:rsid w:val="1FBF278C"/>
    <w:rsid w:val="20BA1301"/>
    <w:rsid w:val="20C7069C"/>
    <w:rsid w:val="20E67C77"/>
    <w:rsid w:val="20F22702"/>
    <w:rsid w:val="21653D79"/>
    <w:rsid w:val="2244029C"/>
    <w:rsid w:val="23852D0D"/>
    <w:rsid w:val="256F1AFE"/>
    <w:rsid w:val="263A043C"/>
    <w:rsid w:val="26ED5E31"/>
    <w:rsid w:val="27266901"/>
    <w:rsid w:val="27300996"/>
    <w:rsid w:val="274F54DD"/>
    <w:rsid w:val="27EB0A09"/>
    <w:rsid w:val="28743FC5"/>
    <w:rsid w:val="28820FD9"/>
    <w:rsid w:val="28EA3406"/>
    <w:rsid w:val="292B2D6D"/>
    <w:rsid w:val="293935AF"/>
    <w:rsid w:val="29C371B4"/>
    <w:rsid w:val="2A351FC9"/>
    <w:rsid w:val="2A8E5BCC"/>
    <w:rsid w:val="2A8E7260"/>
    <w:rsid w:val="2ABE4051"/>
    <w:rsid w:val="2ADD4AAF"/>
    <w:rsid w:val="2C0E3068"/>
    <w:rsid w:val="2C1D2D14"/>
    <w:rsid w:val="2C4136FB"/>
    <w:rsid w:val="2D045C82"/>
    <w:rsid w:val="2D824893"/>
    <w:rsid w:val="2DEC3658"/>
    <w:rsid w:val="2E4E5CBE"/>
    <w:rsid w:val="2F004BB9"/>
    <w:rsid w:val="2F7470EF"/>
    <w:rsid w:val="2FD6D931"/>
    <w:rsid w:val="3021055B"/>
    <w:rsid w:val="312A2781"/>
    <w:rsid w:val="31A51679"/>
    <w:rsid w:val="31F47297"/>
    <w:rsid w:val="321B0733"/>
    <w:rsid w:val="323A056C"/>
    <w:rsid w:val="32CB2671"/>
    <w:rsid w:val="33B42DA4"/>
    <w:rsid w:val="34747399"/>
    <w:rsid w:val="35A87AF3"/>
    <w:rsid w:val="35C506A4"/>
    <w:rsid w:val="35F456A2"/>
    <w:rsid w:val="36BC6D32"/>
    <w:rsid w:val="372B09DB"/>
    <w:rsid w:val="37811B93"/>
    <w:rsid w:val="380E11A1"/>
    <w:rsid w:val="380F6BB3"/>
    <w:rsid w:val="38A50319"/>
    <w:rsid w:val="399565E0"/>
    <w:rsid w:val="3A920D71"/>
    <w:rsid w:val="3BB448BC"/>
    <w:rsid w:val="3BD56003"/>
    <w:rsid w:val="3C1E0B0E"/>
    <w:rsid w:val="3C8445F3"/>
    <w:rsid w:val="3D0E3E15"/>
    <w:rsid w:val="3D2C725B"/>
    <w:rsid w:val="3D6931D5"/>
    <w:rsid w:val="3DBD7EB3"/>
    <w:rsid w:val="3DE23DBE"/>
    <w:rsid w:val="3ECF479B"/>
    <w:rsid w:val="40754B01"/>
    <w:rsid w:val="409C0479"/>
    <w:rsid w:val="40A86BF9"/>
    <w:rsid w:val="414B06C5"/>
    <w:rsid w:val="41A73354"/>
    <w:rsid w:val="420268B2"/>
    <w:rsid w:val="42A53449"/>
    <w:rsid w:val="42C76C8E"/>
    <w:rsid w:val="42DA6111"/>
    <w:rsid w:val="43E11D0D"/>
    <w:rsid w:val="43E91A02"/>
    <w:rsid w:val="443A225E"/>
    <w:rsid w:val="444B2211"/>
    <w:rsid w:val="44A847D8"/>
    <w:rsid w:val="457E2704"/>
    <w:rsid w:val="45C67B21"/>
    <w:rsid w:val="46357432"/>
    <w:rsid w:val="46E164C1"/>
    <w:rsid w:val="470E01B0"/>
    <w:rsid w:val="471049AF"/>
    <w:rsid w:val="474224CC"/>
    <w:rsid w:val="485C0719"/>
    <w:rsid w:val="489456FD"/>
    <w:rsid w:val="492E7EB7"/>
    <w:rsid w:val="49CF3448"/>
    <w:rsid w:val="4A08695A"/>
    <w:rsid w:val="4A2B014A"/>
    <w:rsid w:val="4A365275"/>
    <w:rsid w:val="4A7465C4"/>
    <w:rsid w:val="4A93363D"/>
    <w:rsid w:val="4AE70793"/>
    <w:rsid w:val="4B1B5105"/>
    <w:rsid w:val="4B3A2DF8"/>
    <w:rsid w:val="4B8D3A4C"/>
    <w:rsid w:val="4CBA3ACA"/>
    <w:rsid w:val="4D065CF9"/>
    <w:rsid w:val="4D2C72F8"/>
    <w:rsid w:val="4DA07975"/>
    <w:rsid w:val="4DF558BF"/>
    <w:rsid w:val="4DF95776"/>
    <w:rsid w:val="4E067654"/>
    <w:rsid w:val="4E45446B"/>
    <w:rsid w:val="4E7D39CF"/>
    <w:rsid w:val="4E9678F1"/>
    <w:rsid w:val="4F205D83"/>
    <w:rsid w:val="4F44079F"/>
    <w:rsid w:val="50096C45"/>
    <w:rsid w:val="501A642E"/>
    <w:rsid w:val="509C567D"/>
    <w:rsid w:val="53AC2096"/>
    <w:rsid w:val="53DE0A3A"/>
    <w:rsid w:val="540A6275"/>
    <w:rsid w:val="55172AE4"/>
    <w:rsid w:val="5583514A"/>
    <w:rsid w:val="572709D1"/>
    <w:rsid w:val="572A3C7C"/>
    <w:rsid w:val="57BA7C0F"/>
    <w:rsid w:val="58117EEF"/>
    <w:rsid w:val="582C7CB7"/>
    <w:rsid w:val="590D5A26"/>
    <w:rsid w:val="593A4C49"/>
    <w:rsid w:val="593E6FAD"/>
    <w:rsid w:val="595F40F2"/>
    <w:rsid w:val="597F42D9"/>
    <w:rsid w:val="59BF03A8"/>
    <w:rsid w:val="59FA62BF"/>
    <w:rsid w:val="5A040EEC"/>
    <w:rsid w:val="5A1350B0"/>
    <w:rsid w:val="5A640354"/>
    <w:rsid w:val="5A9D0BA5"/>
    <w:rsid w:val="5AE43B66"/>
    <w:rsid w:val="5AE60D1B"/>
    <w:rsid w:val="5AF879E8"/>
    <w:rsid w:val="5B0C2715"/>
    <w:rsid w:val="5BEB116E"/>
    <w:rsid w:val="5BF97888"/>
    <w:rsid w:val="5C2E31F8"/>
    <w:rsid w:val="5CC45974"/>
    <w:rsid w:val="5D1D22C5"/>
    <w:rsid w:val="5D8C64FA"/>
    <w:rsid w:val="5DE86607"/>
    <w:rsid w:val="5E006F74"/>
    <w:rsid w:val="5E0D2339"/>
    <w:rsid w:val="5E563166"/>
    <w:rsid w:val="5EFB439C"/>
    <w:rsid w:val="5F56667A"/>
    <w:rsid w:val="5F9C6F4B"/>
    <w:rsid w:val="60055386"/>
    <w:rsid w:val="60150932"/>
    <w:rsid w:val="604D6B6A"/>
    <w:rsid w:val="60B33F8F"/>
    <w:rsid w:val="60BB45EE"/>
    <w:rsid w:val="60C55410"/>
    <w:rsid w:val="622441AA"/>
    <w:rsid w:val="63107D5E"/>
    <w:rsid w:val="64031FD2"/>
    <w:rsid w:val="645771EC"/>
    <w:rsid w:val="647749B0"/>
    <w:rsid w:val="652C2DE2"/>
    <w:rsid w:val="658A16C6"/>
    <w:rsid w:val="65AE41B8"/>
    <w:rsid w:val="65FC652F"/>
    <w:rsid w:val="66264AE6"/>
    <w:rsid w:val="6678270C"/>
    <w:rsid w:val="669A4C1A"/>
    <w:rsid w:val="67774FBD"/>
    <w:rsid w:val="679A0145"/>
    <w:rsid w:val="67DE5796"/>
    <w:rsid w:val="680054FA"/>
    <w:rsid w:val="680B78E9"/>
    <w:rsid w:val="68B852C3"/>
    <w:rsid w:val="68E329D0"/>
    <w:rsid w:val="69747EC6"/>
    <w:rsid w:val="699E6B7E"/>
    <w:rsid w:val="6A9040D6"/>
    <w:rsid w:val="6AA03BB7"/>
    <w:rsid w:val="6ABE0C43"/>
    <w:rsid w:val="6AE01DCC"/>
    <w:rsid w:val="6AEB19B5"/>
    <w:rsid w:val="6B0E3133"/>
    <w:rsid w:val="6B7E27D2"/>
    <w:rsid w:val="6C4E249B"/>
    <w:rsid w:val="6CBA368C"/>
    <w:rsid w:val="6CD117BF"/>
    <w:rsid w:val="6D5579DD"/>
    <w:rsid w:val="6F703B6D"/>
    <w:rsid w:val="6F814935"/>
    <w:rsid w:val="6FA54EA7"/>
    <w:rsid w:val="6FFF3DBF"/>
    <w:rsid w:val="70B954D3"/>
    <w:rsid w:val="71031C18"/>
    <w:rsid w:val="71B40B4A"/>
    <w:rsid w:val="71ED0885"/>
    <w:rsid w:val="729736A9"/>
    <w:rsid w:val="72B12376"/>
    <w:rsid w:val="734260F6"/>
    <w:rsid w:val="73765356"/>
    <w:rsid w:val="74BC4973"/>
    <w:rsid w:val="74FC0841"/>
    <w:rsid w:val="75795548"/>
    <w:rsid w:val="75A55559"/>
    <w:rsid w:val="75D34962"/>
    <w:rsid w:val="76310482"/>
    <w:rsid w:val="76356195"/>
    <w:rsid w:val="76F123A0"/>
    <w:rsid w:val="772157C2"/>
    <w:rsid w:val="77735E37"/>
    <w:rsid w:val="7881557F"/>
    <w:rsid w:val="78AD61D2"/>
    <w:rsid w:val="79885BF6"/>
    <w:rsid w:val="7A923AD7"/>
    <w:rsid w:val="7A965738"/>
    <w:rsid w:val="7AC202DC"/>
    <w:rsid w:val="7B3C086B"/>
    <w:rsid w:val="7BB8348D"/>
    <w:rsid w:val="7BFE340A"/>
    <w:rsid w:val="7C0061C0"/>
    <w:rsid w:val="7C25384F"/>
    <w:rsid w:val="7C545764"/>
    <w:rsid w:val="7CB10760"/>
    <w:rsid w:val="7D841889"/>
    <w:rsid w:val="7E0C31B6"/>
    <w:rsid w:val="7E0E5D3E"/>
    <w:rsid w:val="7EE354F2"/>
    <w:rsid w:val="7EEE7BCB"/>
    <w:rsid w:val="7EFC1100"/>
    <w:rsid w:val="7FF740AE"/>
    <w:rsid w:val="9E756B23"/>
    <w:rsid w:val="BA7B23C6"/>
    <w:rsid w:val="BBBF1BD8"/>
    <w:rsid w:val="DAFC5029"/>
    <w:rsid w:val="DF7EC06A"/>
    <w:rsid w:val="F531C8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unhideWhenUsed/>
    <w:qFormat/>
    <w:uiPriority w:val="0"/>
    <w:pPr>
      <w:keepNext/>
      <w:keepLines/>
      <w:outlineLvl w:val="2"/>
    </w:pPr>
    <w:rPr>
      <w:rFonts w:eastAsia="仿宋"/>
      <w:bCs/>
      <w:sz w:val="30"/>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580" w:lineRule="exact"/>
    </w:pPr>
    <w:rPr>
      <w:rFonts w:ascii="仿宋_GB2312" w:hAnsi="宋体" w:eastAsia="仿宋_GB2312"/>
      <w:sz w:val="32"/>
    </w:rPr>
  </w:style>
  <w:style w:type="paragraph" w:styleId="4">
    <w:name w:val="Body Text Indent 2"/>
    <w:basedOn w:val="1"/>
    <w:link w:val="16"/>
    <w:qFormat/>
    <w:uiPriority w:val="0"/>
    <w:pPr>
      <w:spacing w:line="520" w:lineRule="exact"/>
      <w:ind w:firstLine="416" w:firstLineChars="147"/>
    </w:pPr>
    <w:rPr>
      <w:rFonts w:ascii="汉仪书宋二简" w:hAnsi="汉仪书宋二简" w:eastAsia="汉仪书宋二简" w:cs="Times New Roman"/>
      <w:spacing w:val="20"/>
      <w:w w:val="110"/>
      <w:kern w:val="10"/>
      <w:sz w:val="23"/>
      <w:szCs w:val="23"/>
    </w:rPr>
  </w:style>
  <w:style w:type="paragraph" w:styleId="5">
    <w:name w:val="Balloon Text"/>
    <w:basedOn w:val="1"/>
    <w:link w:val="18"/>
    <w:semiHidden/>
    <w:unhideWhenUsed/>
    <w:qFormat/>
    <w:uiPriority w:val="99"/>
    <w:rPr>
      <w:sz w:val="18"/>
      <w:szCs w:val="18"/>
    </w:rPr>
  </w:style>
  <w:style w:type="paragraph" w:styleId="6">
    <w:name w:val="footer"/>
    <w:basedOn w:val="1"/>
    <w:link w:val="14"/>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page number"/>
    <w:basedOn w:val="10"/>
    <w:qFormat/>
    <w:uiPriority w:val="0"/>
  </w:style>
  <w:style w:type="character" w:styleId="12">
    <w:name w:val="Hyperlink"/>
    <w:basedOn w:val="10"/>
    <w:semiHidden/>
    <w:unhideWhenUsed/>
    <w:qFormat/>
    <w:uiPriority w:val="99"/>
    <w:rPr>
      <w:color w:val="0000FF"/>
      <w:u w:val="single"/>
    </w:rPr>
  </w:style>
  <w:style w:type="paragraph" w:customStyle="1" w:styleId="13">
    <w:name w:val="样式 楷体_GB2312 三号 黑色 首行缩进:  0.35 厘米 字距调整四号 行距: 固定值 28 磅"/>
    <w:basedOn w:val="1"/>
    <w:qFormat/>
    <w:uiPriority w:val="0"/>
    <w:pPr>
      <w:spacing w:line="560" w:lineRule="exact"/>
      <w:ind w:firstLine="200" w:firstLineChars="200"/>
    </w:pPr>
    <w:rPr>
      <w:rFonts w:ascii="楷体_GB2312" w:hAnsi="楷体_GB2312" w:eastAsia="楷体_GB2312"/>
      <w:color w:val="000000"/>
      <w:kern w:val="28"/>
      <w:szCs w:val="20"/>
    </w:rPr>
  </w:style>
  <w:style w:type="character" w:customStyle="1" w:styleId="14">
    <w:name w:val="页脚 字符"/>
    <w:basedOn w:val="10"/>
    <w:link w:val="6"/>
    <w:qFormat/>
    <w:uiPriority w:val="0"/>
    <w:rPr>
      <w:rFonts w:ascii="Times New Roman" w:hAnsi="Times New Roman" w:eastAsia="宋体" w:cs="Times New Roman"/>
      <w:sz w:val="18"/>
      <w:szCs w:val="18"/>
    </w:rPr>
  </w:style>
  <w:style w:type="character" w:customStyle="1" w:styleId="15">
    <w:name w:val="页眉 字符"/>
    <w:basedOn w:val="10"/>
    <w:link w:val="7"/>
    <w:qFormat/>
    <w:uiPriority w:val="99"/>
    <w:rPr>
      <w:sz w:val="18"/>
      <w:szCs w:val="18"/>
    </w:rPr>
  </w:style>
  <w:style w:type="character" w:customStyle="1" w:styleId="16">
    <w:name w:val="正文文本缩进 2 字符"/>
    <w:basedOn w:val="10"/>
    <w:link w:val="4"/>
    <w:qFormat/>
    <w:uiPriority w:val="0"/>
    <w:rPr>
      <w:rFonts w:ascii="汉仪书宋二简" w:hAnsi="汉仪书宋二简" w:eastAsia="汉仪书宋二简" w:cs="Times New Roman"/>
      <w:spacing w:val="20"/>
      <w:w w:val="110"/>
      <w:kern w:val="10"/>
      <w:sz w:val="23"/>
      <w:szCs w:val="23"/>
    </w:rPr>
  </w:style>
  <w:style w:type="paragraph" w:styleId="17">
    <w:name w:val="List Paragraph"/>
    <w:basedOn w:val="1"/>
    <w:qFormat/>
    <w:uiPriority w:val="34"/>
    <w:pPr>
      <w:ind w:firstLine="420" w:firstLineChars="200"/>
    </w:pPr>
  </w:style>
  <w:style w:type="character" w:customStyle="1" w:styleId="18">
    <w:name w:val="批注框文本 字符"/>
    <w:basedOn w:val="10"/>
    <w:link w:val="5"/>
    <w:semiHidden/>
    <w:qFormat/>
    <w:uiPriority w:val="99"/>
    <w:rPr>
      <w:sz w:val="18"/>
      <w:szCs w:val="18"/>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7</Pages>
  <Words>4740</Words>
  <Characters>5002</Characters>
  <Lines>43</Lines>
  <Paragraphs>12</Paragraphs>
  <TotalTime>32</TotalTime>
  <ScaleCrop>false</ScaleCrop>
  <LinksUpToDate>false</LinksUpToDate>
  <CharactersWithSpaces>5007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2022-03-05T11:03:00Z</dcterms:created>
  <dc:creator>金格科技</dc:creator>
  <cp:lastModifiedBy>Lee 1</cp:lastModifiedBy>
  <cp:lastPrinted>2022-07-05T22:11:00Z</cp:lastPrinted>
  <dcterms:modified xsi:type="dcterms:W3CDTF">2022-10-26T09:58:45Z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FDBD6E16F5C843A2B8DC65433464F405</vt:lpwstr>
  </property>
</Properties>
</file>