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rPr>
      </w:pPr>
      <w:r>
        <w:rPr>
          <w:rFonts w:hint="eastAsia" w:cs="Times New Roman" w:asciiTheme="majorEastAsia" w:hAnsiTheme="majorEastAsia" w:eastAsiaTheme="majorEastAsia"/>
          <w:b/>
          <w:spacing w:val="20"/>
          <w:w w:val="110"/>
          <w:kern w:val="10"/>
          <w:sz w:val="40"/>
          <w:szCs w:val="24"/>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rPr>
      </w:pPr>
      <w:r>
        <w:rPr>
          <w:rFonts w:hint="eastAsia" w:cs="Times New Roman" w:asciiTheme="minorEastAsia" w:hAnsiTheme="minorEastAsia"/>
          <w:color w:val="000000"/>
          <w:spacing w:val="20"/>
          <w:w w:val="110"/>
          <w:kern w:val="10"/>
          <w:sz w:val="23"/>
          <w:szCs w:val="24"/>
        </w:rPr>
        <w:t>深土交告〔2022〕</w:t>
      </w:r>
      <w:r>
        <w:rPr>
          <w:rFonts w:hint="eastAsia" w:cs="Times New Roman" w:asciiTheme="minorEastAsia" w:hAnsiTheme="minorEastAsia"/>
          <w:color w:val="000000"/>
          <w:spacing w:val="20"/>
          <w:w w:val="110"/>
          <w:kern w:val="10"/>
          <w:sz w:val="23"/>
          <w:szCs w:val="24"/>
          <w:lang w:val="en-US" w:eastAsia="zh-CN"/>
        </w:rPr>
        <w:t>59</w:t>
      </w:r>
      <w:r>
        <w:rPr>
          <w:rFonts w:hint="eastAsia" w:cs="Times New Roman" w:asciiTheme="minorEastAsia" w:hAnsiTheme="minorEastAsia"/>
          <w:color w:val="000000"/>
          <w:spacing w:val="20"/>
          <w:w w:val="110"/>
          <w:kern w:val="10"/>
          <w:sz w:val="23"/>
          <w:szCs w:val="24"/>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w:t>
      </w:r>
      <w:r>
        <w:rPr>
          <w:rFonts w:hint="eastAsia" w:cs="Times New Roman" w:asciiTheme="minorEastAsia" w:hAnsiTheme="minorEastAsia"/>
          <w:spacing w:val="20"/>
          <w:w w:val="110"/>
          <w:kern w:val="10"/>
          <w:sz w:val="23"/>
          <w:szCs w:val="23"/>
          <w:lang w:val="en-US" w:eastAsia="zh-CN"/>
        </w:rPr>
        <w:t>440307002006GB00474</w:t>
      </w:r>
      <w:r>
        <w:rPr>
          <w:rFonts w:hint="eastAsia" w:cs="Times New Roman" w:asciiTheme="minorEastAsia" w:hAnsiTheme="minorEastAsia"/>
          <w:spacing w:val="20"/>
          <w:w w:val="110"/>
          <w:kern w:val="10"/>
          <w:sz w:val="23"/>
          <w:szCs w:val="23"/>
        </w:rPr>
        <w:t>宗地的使用权，公告期自2022年10月27日至2022年11月15日，挂牌期自2022年11月16日至2022年11月25日15时止。现予公告。</w:t>
      </w:r>
    </w:p>
    <w:tbl>
      <w:tblPr>
        <w:tblStyle w:val="9"/>
        <w:tblpPr w:leftFromText="180" w:rightFromText="180" w:vertAnchor="text" w:horzAnchor="page" w:tblpX="319" w:tblpY="566"/>
        <w:tblOverlap w:val="never"/>
        <w:tblW w:w="10715" w:type="dxa"/>
        <w:tblInd w:w="0" w:type="dxa"/>
        <w:shd w:val="clear" w:color="auto" w:fill="FFFFFF"/>
        <w:tblLayout w:type="fixed"/>
        <w:tblCellMar>
          <w:top w:w="15" w:type="dxa"/>
          <w:left w:w="15" w:type="dxa"/>
          <w:bottom w:w="15" w:type="dxa"/>
          <w:right w:w="15" w:type="dxa"/>
        </w:tblCellMar>
      </w:tblPr>
      <w:tblGrid>
        <w:gridCol w:w="847"/>
        <w:gridCol w:w="818"/>
        <w:gridCol w:w="781"/>
        <w:gridCol w:w="1370"/>
        <w:gridCol w:w="901"/>
        <w:gridCol w:w="932"/>
        <w:gridCol w:w="980"/>
        <w:gridCol w:w="1028"/>
        <w:gridCol w:w="967"/>
        <w:gridCol w:w="776"/>
        <w:gridCol w:w="674"/>
        <w:gridCol w:w="641"/>
      </w:tblGrid>
      <w:tr>
        <w:tblPrEx>
          <w:shd w:val="clear" w:color="auto" w:fill="FFFFFF"/>
          <w:tblCellMar>
            <w:top w:w="15" w:type="dxa"/>
            <w:left w:w="15" w:type="dxa"/>
            <w:bottom w:w="15" w:type="dxa"/>
            <w:right w:w="15" w:type="dxa"/>
          </w:tblCellMar>
        </w:tblPrEx>
        <w:trPr>
          <w:trHeight w:val="1908" w:hRule="atLeast"/>
        </w:trPr>
        <w:tc>
          <w:tcPr>
            <w:tcW w:w="84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宗地代码</w:t>
            </w:r>
          </w:p>
        </w:tc>
        <w:tc>
          <w:tcPr>
            <w:tcW w:w="81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宗地号</w:t>
            </w:r>
          </w:p>
        </w:tc>
        <w:tc>
          <w:tcPr>
            <w:tcW w:w="78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土地位置</w:t>
            </w:r>
          </w:p>
        </w:tc>
        <w:tc>
          <w:tcPr>
            <w:tcW w:w="13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土地</w:t>
            </w:r>
          </w:p>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用途</w:t>
            </w:r>
          </w:p>
        </w:tc>
        <w:tc>
          <w:tcPr>
            <w:tcW w:w="90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土地面积（平方米）</w:t>
            </w:r>
          </w:p>
        </w:tc>
        <w:tc>
          <w:tcPr>
            <w:tcW w:w="93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建筑面积（平方米）</w:t>
            </w:r>
          </w:p>
        </w:tc>
        <w:tc>
          <w:tcPr>
            <w:tcW w:w="9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挂牌起始价（人民币、万元）</w:t>
            </w:r>
          </w:p>
        </w:tc>
        <w:tc>
          <w:tcPr>
            <w:tcW w:w="10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最高限制地价（人民币、万元）</w:t>
            </w:r>
          </w:p>
        </w:tc>
        <w:tc>
          <w:tcPr>
            <w:tcW w:w="96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hint="eastAsia"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初始建设的安居型商品房建筑面积（平方米）</w:t>
            </w:r>
          </w:p>
        </w:tc>
        <w:tc>
          <w:tcPr>
            <w:tcW w:w="7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竞</w:t>
            </w:r>
            <w:r>
              <w:rPr>
                <w:rFonts w:hint="eastAsia" w:ascii="汉仪书宋二简" w:hAnsi="微软雅黑" w:eastAsia="汉仪书宋二简" w:cs="宋体"/>
                <w:b/>
                <w:bCs/>
                <w:color w:val="000000"/>
                <w:kern w:val="0"/>
                <w:sz w:val="18"/>
                <w:szCs w:val="18"/>
                <w:lang w:val="en-US" w:eastAsia="zh-CN"/>
              </w:rPr>
              <w:t>安居型商品房</w:t>
            </w:r>
            <w:r>
              <w:rPr>
                <w:rFonts w:hint="eastAsia" w:ascii="汉仪书宋二简" w:hAnsi="微软雅黑" w:eastAsia="汉仪书宋二简" w:cs="宋体"/>
                <w:b/>
                <w:bCs/>
                <w:color w:val="000000"/>
                <w:kern w:val="0"/>
                <w:sz w:val="18"/>
                <w:szCs w:val="18"/>
              </w:rPr>
              <w:t>最高限制建筑面积（平方米）</w:t>
            </w:r>
          </w:p>
        </w:tc>
        <w:tc>
          <w:tcPr>
            <w:tcW w:w="6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竞买（投标）保证金（人民币、万元）</w:t>
            </w:r>
          </w:p>
        </w:tc>
        <w:tc>
          <w:tcPr>
            <w:tcW w:w="64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土地使用年限（年）</w:t>
            </w:r>
          </w:p>
        </w:tc>
      </w:tr>
      <w:tr>
        <w:tblPrEx>
          <w:shd w:val="clear" w:color="auto" w:fill="FFFFFF"/>
          <w:tblCellMar>
            <w:top w:w="15" w:type="dxa"/>
            <w:left w:w="15" w:type="dxa"/>
            <w:bottom w:w="15" w:type="dxa"/>
            <w:right w:w="15" w:type="dxa"/>
          </w:tblCellMar>
        </w:tblPrEx>
        <w:trPr>
          <w:trHeight w:val="1760" w:hRule="atLeast"/>
        </w:trPr>
        <w:tc>
          <w:tcPr>
            <w:tcW w:w="84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cs="宋体" w:asciiTheme="minorEastAsia" w:hAnsiTheme="minorEastAsia"/>
                <w:bCs/>
                <w:kern w:val="0"/>
                <w:sz w:val="20"/>
                <w:szCs w:val="20"/>
                <w:lang w:val="en-US" w:eastAsia="zh-CN"/>
              </w:rPr>
              <w:t>440307002006GB00474</w:t>
            </w:r>
          </w:p>
        </w:tc>
        <w:tc>
          <w:tcPr>
            <w:tcW w:w="81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G10203-0499</w:t>
            </w:r>
          </w:p>
        </w:tc>
        <w:tc>
          <w:tcPr>
            <w:tcW w:w="78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龙岗区坪地街道</w:t>
            </w:r>
          </w:p>
        </w:tc>
        <w:tc>
          <w:tcPr>
            <w:tcW w:w="13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二类居住用地</w:t>
            </w:r>
          </w:p>
        </w:tc>
        <w:tc>
          <w:tcPr>
            <w:tcW w:w="90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131619.81</w:t>
            </w:r>
          </w:p>
        </w:tc>
        <w:tc>
          <w:tcPr>
            <w:tcW w:w="93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523832</w:t>
            </w:r>
          </w:p>
        </w:tc>
        <w:tc>
          <w:tcPr>
            <w:tcW w:w="9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396300</w:t>
            </w:r>
          </w:p>
        </w:tc>
        <w:tc>
          <w:tcPr>
            <w:tcW w:w="10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455700</w:t>
            </w:r>
          </w:p>
        </w:tc>
        <w:tc>
          <w:tcPr>
            <w:tcW w:w="96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191280</w:t>
            </w:r>
          </w:p>
        </w:tc>
        <w:tc>
          <w:tcPr>
            <w:tcW w:w="7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47820</w:t>
            </w:r>
          </w:p>
        </w:tc>
        <w:tc>
          <w:tcPr>
            <w:tcW w:w="6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198100</w:t>
            </w:r>
          </w:p>
        </w:tc>
        <w:tc>
          <w:tcPr>
            <w:tcW w:w="64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70</w:t>
            </w:r>
          </w:p>
        </w:tc>
      </w:tr>
    </w:tbl>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rPr>
      </w:pPr>
      <w:r>
        <w:rPr>
          <w:rFonts w:hint="eastAsia" w:cs="Times New Roman" w:asciiTheme="minorEastAsia" w:hAnsiTheme="minorEastAsia"/>
          <w:spacing w:val="20"/>
          <w:w w:val="110"/>
          <w:kern w:val="10"/>
          <w:sz w:val="23"/>
          <w:szCs w:val="23"/>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二、出让条件</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（一）本公告出让宗地住宅部分拟建设普通商品住房和安居型商品房，采取“三限双竞+摇号”规则挂牌出让,即:限地价、限售价、限</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建筑面积，竞地价、竞</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达到最高限制建筑面积后通过摇号方式确定竞得人。竞价过程中，竞买人最高报价未超过最高限制地价时，按价高者得的原则确定竞得人和成交价。当竞买人报价达到最高限制地价时，有意继续竞买的竞买人由竞地价转入竞</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建筑面积（住宅总建筑面积不变，</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相应扣减普通商品住房建筑面积），</w:t>
      </w:r>
      <w:r>
        <w:rPr>
          <w:rFonts w:hint="eastAsia" w:cs="Times New Roman" w:asciiTheme="minorEastAsia" w:hAnsiTheme="minorEastAsia"/>
          <w:spacing w:val="20"/>
          <w:w w:val="110"/>
          <w:kern w:val="10"/>
          <w:sz w:val="23"/>
          <w:szCs w:val="23"/>
        </w:rPr>
        <w:t>竞买人报出的</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（三）同一企业参与本批次（含深土交告〔2022〕</w:t>
      </w:r>
      <w:r>
        <w:rPr>
          <w:rFonts w:hint="eastAsia" w:cs="Times New Roman" w:asciiTheme="minorEastAsia" w:hAnsiTheme="minorEastAsia"/>
          <w:spacing w:val="20"/>
          <w:w w:val="110"/>
          <w:kern w:val="10"/>
          <w:sz w:val="23"/>
          <w:szCs w:val="23"/>
          <w:lang w:val="en-US" w:eastAsia="zh-CN"/>
        </w:rPr>
        <w:t>55、56</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57</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58、59、60</w:t>
      </w:r>
      <w:r>
        <w:rPr>
          <w:rFonts w:hint="eastAsia" w:cs="Times New Roman" w:asciiTheme="minorEastAsia" w:hAnsiTheme="minorEastAsia"/>
          <w:spacing w:val="20"/>
          <w:w w:val="110"/>
          <w:kern w:val="10"/>
          <w:sz w:val="23"/>
          <w:szCs w:val="23"/>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因本条款导致宗地报价、现场竞价或摇号环节有效竞买人不足一人时，则该宗地不受此限制，此前报价继续有效。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四）竞得人拟成立全资子公司进行开发建设的，应在竞买申请时提供有关材料明确全资子公司的出资构成、成立时间等内容。竞得人可以在深圳市依法注册设立一家全资子公司，并通过签订土地使用权出让合同补充协议，将土地使用权变更至全资子公司名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（六）本公告出让宗地竞得人需落实海绵城市建设、绿色建筑、装配式建筑、建筑信息模型（BIM）技术应用的相关规定。</w:t>
      </w:r>
    </w:p>
    <w:p>
      <w:pPr>
        <w:tabs>
          <w:tab w:val="left" w:pos="8460"/>
        </w:tabs>
        <w:spacing w:line="480" w:lineRule="exact"/>
        <w:rPr>
          <w:rFonts w:cs="Times New Roman" w:asciiTheme="minorEastAsia" w:hAnsiTheme="minorEastAsia"/>
          <w:color w:val="000000" w:themeColor="text1"/>
          <w:spacing w:val="20"/>
          <w:w w:val="110"/>
          <w:kern w:val="10"/>
          <w:sz w:val="23"/>
          <w:szCs w:val="23"/>
          <w14:textFill>
            <w14:solidFill>
              <w14:schemeClr w14:val="tx1"/>
            </w14:solidFill>
          </w14:textFill>
        </w:rPr>
      </w:pPr>
      <w:r>
        <w:rPr>
          <w:rFonts w:cs="Times New Roman" w:asciiTheme="minorEastAsia" w:hAnsiTheme="minorEastAsia"/>
          <w:spacing w:val="20"/>
          <w:w w:val="110"/>
          <w:kern w:val="10"/>
          <w:sz w:val="23"/>
          <w:szCs w:val="23"/>
        </w:rPr>
        <w:t xml:space="preserve">  </w:t>
      </w:r>
      <w:r>
        <w:rPr>
          <w:rFonts w:hint="eastAsia" w:cs="Times New Roman" w:asciiTheme="minorEastAsia" w:hAnsiTheme="minorEastAsia"/>
          <w:spacing w:val="20"/>
          <w:w w:val="110"/>
          <w:kern w:val="10"/>
          <w:sz w:val="23"/>
          <w:szCs w:val="23"/>
          <w:lang w:val="en-US" w:eastAsia="zh-CN"/>
        </w:rPr>
        <w:t xml:space="preserve">  </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（七</w:t>
      </w:r>
      <w:r>
        <w:rPr>
          <w:rFonts w:hint="eastAsia" w:cs="Times New Roman" w:asciiTheme="minorEastAsia" w:hAnsiTheme="minorEastAsia"/>
          <w:color w:val="000000" w:themeColor="text1"/>
          <w:spacing w:val="20"/>
          <w:w w:val="110"/>
          <w:kern w:val="10"/>
          <w:sz w:val="23"/>
          <w:szCs w:val="23"/>
          <w:lang w:eastAsia="zh-CN"/>
          <w14:textFill>
            <w14:solidFill>
              <w14:schemeClr w14:val="tx1"/>
            </w14:solidFill>
          </w14:textFill>
        </w:rPr>
        <w:t>）</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宗地竞得人</w:t>
      </w:r>
      <w:r>
        <w:rPr>
          <w:rFonts w:hint="eastAsia" w:ascii="宋体" w:hAnsi="宋体" w:eastAsia="宋体" w:cs="Times New Roman"/>
          <w:color w:val="000000" w:themeColor="text1"/>
          <w:spacing w:val="20"/>
          <w:w w:val="110"/>
          <w:kern w:val="10"/>
          <w:sz w:val="23"/>
          <w:szCs w:val="23"/>
          <w14:textFill>
            <w14:solidFill>
              <w14:schemeClr w14:val="tx1"/>
            </w14:solidFill>
          </w14:textFill>
        </w:rPr>
        <w:t>应按照地质灾害危险性评估报告、土壤环境调查评估报告的结论采取相应措施。</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t>（八）本公告出让宗地进入轨道3号线安全保护区，竞得人需在办理《建设工程桩基础报建证明书》《建设工程规划许可证》前取得轨道建设运营单位的书面同意意见。</w:t>
      </w:r>
    </w:p>
    <w:p>
      <w:pPr>
        <w:tabs>
          <w:tab w:val="left" w:pos="8460"/>
        </w:tabs>
        <w:spacing w:line="480" w:lineRule="exact"/>
        <w:ind w:firstLine="568" w:firstLineChars="200"/>
        <w:rPr>
          <w:rFonts w:hint="eastAsia" w:cs="Times New Roman" w:asciiTheme="minorEastAsia" w:hAnsiTheme="minorEastAsia"/>
          <w:color w:val="auto"/>
          <w:spacing w:val="20"/>
          <w:w w:val="110"/>
          <w:kern w:val="10"/>
          <w:sz w:val="23"/>
          <w:szCs w:val="23"/>
          <w:lang w:val="en-US" w:eastAsia="zh-CN"/>
        </w:rPr>
      </w:pPr>
      <w:r>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t>（九）</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本公告出让</w:t>
      </w:r>
      <w:r>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t>宗地涉及坪地支线原水管管理和保护范围，竞得人如需在该原水管管理和保护范围内开展建设工程活动，须进一步对接龙岗区水务局办理相关行政审批</w:t>
      </w:r>
      <w:r>
        <w:rPr>
          <w:rFonts w:hint="eastAsia" w:cs="Times New Roman" w:asciiTheme="minorEastAsia" w:hAnsiTheme="minorEastAsia"/>
          <w:color w:val="auto"/>
          <w:spacing w:val="20"/>
          <w:w w:val="110"/>
          <w:kern w:val="10"/>
          <w:sz w:val="23"/>
          <w:szCs w:val="23"/>
          <w:lang w:val="en-US" w:eastAsia="zh-CN"/>
        </w:rPr>
        <w:t>手续后方可实施。</w:t>
      </w:r>
    </w:p>
    <w:p>
      <w:pPr>
        <w:tabs>
          <w:tab w:val="left" w:pos="8460"/>
        </w:tabs>
        <w:spacing w:line="480" w:lineRule="exact"/>
        <w:ind w:firstLine="568" w:firstLineChars="200"/>
        <w:rPr>
          <w:rFonts w:hint="eastAsia" w:cs="Times New Roman" w:asciiTheme="minorEastAsia" w:hAnsiTheme="minorEastAsia"/>
          <w:color w:val="auto"/>
          <w:spacing w:val="20"/>
          <w:w w:val="110"/>
          <w:kern w:val="10"/>
          <w:sz w:val="23"/>
          <w:szCs w:val="23"/>
          <w:lang w:val="en-US" w:eastAsia="zh-CN"/>
        </w:rPr>
      </w:pPr>
      <w:r>
        <w:rPr>
          <w:rFonts w:hint="eastAsia" w:cs="Times New Roman" w:asciiTheme="minorEastAsia" w:hAnsiTheme="minorEastAsia"/>
          <w:color w:val="auto"/>
          <w:spacing w:val="20"/>
          <w:w w:val="110"/>
          <w:kern w:val="10"/>
          <w:sz w:val="23"/>
          <w:szCs w:val="23"/>
          <w:lang w:val="en-US" w:eastAsia="zh-CN"/>
        </w:rPr>
        <w:t>（十）本公告出让宗地北侧道路（用地面积约16642平方米）、东北侧72班九年一贯制学校（用地面积约32400平方米）、东侧36班小学（用地面积约14592平方米）由竞得人负责建设，建成后无偿移交，产权归政府。</w:t>
      </w:r>
    </w:p>
    <w:p>
      <w:pPr>
        <w:tabs>
          <w:tab w:val="left" w:pos="8460"/>
        </w:tabs>
        <w:spacing w:line="480" w:lineRule="exact"/>
        <w:ind w:firstLine="568" w:firstLineChars="200"/>
        <w:rPr>
          <w:rFonts w:hint="default" w:cs="Times New Roman" w:asciiTheme="minorEastAsia" w:hAnsiTheme="minorEastAsia"/>
          <w:color w:val="auto"/>
          <w:spacing w:val="20"/>
          <w:w w:val="110"/>
          <w:kern w:val="10"/>
          <w:sz w:val="23"/>
          <w:szCs w:val="23"/>
          <w:lang w:val="en-US" w:eastAsia="zh-CN"/>
        </w:rPr>
      </w:pPr>
      <w:r>
        <w:rPr>
          <w:rFonts w:hint="eastAsia" w:cs="Times New Roman" w:asciiTheme="minorEastAsia" w:hAnsiTheme="minorEastAsia"/>
          <w:color w:val="auto"/>
          <w:spacing w:val="20"/>
          <w:w w:val="110"/>
          <w:kern w:val="10"/>
          <w:sz w:val="23"/>
          <w:szCs w:val="23"/>
          <w:lang w:val="en-US" w:eastAsia="zh-CN"/>
        </w:rPr>
        <w:t>本公告出让宗地竞得人须与龙岗区相关部门签订负责建设的道路、03-10地块小学新建工程、03-07地块九年一贯制学校的监管协议，并按照协议规定行使权利并承担义务。</w:t>
      </w:r>
    </w:p>
    <w:p>
      <w:pPr>
        <w:numPr>
          <w:ilvl w:val="0"/>
          <w:numId w:val="1"/>
        </w:num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pPr>
      <w:r>
        <w:rPr>
          <w:rFonts w:hint="eastAsia" w:cs="Times New Roman" w:asciiTheme="minorEastAsia" w:hAnsiTheme="minorEastAsia"/>
          <w:color w:val="auto"/>
          <w:spacing w:val="20"/>
          <w:w w:val="110"/>
          <w:kern w:val="10"/>
          <w:sz w:val="23"/>
          <w:szCs w:val="23"/>
          <w:lang w:val="en-US" w:eastAsia="zh-CN"/>
        </w:rPr>
        <w:t>本公告出让宗地内，G1020</w:t>
      </w:r>
      <w:r>
        <w:rPr>
          <w:rFonts w:hint="eastAsia" w:cs="Times New Roman" w:asciiTheme="minorEastAsia" w:hAnsiTheme="minorEastAsia"/>
          <w:color w:val="000000" w:themeColor="text1"/>
          <w:spacing w:val="20"/>
          <w:w w:val="110"/>
          <w:kern w:val="10"/>
          <w:sz w:val="23"/>
          <w:szCs w:val="23"/>
          <w:lang w:val="en-US" w:eastAsia="zh-CN"/>
          <w14:textFill>
            <w14:solidFill>
              <w14:schemeClr w14:val="tx1"/>
            </w14:solidFill>
          </w14:textFill>
        </w:rPr>
        <w:t>3-0499（1）中建设的安居型商品房建筑面积不得少于134370平方米，G10203-0499（2）中建设的安居型商品房建筑面积不少于56910平方米。</w:t>
      </w:r>
    </w:p>
    <w:p>
      <w:pPr>
        <w:tabs>
          <w:tab w:val="left" w:pos="8460"/>
        </w:tabs>
        <w:spacing w:line="480" w:lineRule="exact"/>
        <w:ind w:firstLine="566" w:firstLineChars="199"/>
        <w:rPr>
          <w:rFonts w:hint="eastAsia"/>
          <w:lang w:val="en-US" w:eastAsia="zh-CN"/>
        </w:rPr>
      </w:pPr>
      <w:r>
        <w:rPr>
          <w:rFonts w:hint="eastAsia" w:cs="Times New Roman" w:asciiTheme="minorEastAsia" w:hAnsiTheme="minorEastAsia"/>
          <w:spacing w:val="20"/>
          <w:w w:val="110"/>
          <w:kern w:val="10"/>
          <w:sz w:val="23"/>
          <w:szCs w:val="23"/>
          <w:highlight w:val="none"/>
          <w:lang w:val="en-US" w:eastAsia="zh-CN"/>
        </w:rPr>
        <w:t>（十二）本公告出让宗地需在办理建设工程规划许可前由规划和自然资源部门主持专家评审，论证南北向下穿市政道路的可行性，若可行，需在本宗地的地下预留南北向的双向两车道市政道路及慢行系统的建设空间（产权归政府）。</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eastAsia="zh-CN"/>
        </w:rPr>
        <w:t>十</w:t>
      </w:r>
      <w:r>
        <w:rPr>
          <w:rFonts w:hint="eastAsia" w:cs="Times New Roman" w:asciiTheme="minorEastAsia" w:hAnsiTheme="minorEastAsia"/>
          <w:spacing w:val="20"/>
          <w:w w:val="110"/>
          <w:kern w:val="10"/>
          <w:sz w:val="23"/>
          <w:szCs w:val="23"/>
          <w:highlight w:val="none"/>
          <w:lang w:val="en-US" w:eastAsia="zh-CN"/>
        </w:rPr>
        <w:t>三</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rPr>
        <w:t>本公告出让</w:t>
      </w:r>
      <w:r>
        <w:rPr>
          <w:rFonts w:hint="eastAsia" w:cs="Times New Roman" w:asciiTheme="minorEastAsia" w:hAnsiTheme="minorEastAsia"/>
          <w:spacing w:val="20"/>
          <w:w w:val="110"/>
          <w:kern w:val="10"/>
          <w:sz w:val="23"/>
          <w:szCs w:val="23"/>
          <w:lang w:val="en-US" w:eastAsia="zh-CN"/>
        </w:rPr>
        <w:t>宗地</w:t>
      </w:r>
      <w:r>
        <w:rPr>
          <w:rFonts w:hint="eastAsia" w:cs="Times New Roman" w:asciiTheme="minorEastAsia" w:hAnsiTheme="minorEastAsia"/>
          <w:spacing w:val="20"/>
          <w:w w:val="110"/>
          <w:kern w:val="10"/>
          <w:sz w:val="23"/>
          <w:szCs w:val="23"/>
          <w:highlight w:val="none"/>
          <w:lang w:val="en-US" w:eastAsia="zh-CN"/>
        </w:rPr>
        <w:t>普通商品住房平均销售价格不高于37400元/平方米（不含室内装修价格）；安居型商品房平均销售价格不高于18100元/平方米（不含室内装修价格）、最高销售价格不高于19000元/平方米（不含室内装修价格）。</w:t>
      </w:r>
    </w:p>
    <w:p>
      <w:pPr>
        <w:pStyle w:val="3"/>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（十</w:t>
      </w:r>
      <w:r>
        <w:rPr>
          <w:rFonts w:hint="eastAsia" w:cs="Times New Roman" w:asciiTheme="minorEastAsia" w:hAnsiTheme="minorEastAsia" w:eastAsiaTheme="minorEastAsia"/>
          <w:spacing w:val="20"/>
          <w:w w:val="110"/>
          <w:kern w:val="10"/>
          <w:sz w:val="23"/>
          <w:szCs w:val="23"/>
          <w:highlight w:val="none"/>
          <w:lang w:val="en-US" w:eastAsia="zh-CN"/>
        </w:rPr>
        <w:t>四</w:t>
      </w:r>
      <w:r>
        <w:rPr>
          <w:rFonts w:hint="eastAsia" w:cs="Times New Roman" w:asciiTheme="minorEastAsia" w:hAnsiTheme="minorEastAsia" w:eastAsiaTheme="minorEastAsia"/>
          <w:spacing w:val="20"/>
          <w:w w:val="110"/>
          <w:kern w:val="10"/>
          <w:sz w:val="23"/>
          <w:szCs w:val="23"/>
          <w:highlight w:val="none"/>
        </w:rPr>
        <w:t>）本公告出让宗地项目中的安居型商品房由深圳市住房保障署负责监管。竞得人须与</w:t>
      </w:r>
      <w:r>
        <w:rPr>
          <w:rFonts w:hint="eastAsia" w:cs="Times New Roman" w:asciiTheme="minorEastAsia" w:hAnsiTheme="minorEastAsia" w:eastAsiaTheme="minorEastAsia"/>
          <w:spacing w:val="20"/>
          <w:w w:val="110"/>
          <w:kern w:val="10"/>
          <w:sz w:val="23"/>
          <w:szCs w:val="23"/>
          <w:highlight w:val="none"/>
          <w:lang w:val="en-US" w:eastAsia="zh-CN"/>
        </w:rPr>
        <w:t>深圳</w:t>
      </w:r>
      <w:r>
        <w:rPr>
          <w:rFonts w:hint="eastAsia" w:cs="Times New Roman" w:asciiTheme="minorEastAsia" w:hAnsiTheme="minorEastAsia" w:eastAsiaTheme="minorEastAsia"/>
          <w:spacing w:val="20"/>
          <w:w w:val="110"/>
          <w:kern w:val="10"/>
          <w:sz w:val="23"/>
          <w:szCs w:val="23"/>
          <w:highlight w:val="none"/>
          <w:lang w:eastAsia="zh-CN"/>
        </w:rPr>
        <w:t>市住房保障署</w:t>
      </w:r>
      <w:r>
        <w:rPr>
          <w:rFonts w:hint="eastAsia" w:cs="Times New Roman" w:asciiTheme="minorEastAsia" w:hAnsiTheme="minorEastAsia" w:eastAsiaTheme="minorEastAsia"/>
          <w:spacing w:val="20"/>
          <w:w w:val="110"/>
          <w:kern w:val="10"/>
          <w:sz w:val="23"/>
          <w:szCs w:val="23"/>
          <w:highlight w:val="none"/>
        </w:rPr>
        <w:t>签订《深圳市安居型商品房建设和管理任书》。</w:t>
      </w:r>
    </w:p>
    <w:p>
      <w:pPr>
        <w:tabs>
          <w:tab w:val="left" w:pos="8460"/>
        </w:tabs>
        <w:spacing w:line="480" w:lineRule="exact"/>
        <w:ind w:firstLine="566" w:firstLineChars="199"/>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hint="eastAsia" w:cs="Times New Roman" w:asciiTheme="minorEastAsia" w:hAnsiTheme="minorEastAsia"/>
          <w:spacing w:val="20"/>
          <w:w w:val="110"/>
          <w:kern w:val="10"/>
          <w:sz w:val="23"/>
          <w:szCs w:val="23"/>
          <w:highlight w:val="none"/>
          <w:lang w:val="en-US" w:eastAsia="zh-CN"/>
        </w:rPr>
        <w:t>五</w:t>
      </w:r>
      <w:r>
        <w:rPr>
          <w:rFonts w:hint="eastAsia" w:cs="Times New Roman" w:asciiTheme="minorEastAsia" w:hAnsiTheme="minorEastAsia"/>
          <w:spacing w:val="20"/>
          <w:w w:val="110"/>
          <w:kern w:val="10"/>
          <w:sz w:val="23"/>
          <w:szCs w:val="23"/>
          <w:highlight w:val="none"/>
        </w:rPr>
        <w:t>）本公告出让宗地项目中套内建筑面积在90平方米以下的普通商品住房的建筑面积和套数占比不低于普通商品住房总建筑面积和总套数的70%。</w:t>
      </w:r>
    </w:p>
    <w:p>
      <w:pPr>
        <w:tabs>
          <w:tab w:val="left" w:pos="8460"/>
        </w:tabs>
        <w:spacing w:line="480" w:lineRule="exact"/>
        <w:ind w:firstLine="566" w:firstLineChars="199"/>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highlight w:val="none"/>
          <w:lang w:val="en-US" w:eastAsia="zh-CN"/>
        </w:rPr>
        <w:t>（十六）本公告出让宗地具体产权要</w:t>
      </w:r>
      <w:r>
        <w:rPr>
          <w:rFonts w:hint="eastAsia" w:cs="Times New Roman" w:asciiTheme="minorEastAsia" w:hAnsiTheme="minorEastAsia"/>
          <w:spacing w:val="20"/>
          <w:w w:val="110"/>
          <w:kern w:val="10"/>
          <w:sz w:val="23"/>
          <w:szCs w:val="23"/>
          <w:highlight w:val="none"/>
        </w:rPr>
        <w:t>求及其他事项，以《出让合同》为准，涉及的公共配套设施产权按相关规定和约定移交；安居型商</w:t>
      </w:r>
      <w:r>
        <w:rPr>
          <w:rFonts w:hint="eastAsia" w:cs="Times New Roman" w:asciiTheme="minorEastAsia" w:hAnsiTheme="minorEastAsia"/>
          <w:spacing w:val="20"/>
          <w:w w:val="110"/>
          <w:kern w:val="10"/>
          <w:sz w:val="23"/>
          <w:szCs w:val="23"/>
        </w:rPr>
        <w:t>品房涉及的建设要求、用途和产权限制、经营要求等分别以宗地</w:t>
      </w:r>
      <w:r>
        <w:rPr>
          <w:rFonts w:hint="eastAsia" w:cs="Times New Roman" w:asciiTheme="minorEastAsia" w:hAnsiTheme="minorEastAsia"/>
          <w:spacing w:val="20"/>
          <w:w w:val="110"/>
          <w:kern w:val="10"/>
          <w:sz w:val="23"/>
          <w:szCs w:val="23"/>
          <w:lang w:val="en-US" w:eastAsia="zh-CN"/>
        </w:rPr>
        <w:t>的</w:t>
      </w:r>
      <w:r>
        <w:rPr>
          <w:rFonts w:hint="eastAsia" w:cs="Times New Roman" w:asciiTheme="minorEastAsia" w:hAnsiTheme="minorEastAsia"/>
          <w:spacing w:val="20"/>
          <w:w w:val="110"/>
          <w:kern w:val="10"/>
          <w:sz w:val="23"/>
          <w:szCs w:val="23"/>
        </w:rPr>
        <w:t>《深圳安居型商品房建设和管理任务书》为准。</w:t>
      </w:r>
    </w:p>
    <w:p>
      <w:pPr>
        <w:spacing w:line="480" w:lineRule="exact"/>
        <w:ind w:firstLine="568" w:firstLineChars="200"/>
        <w:rPr>
          <w:rFonts w:cs="Times New Roman" w:asciiTheme="minorEastAsia" w:hAnsiTheme="minorEastAsia"/>
          <w:b/>
          <w:spacing w:val="20"/>
          <w:w w:val="110"/>
          <w:kern w:val="10"/>
          <w:sz w:val="23"/>
          <w:szCs w:val="23"/>
        </w:rPr>
      </w:pPr>
      <w:bookmarkStart w:id="0" w:name="_GoBack"/>
      <w:bookmarkEnd w:id="0"/>
      <w:r>
        <w:rPr>
          <w:rFonts w:hint="eastAsia" w:cs="Times New Roman" w:asciiTheme="minorEastAsia" w:hAnsiTheme="minorEastAsia"/>
          <w:b/>
          <w:spacing w:val="20"/>
          <w:w w:val="110"/>
          <w:kern w:val="10"/>
          <w:sz w:val="23"/>
          <w:szCs w:val="23"/>
        </w:rPr>
        <w:t>三、竞买申请人主体资格要求</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具备下列条件的，可申请竞买（不接受联合竞买）本次出让宗地：</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（一）竞买申请人须为具有</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国内</w:t>
      </w:r>
      <w:r>
        <w:rPr>
          <w:rFonts w:hint="eastAsia" w:cs="Times New Roman" w:asciiTheme="minorEastAsia" w:hAnsiTheme="minorEastAsia"/>
          <w:spacing w:val="20"/>
          <w:w w:val="110"/>
          <w:kern w:val="10"/>
          <w:sz w:val="23"/>
          <w:szCs w:val="23"/>
        </w:rPr>
        <w:t>（不含港澳台地区）地铁线路建设、运营、管理和上盖物业独立开发经验的中华人民共和国境内注册法人企业；</w:t>
      </w:r>
    </w:p>
    <w:p>
      <w:pPr>
        <w:tabs>
          <w:tab w:val="left" w:pos="8460"/>
        </w:tabs>
        <w:spacing w:line="480" w:lineRule="exact"/>
        <w:ind w:firstLine="568" w:firstLineChars="200"/>
        <w:rPr>
          <w:rFonts w:cs="Times New Roman" w:asciiTheme="minorEastAsia" w:hAnsiTheme="minorEastAsia"/>
        </w:rPr>
      </w:pPr>
      <w:r>
        <w:rPr>
          <w:rFonts w:hint="eastAsia" w:cs="Times New Roman" w:asciiTheme="minorEastAsia" w:hAnsiTheme="minorEastAsia"/>
          <w:spacing w:val="20"/>
          <w:w w:val="110"/>
          <w:kern w:val="10"/>
          <w:sz w:val="23"/>
          <w:szCs w:val="23"/>
        </w:rPr>
        <w:t>（二）竞买申请人须具有房地产开发资质。</w:t>
      </w:r>
    </w:p>
    <w:p>
      <w:pPr>
        <w:spacing w:line="480" w:lineRule="exact"/>
        <w:ind w:firstLine="710" w:firstLineChars="25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四、竞买申请程序</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（一）申请主体资格审查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竞买申请人应当在公告期内（工作日），向深圳市轨道交通建设指挥部办公室（以下简称市轨道办）提交能够满足前述资格要求的有关证明材料，申请主体资格审查。</w:t>
      </w:r>
    </w:p>
    <w:p>
      <w:pPr>
        <w:tabs>
          <w:tab w:val="left" w:pos="8460"/>
        </w:tabs>
        <w:spacing w:line="480" w:lineRule="exact"/>
        <w:ind w:firstLine="400"/>
        <w:rPr>
          <w:rFonts w:cs="Times New Roman" w:asciiTheme="minorEastAsia" w:hAnsiTheme="minorEastAsia"/>
          <w:spacing w:val="20"/>
          <w:w w:val="110"/>
          <w:kern w:val="10"/>
          <w:sz w:val="23"/>
          <w:szCs w:val="23"/>
        </w:rPr>
      </w:pPr>
      <w:r>
        <w:rPr>
          <w:rFonts w:hint="eastAsia"/>
        </w:rPr>
        <w:t xml:space="preserve">  </w:t>
      </w:r>
      <w:r>
        <w:rPr>
          <w:rFonts w:hint="eastAsia" w:cs="Times New Roman" w:asciiTheme="minorEastAsia" w:hAnsiTheme="minorEastAsia"/>
          <w:spacing w:val="20"/>
          <w:w w:val="110"/>
          <w:kern w:val="10"/>
          <w:sz w:val="23"/>
          <w:szCs w:val="23"/>
        </w:rPr>
        <w:t>（二）网上注册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（三）申请竞买</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竞买申请人网上注册后，应按照操作指引有关要求，选择意向竞买的宗地，提出竞买申请。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（四）交纳竞买（投标）保证金</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竞买申请人可通过深圳土地矿业权交易平台及时查询竞买（投标）保证金到账情况。竞买（投标）保证金的到账截止时间为2022年11月23日15时整（以深圳土地矿业权交易平台网站显示的银行到账时间为准）。</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（五）申请确认竞买资格</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竞买申请人按时足额交纳竞买（投标）保证金后，可登录深圳土地矿业权交易平台网站查看《竞买申请受理回执》并打印该回执，在2</w:t>
      </w:r>
      <w:r>
        <w:rPr>
          <w:rFonts w:cs="Times New Roman" w:asciiTheme="minorEastAsia" w:hAnsiTheme="minorEastAsia"/>
          <w:spacing w:val="20"/>
          <w:w w:val="110"/>
          <w:kern w:val="10"/>
          <w:sz w:val="23"/>
          <w:szCs w:val="23"/>
        </w:rPr>
        <w:t>022</w:t>
      </w:r>
      <w:r>
        <w:rPr>
          <w:rFonts w:hint="eastAsia" w:cs="Times New Roman" w:asciiTheme="minorEastAsia" w:hAnsiTheme="minorEastAsia"/>
          <w:spacing w:val="20"/>
          <w:w w:val="110"/>
          <w:kern w:val="10"/>
          <w:sz w:val="23"/>
          <w:szCs w:val="23"/>
        </w:rPr>
        <w:t>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25</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4</w:t>
      </w:r>
      <w:r>
        <w:rPr>
          <w:rFonts w:hint="eastAsia" w:cs="Times New Roman" w:asciiTheme="minorEastAsia" w:hAnsiTheme="minorEastAsia"/>
          <w:spacing w:val="20"/>
          <w:w w:val="110"/>
          <w:kern w:val="10"/>
          <w:sz w:val="23"/>
          <w:szCs w:val="23"/>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五、确定竞得人的办法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深圳土地矿业权交易平台在挂牌期内（工作日）接受竞买人的电脑报价，电脑报价截止时间为2022年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25</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5</w:t>
      </w:r>
      <w:r>
        <w:rPr>
          <w:rFonts w:hint="eastAsia" w:cs="Times New Roman" w:asciiTheme="minorEastAsia" w:hAnsiTheme="minorEastAsia"/>
          <w:spacing w:val="20"/>
          <w:w w:val="11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采用向上竞成交地价和竞</w:t>
      </w:r>
      <w:r>
        <w:rPr>
          <w:rFonts w:hint="eastAsia" w:cs="Times New Roman" w:asciiTheme="minorEastAsia" w:hAnsiTheme="minorEastAsia"/>
          <w:color w:val="000000" w:themeColor="text1"/>
          <w:spacing w:val="20"/>
          <w:w w:val="110"/>
          <w:kern w:val="10"/>
          <w:sz w:val="23"/>
          <w:szCs w:val="23"/>
          <w:lang w:eastAsia="zh-CN"/>
          <w14:textFill>
            <w14:solidFill>
              <w14:schemeClr w14:val="tx1"/>
            </w14:solidFill>
          </w14:textFill>
        </w:rPr>
        <w:t>安居型商品房</w:t>
      </w:r>
      <w:r>
        <w:rPr>
          <w:rFonts w:hint="eastAsia" w:cs="Times New Roman" w:asciiTheme="minorEastAsia" w:hAnsiTheme="minorEastAsia"/>
          <w:color w:val="000000"/>
          <w:spacing w:val="20"/>
          <w:w w:val="110"/>
          <w:kern w:val="10"/>
          <w:sz w:val="23"/>
          <w:szCs w:val="23"/>
        </w:rPr>
        <w:t>建筑</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面积</w:t>
      </w:r>
      <w:r>
        <w:rPr>
          <w:rFonts w:hint="eastAsia" w:cs="Times New Roman" w:asciiTheme="minorEastAsia" w:hAnsiTheme="minorEastAsia"/>
          <w:spacing w:val="20"/>
          <w:w w:val="110"/>
          <w:kern w:val="10"/>
          <w:sz w:val="23"/>
          <w:szCs w:val="23"/>
        </w:rPr>
        <w:t>（相应扣减普通商品住房建筑面积）</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的办法确定竞得人；如达到最高限制建筑面积，通过摇号方式确定竞得人，参与摇号的竞买人需在竞价活动结束后</w:t>
      </w:r>
      <w:r>
        <w:rPr>
          <w:rFonts w:hint="eastAsia" w:cs="Times New Roman" w:asciiTheme="minorEastAsia" w:hAnsiTheme="minorEastAsia"/>
          <w:spacing w:val="20"/>
          <w:w w:val="110"/>
          <w:kern w:val="10"/>
          <w:sz w:val="23"/>
          <w:szCs w:val="23"/>
        </w:rPr>
        <w:t>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自缴清全部地价款之日起5个工作日内，竞得人须向市规划和自然资源局提交如下资料:</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（一）经境内具有证券期货资格的会计师事务所鉴证的《商品住房用地购置资金来源情况申报表》（以下简称《申报表》，具体详见出让文件）。</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color w:val="auto"/>
          <w:spacing w:val="20"/>
          <w:w w:val="110"/>
          <w:kern w:val="10"/>
          <w:sz w:val="23"/>
          <w:szCs w:val="23"/>
        </w:rPr>
      </w:pPr>
      <w:r>
        <w:rPr>
          <w:rFonts w:hint="eastAsia" w:cs="Times New Roman" w:asciiTheme="minorEastAsia" w:hAnsiTheme="minorEastAsia"/>
          <w:spacing w:val="20"/>
          <w:w w:val="110"/>
          <w:kern w:val="10"/>
          <w:sz w:val="23"/>
          <w:szCs w:val="23"/>
        </w:rPr>
        <w:t>土地购置资金来源审查未获通过的竞得人，由市规划和自然资源局取消其竞得资格，已交</w:t>
      </w:r>
      <w:r>
        <w:rPr>
          <w:rFonts w:hint="eastAsia" w:cs="Times New Roman" w:asciiTheme="minorEastAsia" w:hAnsiTheme="minorEastAsia"/>
          <w:color w:val="auto"/>
          <w:spacing w:val="20"/>
          <w:w w:val="110"/>
          <w:kern w:val="10"/>
          <w:sz w:val="23"/>
          <w:szCs w:val="23"/>
        </w:rPr>
        <w:t>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color w:val="auto"/>
          <w:spacing w:val="20"/>
          <w:w w:val="110"/>
          <w:kern w:val="10"/>
          <w:sz w:val="23"/>
          <w:szCs w:val="23"/>
        </w:rPr>
      </w:pPr>
      <w:r>
        <w:rPr>
          <w:rFonts w:hint="eastAsia" w:cs="Times New Roman" w:asciiTheme="minorEastAsia" w:hAnsiTheme="minorEastAsia"/>
          <w:b/>
          <w:color w:val="auto"/>
          <w:spacing w:val="20"/>
          <w:w w:val="110"/>
          <w:kern w:val="10"/>
          <w:sz w:val="23"/>
          <w:szCs w:val="23"/>
        </w:rPr>
        <w:t>八、签订出让合同</w:t>
      </w:r>
    </w:p>
    <w:p>
      <w:pPr>
        <w:tabs>
          <w:tab w:val="left" w:pos="8460"/>
        </w:tabs>
        <w:spacing w:line="480" w:lineRule="exact"/>
        <w:ind w:firstLine="568" w:firstLineChars="200"/>
        <w:rPr>
          <w:rFonts w:hint="eastAsia"/>
          <w:lang w:val="en-US" w:eastAsia="zh-CN"/>
        </w:rPr>
      </w:pPr>
      <w:r>
        <w:rPr>
          <w:rFonts w:hint="eastAsia" w:cs="Times New Roman" w:asciiTheme="minorEastAsia" w:hAnsiTheme="minorEastAsia"/>
          <w:spacing w:val="20"/>
          <w:w w:val="110"/>
          <w:kern w:val="10"/>
          <w:sz w:val="23"/>
          <w:szCs w:val="23"/>
        </w:rPr>
        <w:t>市地方金融监管局出具土地购置资金来源审查通过的批复文件后5个工作日内，竞得人须持批复文件、成交确认书等有关材料分别向</w:t>
      </w:r>
      <w:r>
        <w:rPr>
          <w:rFonts w:hint="eastAsia" w:cs="Times New Roman" w:asciiTheme="minorEastAsia" w:hAnsiTheme="minorEastAsia"/>
          <w:spacing w:val="20"/>
          <w:w w:val="110"/>
          <w:kern w:val="10"/>
          <w:sz w:val="23"/>
          <w:szCs w:val="23"/>
          <w:lang w:val="en-US" w:eastAsia="zh-CN"/>
        </w:rPr>
        <w:t>深圳市住房保障署</w:t>
      </w:r>
      <w:r>
        <w:rPr>
          <w:rFonts w:hint="eastAsia" w:cs="Times New Roman" w:asciiTheme="minorEastAsia" w:hAnsiTheme="minorEastAsia"/>
          <w:spacing w:val="20"/>
          <w:w w:val="110"/>
          <w:kern w:val="10"/>
          <w:sz w:val="23"/>
          <w:szCs w:val="23"/>
        </w:rPr>
        <w:t>申请签订《深圳市安居型商品房建设和管理任务书》</w:t>
      </w:r>
      <w:r>
        <w:rPr>
          <w:rFonts w:hint="eastAsia" w:cs="Times New Roman" w:asciiTheme="minorEastAsia" w:hAnsiTheme="minorEastAsia"/>
          <w:spacing w:val="20"/>
          <w:w w:val="110"/>
          <w:kern w:val="10"/>
          <w:sz w:val="23"/>
          <w:szCs w:val="23"/>
          <w:lang w:eastAsia="zh-CN"/>
        </w:rPr>
        <w:t>，</w:t>
      </w:r>
      <w:r>
        <w:rPr>
          <w:rFonts w:hint="eastAsia" w:cs="Times New Roman" w:asciiTheme="minorEastAsia" w:hAnsiTheme="minorEastAsia"/>
          <w:spacing w:val="20"/>
          <w:w w:val="110"/>
          <w:kern w:val="10"/>
          <w:sz w:val="23"/>
          <w:szCs w:val="23"/>
        </w:rPr>
        <w:t>向市规划和自然资源局</w:t>
      </w:r>
      <w:r>
        <w:rPr>
          <w:rFonts w:hint="eastAsia" w:cs="Times New Roman" w:asciiTheme="minorEastAsia" w:hAnsiTheme="minorEastAsia"/>
          <w:spacing w:val="20"/>
          <w:w w:val="110"/>
          <w:kern w:val="10"/>
          <w:sz w:val="23"/>
          <w:szCs w:val="23"/>
          <w:lang w:val="en-US" w:eastAsia="zh-CN"/>
        </w:rPr>
        <w:t>龙岗</w:t>
      </w:r>
      <w:r>
        <w:rPr>
          <w:rFonts w:hint="eastAsia" w:cs="Times New Roman" w:asciiTheme="minorEastAsia" w:hAnsiTheme="minorEastAsia"/>
          <w:spacing w:val="20"/>
          <w:w w:val="110"/>
          <w:kern w:val="10"/>
          <w:sz w:val="23"/>
          <w:szCs w:val="23"/>
        </w:rPr>
        <w:t>管理局申请签订《出让合同》。</w:t>
      </w:r>
    </w:p>
    <w:p>
      <w:pPr>
        <w:spacing w:line="480" w:lineRule="exact"/>
        <w:ind w:firstLine="568" w:firstLineChars="200"/>
        <w:rPr>
          <w:rFonts w:cs="Times New Roman" w:asciiTheme="minorEastAsia" w:hAnsiTheme="minorEastAsia"/>
          <w:b/>
          <w:color w:val="auto"/>
          <w:spacing w:val="20"/>
          <w:w w:val="110"/>
          <w:kern w:val="10"/>
          <w:sz w:val="23"/>
          <w:szCs w:val="23"/>
        </w:rPr>
      </w:pPr>
      <w:r>
        <w:rPr>
          <w:rFonts w:hint="eastAsia" w:cs="Times New Roman" w:asciiTheme="minorEastAsia" w:hAnsiTheme="minorEastAsia"/>
          <w:b/>
          <w:color w:val="auto"/>
          <w:spacing w:val="20"/>
          <w:w w:val="110"/>
          <w:kern w:val="10"/>
          <w:sz w:val="23"/>
          <w:szCs w:val="23"/>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color w:val="auto"/>
          <w:spacing w:val="20"/>
          <w:w w:val="110"/>
          <w:kern w:val="10"/>
          <w:sz w:val="23"/>
          <w:szCs w:val="23"/>
        </w:rPr>
        <w:t>本公告内容如有调整，将在深圳土</w:t>
      </w:r>
      <w:r>
        <w:rPr>
          <w:rFonts w:hint="eastAsia" w:cs="Times New Roman" w:asciiTheme="minorEastAsia" w:hAnsiTheme="minorEastAsia"/>
          <w:spacing w:val="20"/>
          <w:w w:val="110"/>
          <w:kern w:val="10"/>
          <w:sz w:val="23"/>
          <w:szCs w:val="23"/>
        </w:rPr>
        <w:t>地矿业权交易平台网站发布补充公告，不再另行通知。本公告有关详细资料请参阅挂牌出让文件（包括但不限于本公告、《竞买须知》《成交确认书》《出让合同》《关于土地购置资金来源的承诺函》《关于竞买人关联性的承诺函》《申报表》《深圳市安居型商品房建设和管理任务书》《深圳市国有建设用地使用权出让竞买人关联性审查操作指引》《深圳市国有建设用地使用权出让现场摇号操作指引》《国有土地使用权出让收入缴款及竞买保证金退转操作指引》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对公共资源交易中心的答复不满意或者公共资源交易中心未在规定时间内答复的，提出异议的竞买人可以在答复期满后15个工作日内向市规划和自然资源局投诉。</w:t>
      </w:r>
    </w:p>
    <w:p>
      <w:pPr>
        <w:pStyle w:val="4"/>
        <w:spacing w:line="520" w:lineRule="exact"/>
        <w:ind w:firstLine="568" w:firstLineChars="200"/>
        <w:jc w:val="left"/>
      </w:pPr>
      <w:r>
        <w:rPr>
          <w:rFonts w:hint="eastAsia" w:ascii="汉仪书宋二简" w:hAnsi="汉仪书宋二简" w:eastAsia="汉仪书宋二简" w:cs="Times New Roman"/>
          <w:spacing w:val="20"/>
          <w:w w:val="110"/>
          <w:kern w:val="10"/>
          <w:sz w:val="23"/>
          <w:szCs w:val="23"/>
        </w:rPr>
        <w:t>被</w:t>
      </w:r>
      <w:r>
        <w:rPr>
          <w:rFonts w:hint="eastAsia" w:ascii="汉仪书宋二简" w:hAnsi="汉仪书宋二简" w:eastAsia="汉仪书宋二简" w:cs="Times New Roman"/>
          <w:spacing w:val="20"/>
          <w:w w:val="110"/>
          <w:kern w:val="10"/>
          <w:sz w:val="23"/>
          <w:szCs w:val="23"/>
          <w:lang w:val="en-US" w:eastAsia="zh-CN"/>
        </w:rPr>
        <w:t>异议</w:t>
      </w:r>
      <w:r>
        <w:rPr>
          <w:rFonts w:hint="eastAsia" w:ascii="汉仪书宋二简" w:hAnsi="汉仪书宋二简" w:eastAsia="汉仪书宋二简" w:cs="Times New Roman"/>
          <w:spacing w:val="20"/>
          <w:w w:val="110"/>
          <w:kern w:val="10"/>
          <w:sz w:val="23"/>
          <w:szCs w:val="23"/>
        </w:rPr>
        <w:t>、投诉的竞买人为非竞得人，不影响对应宗地竞得人竞得结果，成交结果有效。被</w:t>
      </w:r>
      <w:r>
        <w:rPr>
          <w:rFonts w:hint="eastAsia" w:ascii="汉仪书宋二简" w:hAnsi="汉仪书宋二简" w:eastAsia="汉仪书宋二简" w:cs="Times New Roman"/>
          <w:spacing w:val="20"/>
          <w:w w:val="110"/>
          <w:kern w:val="10"/>
          <w:sz w:val="23"/>
          <w:szCs w:val="23"/>
          <w:lang w:val="en-US" w:eastAsia="zh-CN"/>
        </w:rPr>
        <w:t>异议</w:t>
      </w:r>
      <w:r>
        <w:rPr>
          <w:rFonts w:hint="eastAsia" w:ascii="汉仪书宋二简" w:hAnsi="汉仪书宋二简" w:eastAsia="汉仪书宋二简" w:cs="Times New Roman"/>
          <w:spacing w:val="20"/>
          <w:w w:val="110"/>
          <w:kern w:val="10"/>
          <w:sz w:val="23"/>
          <w:szCs w:val="23"/>
        </w:rPr>
        <w:t>、投诉的竞买人为竞得人，违反出让公告、竞买须知相关规定应取消其竞买（竞得）资格的，对应宗地成交结果无效。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 地址：深圳市福田区红荔西路8009号；网址：</w:t>
      </w:r>
      <w:r>
        <w:rPr>
          <w:rFonts w:hint="eastAsia" w:cs="Times New Roman" w:asciiTheme="minorEastAsia" w:hAnsiTheme="minorEastAsia"/>
          <w:spacing w:val="20"/>
          <w:w w:val="110"/>
          <w:kern w:val="10"/>
          <w:sz w:val="23"/>
          <w:szCs w:val="23"/>
        </w:rPr>
        <w:fldChar w:fldCharType="begin"/>
      </w:r>
      <w:r>
        <w:rPr>
          <w:rFonts w:hint="eastAsia" w:cs="Times New Roman" w:asciiTheme="minorEastAsia" w:hAnsiTheme="minorEastAsia"/>
          <w:spacing w:val="20"/>
          <w:w w:val="110"/>
          <w:kern w:val="10"/>
          <w:sz w:val="23"/>
          <w:szCs w:val="23"/>
        </w:rPr>
        <w:instrText xml:space="preserve"> HYPERLINK "http://pnr.sz.gov.cn/。" </w:instrText>
      </w:r>
      <w:r>
        <w:rPr>
          <w:rFonts w:hint="eastAsia" w:cs="Times New Roman" w:asciiTheme="minorEastAsia" w:hAnsiTheme="minorEastAsia"/>
          <w:spacing w:val="20"/>
          <w:w w:val="110"/>
          <w:kern w:val="10"/>
          <w:sz w:val="23"/>
          <w:szCs w:val="23"/>
        </w:rPr>
        <w:fldChar w:fldCharType="separate"/>
      </w:r>
      <w:r>
        <w:rPr>
          <w:rFonts w:hint="eastAsia" w:cs="Times New Roman" w:asciiTheme="minorEastAsia" w:hAnsiTheme="minorEastAsia"/>
          <w:spacing w:val="20"/>
          <w:w w:val="110"/>
          <w:kern w:val="10"/>
          <w:sz w:val="23"/>
          <w:szCs w:val="23"/>
        </w:rPr>
        <w:t>http://pnr.sz.gov.cn/。</w:t>
      </w:r>
      <w:r>
        <w:rPr>
          <w:rFonts w:hint="eastAsia" w:cs="Times New Roman" w:asciiTheme="minorEastAsia" w:hAnsiTheme="minorEastAsia"/>
          <w:spacing w:val="20"/>
          <w:w w:val="110"/>
          <w:kern w:val="10"/>
          <w:sz w:val="23"/>
          <w:szCs w:val="23"/>
        </w:rPr>
        <w:fldChar w:fldCharType="end"/>
      </w:r>
    </w:p>
    <w:p>
      <w:pPr>
        <w:ind w:firstLine="600"/>
        <w:rPr>
          <w:rFonts w:hint="default"/>
          <w:lang w:val="en-US" w:eastAsia="zh-CN"/>
        </w:rPr>
      </w:pPr>
      <w:r>
        <w:rPr>
          <w:rFonts w:hint="eastAsia" w:cs="Times New Roman" w:asciiTheme="minorEastAsia" w:hAnsiTheme="minorEastAsia"/>
          <w:spacing w:val="20"/>
          <w:w w:val="110"/>
          <w:kern w:val="10"/>
          <w:sz w:val="23"/>
          <w:szCs w:val="23"/>
          <w:highlight w:val="none"/>
        </w:rPr>
        <w:t>深圳市规划和自</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然资源局</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龙岗</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管理局 咨询电话</w:t>
      </w:r>
      <w:r>
        <w:rPr>
          <w:rFonts w:hint="eastAsia" w:cs="Times New Roman" w:asciiTheme="minorEastAsia" w:hAnsiTheme="minorEastAsia"/>
          <w:spacing w:val="20"/>
          <w:w w:val="110"/>
          <w:kern w:val="10"/>
          <w:sz w:val="23"/>
          <w:szCs w:val="23"/>
          <w:highlight w:val="none"/>
        </w:rPr>
        <w:t>：</w:t>
      </w:r>
      <w:r>
        <w:rPr>
          <w:rFonts w:cs="Times New Roman" w:asciiTheme="minorEastAsia" w:hAnsiTheme="minorEastAsia"/>
          <w:spacing w:val="20"/>
          <w:w w:val="110"/>
          <w:kern w:val="10"/>
          <w:sz w:val="23"/>
          <w:szCs w:val="23"/>
          <w:highlight w:val="none"/>
        </w:rPr>
        <w:t>0</w:t>
      </w:r>
      <w:r>
        <w:rPr>
          <w:rFonts w:hint="eastAsia" w:cs="Times New Roman" w:asciiTheme="minorEastAsia" w:hAnsiTheme="minorEastAsia"/>
          <w:spacing w:val="20"/>
          <w:w w:val="110"/>
          <w:kern w:val="10"/>
          <w:sz w:val="23"/>
          <w:szCs w:val="23"/>
          <w:highlight w:val="none"/>
        </w:rPr>
        <w:t>755）</w:t>
      </w:r>
      <w:r>
        <w:rPr>
          <w:rFonts w:cs="Times New Roman" w:asciiTheme="minorEastAsia" w:hAnsiTheme="minorEastAsia"/>
          <w:spacing w:val="20"/>
          <w:w w:val="110"/>
          <w:kern w:val="10"/>
          <w:sz w:val="23"/>
          <w:szCs w:val="23"/>
        </w:rPr>
        <w:t>2891</w:t>
      </w:r>
      <w:r>
        <w:rPr>
          <w:rFonts w:hint="eastAsia" w:cs="Times New Roman" w:asciiTheme="minorEastAsia" w:hAnsiTheme="minorEastAsia"/>
          <w:spacing w:val="20"/>
          <w:w w:val="110"/>
          <w:kern w:val="10"/>
          <w:sz w:val="23"/>
          <w:szCs w:val="23"/>
          <w:lang w:val="en-US" w:eastAsia="zh-CN"/>
        </w:rPr>
        <w:t>8121</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深圳市住房保障署 咨询电话：（0755）82523749。</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深圳交易集团有限公司土地矿业权业务分公司 地址：深圳市福田区红荔西路8007号土地房产交易大厦3楼；咨询电话：（0755）82713074、（0755）82713274；网址：</w:t>
      </w:r>
      <w:r>
        <w:fldChar w:fldCharType="begin"/>
      </w:r>
      <w:r>
        <w:instrText xml:space="preserve"> HYPERLINK "https://td.szggzy.com。" </w:instrText>
      </w:r>
      <w:r>
        <w:fldChar w:fldCharType="separate"/>
      </w:r>
      <w:r>
        <w:rPr>
          <w:rFonts w:hint="eastAsia" w:cs="Times New Roman" w:asciiTheme="minorEastAsia" w:hAnsiTheme="minorEastAsia"/>
          <w:spacing w:val="20"/>
          <w:w w:val="110"/>
          <w:kern w:val="10"/>
          <w:sz w:val="23"/>
          <w:szCs w:val="23"/>
        </w:rPr>
        <w:t>https://td.szggzy.com。</w:t>
      </w:r>
      <w:r>
        <w:rPr>
          <w:rFonts w:hint="eastAsia" w:cs="Times New Roman" w:asciiTheme="minorEastAsia" w:hAnsiTheme="minorEastAsia"/>
          <w:spacing w:val="20"/>
          <w:w w:val="110"/>
          <w:kern w:val="10"/>
          <w:sz w:val="23"/>
          <w:szCs w:val="23"/>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 （深圳公共资源交易中心）</w:t>
      </w:r>
    </w:p>
    <w:p>
      <w:pPr>
        <w:spacing w:line="480" w:lineRule="exact"/>
        <w:ind w:left="267" w:leftChars="133" w:right="568" w:firstLine="5098" w:firstLineChars="1795"/>
        <w:jc w:val="right"/>
        <w:rPr>
          <w:rFonts w:asciiTheme="majorEastAsia" w:hAnsiTheme="majorEastAsia" w:eastAsiaTheme="majorEastAsia" w:cstheme="majorEastAsia"/>
        </w:rPr>
      </w:pPr>
      <w:r>
        <w:rPr>
          <w:rFonts w:hint="eastAsia" w:asciiTheme="majorEastAsia" w:hAnsiTheme="majorEastAsia" w:eastAsiaTheme="majorEastAsia" w:cstheme="majorEastAsia"/>
          <w:b/>
          <w:spacing w:val="20"/>
          <w:w w:val="110"/>
          <w:kern w:val="10"/>
          <w:sz w:val="23"/>
          <w:szCs w:val="23"/>
        </w:rPr>
        <w:t>2022年</w:t>
      </w:r>
      <w:r>
        <w:rPr>
          <w:rFonts w:hint="eastAsia" w:asciiTheme="majorEastAsia" w:hAnsiTheme="majorEastAsia" w:eastAsiaTheme="majorEastAsia" w:cstheme="majorEastAsia"/>
          <w:b/>
          <w:spacing w:val="20"/>
          <w:w w:val="110"/>
          <w:kern w:val="10"/>
          <w:sz w:val="23"/>
          <w:szCs w:val="23"/>
          <w:lang w:val="en-US" w:eastAsia="zh-CN"/>
        </w:rPr>
        <w:t>10</w:t>
      </w:r>
      <w:r>
        <w:rPr>
          <w:rFonts w:hint="eastAsia" w:asciiTheme="majorEastAsia" w:hAnsiTheme="majorEastAsia" w:eastAsiaTheme="majorEastAsia" w:cstheme="majorEastAsia"/>
          <w:b/>
          <w:spacing w:val="20"/>
          <w:w w:val="110"/>
          <w:kern w:val="10"/>
          <w:sz w:val="23"/>
          <w:szCs w:val="23"/>
        </w:rPr>
        <w:t>月</w:t>
      </w:r>
      <w:r>
        <w:rPr>
          <w:rFonts w:hint="eastAsia" w:asciiTheme="majorEastAsia" w:hAnsiTheme="majorEastAsia" w:eastAsiaTheme="majorEastAsia" w:cstheme="majorEastAsia"/>
          <w:b/>
          <w:spacing w:val="20"/>
          <w:w w:val="110"/>
          <w:kern w:val="10"/>
          <w:sz w:val="23"/>
          <w:szCs w:val="23"/>
          <w:lang w:val="en-US" w:eastAsia="zh-CN"/>
        </w:rPr>
        <w:t>27</w:t>
      </w:r>
      <w:r>
        <w:rPr>
          <w:rFonts w:hint="eastAsia" w:asciiTheme="majorEastAsia" w:hAnsiTheme="majorEastAsia" w:eastAsiaTheme="majorEastAsia" w:cstheme="majorEastAsia"/>
          <w:b/>
          <w:spacing w:val="20"/>
          <w:w w:val="110"/>
          <w:kern w:val="10"/>
          <w:sz w:val="23"/>
          <w:szCs w:val="23"/>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157F1"/>
    <w:multiLevelType w:val="singleLevel"/>
    <w:tmpl w:val="6E9157F1"/>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ZTRlZWUxZjdjN2FjMjQxMGE1ZThiZGI5MGU3NTUifQ=="/>
  </w:docVars>
  <w:rsids>
    <w:rsidRoot w:val="009107FC"/>
    <w:rsid w:val="0000638A"/>
    <w:rsid w:val="00007F44"/>
    <w:rsid w:val="000201CC"/>
    <w:rsid w:val="000220BA"/>
    <w:rsid w:val="00023187"/>
    <w:rsid w:val="0002672A"/>
    <w:rsid w:val="0003009A"/>
    <w:rsid w:val="000447DD"/>
    <w:rsid w:val="00051BA2"/>
    <w:rsid w:val="00053B7D"/>
    <w:rsid w:val="00062AD2"/>
    <w:rsid w:val="00065BBC"/>
    <w:rsid w:val="00075283"/>
    <w:rsid w:val="00094E7C"/>
    <w:rsid w:val="000964C1"/>
    <w:rsid w:val="000A2E11"/>
    <w:rsid w:val="000A38E8"/>
    <w:rsid w:val="000B014D"/>
    <w:rsid w:val="000B1F1F"/>
    <w:rsid w:val="000B217A"/>
    <w:rsid w:val="000B2310"/>
    <w:rsid w:val="000B46B7"/>
    <w:rsid w:val="000B4C84"/>
    <w:rsid w:val="000C05E5"/>
    <w:rsid w:val="000C17DE"/>
    <w:rsid w:val="000C5356"/>
    <w:rsid w:val="000C6859"/>
    <w:rsid w:val="000D07CD"/>
    <w:rsid w:val="000D0C6B"/>
    <w:rsid w:val="000D27B2"/>
    <w:rsid w:val="000D7C42"/>
    <w:rsid w:val="000E11A7"/>
    <w:rsid w:val="000E419A"/>
    <w:rsid w:val="000F0C71"/>
    <w:rsid w:val="000F63FB"/>
    <w:rsid w:val="0010037C"/>
    <w:rsid w:val="00110E45"/>
    <w:rsid w:val="00113291"/>
    <w:rsid w:val="0011405E"/>
    <w:rsid w:val="001141D0"/>
    <w:rsid w:val="00117F49"/>
    <w:rsid w:val="0012015A"/>
    <w:rsid w:val="00124AF5"/>
    <w:rsid w:val="00131CA9"/>
    <w:rsid w:val="00136004"/>
    <w:rsid w:val="00161616"/>
    <w:rsid w:val="00161BC1"/>
    <w:rsid w:val="0016612A"/>
    <w:rsid w:val="00171A67"/>
    <w:rsid w:val="001752FA"/>
    <w:rsid w:val="00192DE8"/>
    <w:rsid w:val="00193D78"/>
    <w:rsid w:val="00194833"/>
    <w:rsid w:val="001A2215"/>
    <w:rsid w:val="001B2175"/>
    <w:rsid w:val="001C7D83"/>
    <w:rsid w:val="001C7FDB"/>
    <w:rsid w:val="001D0F67"/>
    <w:rsid w:val="001E169E"/>
    <w:rsid w:val="001E2FFC"/>
    <w:rsid w:val="001F169D"/>
    <w:rsid w:val="001F317F"/>
    <w:rsid w:val="001F433D"/>
    <w:rsid w:val="002002E9"/>
    <w:rsid w:val="002009CF"/>
    <w:rsid w:val="00206B83"/>
    <w:rsid w:val="00216B20"/>
    <w:rsid w:val="002173DB"/>
    <w:rsid w:val="002221C4"/>
    <w:rsid w:val="00222CDA"/>
    <w:rsid w:val="00224395"/>
    <w:rsid w:val="0022497A"/>
    <w:rsid w:val="00225BF1"/>
    <w:rsid w:val="0023308C"/>
    <w:rsid w:val="0024129B"/>
    <w:rsid w:val="0024288C"/>
    <w:rsid w:val="00243F36"/>
    <w:rsid w:val="002528F0"/>
    <w:rsid w:val="00257E2C"/>
    <w:rsid w:val="00260783"/>
    <w:rsid w:val="002642EB"/>
    <w:rsid w:val="0026553E"/>
    <w:rsid w:val="0026646D"/>
    <w:rsid w:val="00272603"/>
    <w:rsid w:val="00282D11"/>
    <w:rsid w:val="002851CC"/>
    <w:rsid w:val="00291A63"/>
    <w:rsid w:val="00291A9F"/>
    <w:rsid w:val="00292B6C"/>
    <w:rsid w:val="00292ED1"/>
    <w:rsid w:val="002A0AB4"/>
    <w:rsid w:val="002A21EF"/>
    <w:rsid w:val="002A4EAB"/>
    <w:rsid w:val="002A6678"/>
    <w:rsid w:val="002B278C"/>
    <w:rsid w:val="002C0E5E"/>
    <w:rsid w:val="002C5EA4"/>
    <w:rsid w:val="002C7233"/>
    <w:rsid w:val="002C7B34"/>
    <w:rsid w:val="002D3C01"/>
    <w:rsid w:val="002F2160"/>
    <w:rsid w:val="002F6861"/>
    <w:rsid w:val="00304C8D"/>
    <w:rsid w:val="00315EA9"/>
    <w:rsid w:val="00316E00"/>
    <w:rsid w:val="003250F2"/>
    <w:rsid w:val="00325A18"/>
    <w:rsid w:val="003333F5"/>
    <w:rsid w:val="00340C07"/>
    <w:rsid w:val="00373065"/>
    <w:rsid w:val="003734A8"/>
    <w:rsid w:val="00373BD6"/>
    <w:rsid w:val="00374717"/>
    <w:rsid w:val="00375F08"/>
    <w:rsid w:val="00391DC9"/>
    <w:rsid w:val="00393A83"/>
    <w:rsid w:val="003964D0"/>
    <w:rsid w:val="003A6212"/>
    <w:rsid w:val="003B3C01"/>
    <w:rsid w:val="003B525E"/>
    <w:rsid w:val="003C1011"/>
    <w:rsid w:val="003C291B"/>
    <w:rsid w:val="003D673A"/>
    <w:rsid w:val="003E27B8"/>
    <w:rsid w:val="003E3189"/>
    <w:rsid w:val="003E3679"/>
    <w:rsid w:val="003F27B8"/>
    <w:rsid w:val="003F3531"/>
    <w:rsid w:val="0040761A"/>
    <w:rsid w:val="004270DE"/>
    <w:rsid w:val="00440924"/>
    <w:rsid w:val="004437FF"/>
    <w:rsid w:val="0044462E"/>
    <w:rsid w:val="00445B8D"/>
    <w:rsid w:val="00445F2C"/>
    <w:rsid w:val="004520EE"/>
    <w:rsid w:val="00454210"/>
    <w:rsid w:val="00454C0E"/>
    <w:rsid w:val="00470271"/>
    <w:rsid w:val="00470CE5"/>
    <w:rsid w:val="0047684E"/>
    <w:rsid w:val="0048483D"/>
    <w:rsid w:val="00484EA8"/>
    <w:rsid w:val="00494F65"/>
    <w:rsid w:val="004A054F"/>
    <w:rsid w:val="004A38B8"/>
    <w:rsid w:val="004A7CB9"/>
    <w:rsid w:val="004B7A4F"/>
    <w:rsid w:val="004D0474"/>
    <w:rsid w:val="004D5838"/>
    <w:rsid w:val="004F6BF5"/>
    <w:rsid w:val="00513061"/>
    <w:rsid w:val="0051347C"/>
    <w:rsid w:val="00513633"/>
    <w:rsid w:val="005369D6"/>
    <w:rsid w:val="005408C7"/>
    <w:rsid w:val="00550289"/>
    <w:rsid w:val="0056163B"/>
    <w:rsid w:val="00565A6E"/>
    <w:rsid w:val="0057355A"/>
    <w:rsid w:val="00575199"/>
    <w:rsid w:val="005813DA"/>
    <w:rsid w:val="00581686"/>
    <w:rsid w:val="00583969"/>
    <w:rsid w:val="0059361A"/>
    <w:rsid w:val="00593B8D"/>
    <w:rsid w:val="00595D33"/>
    <w:rsid w:val="005A1611"/>
    <w:rsid w:val="005A3826"/>
    <w:rsid w:val="005A3F68"/>
    <w:rsid w:val="005C367C"/>
    <w:rsid w:val="005C4DC1"/>
    <w:rsid w:val="005C79B5"/>
    <w:rsid w:val="005D0D59"/>
    <w:rsid w:val="005D12B4"/>
    <w:rsid w:val="005D4D54"/>
    <w:rsid w:val="005D5368"/>
    <w:rsid w:val="005D7F67"/>
    <w:rsid w:val="005E0CC0"/>
    <w:rsid w:val="005E0ECE"/>
    <w:rsid w:val="005F5184"/>
    <w:rsid w:val="0060695E"/>
    <w:rsid w:val="006128B5"/>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A5552"/>
    <w:rsid w:val="006A5650"/>
    <w:rsid w:val="006B01E3"/>
    <w:rsid w:val="006B06D6"/>
    <w:rsid w:val="006B17A5"/>
    <w:rsid w:val="006B3311"/>
    <w:rsid w:val="006B4271"/>
    <w:rsid w:val="006C0BE9"/>
    <w:rsid w:val="006C31F4"/>
    <w:rsid w:val="006C61AD"/>
    <w:rsid w:val="006D6B4B"/>
    <w:rsid w:val="006E2520"/>
    <w:rsid w:val="006E57CB"/>
    <w:rsid w:val="006F006E"/>
    <w:rsid w:val="006F02D0"/>
    <w:rsid w:val="006F2835"/>
    <w:rsid w:val="006F6705"/>
    <w:rsid w:val="006F68FD"/>
    <w:rsid w:val="007013B3"/>
    <w:rsid w:val="007017D7"/>
    <w:rsid w:val="0070454F"/>
    <w:rsid w:val="00711771"/>
    <w:rsid w:val="0073381A"/>
    <w:rsid w:val="0074188A"/>
    <w:rsid w:val="00741F4C"/>
    <w:rsid w:val="00752D80"/>
    <w:rsid w:val="00754472"/>
    <w:rsid w:val="00757D74"/>
    <w:rsid w:val="007634D6"/>
    <w:rsid w:val="007676C1"/>
    <w:rsid w:val="0078268C"/>
    <w:rsid w:val="00786884"/>
    <w:rsid w:val="007920DD"/>
    <w:rsid w:val="0079315F"/>
    <w:rsid w:val="007A2351"/>
    <w:rsid w:val="007A7CB7"/>
    <w:rsid w:val="007B1E21"/>
    <w:rsid w:val="007B79DE"/>
    <w:rsid w:val="007C0E61"/>
    <w:rsid w:val="007C13B0"/>
    <w:rsid w:val="007C1930"/>
    <w:rsid w:val="007C5F89"/>
    <w:rsid w:val="007D17A7"/>
    <w:rsid w:val="007D2B9D"/>
    <w:rsid w:val="007D2FB1"/>
    <w:rsid w:val="007E3D72"/>
    <w:rsid w:val="007E45F4"/>
    <w:rsid w:val="007E6005"/>
    <w:rsid w:val="007F4099"/>
    <w:rsid w:val="00812E24"/>
    <w:rsid w:val="008147C1"/>
    <w:rsid w:val="00815444"/>
    <w:rsid w:val="00821D25"/>
    <w:rsid w:val="008265D1"/>
    <w:rsid w:val="00833423"/>
    <w:rsid w:val="00837618"/>
    <w:rsid w:val="0083781F"/>
    <w:rsid w:val="00846559"/>
    <w:rsid w:val="008547E6"/>
    <w:rsid w:val="00860A88"/>
    <w:rsid w:val="008610D3"/>
    <w:rsid w:val="008673EA"/>
    <w:rsid w:val="008851E5"/>
    <w:rsid w:val="0088669A"/>
    <w:rsid w:val="00896A3E"/>
    <w:rsid w:val="008974B0"/>
    <w:rsid w:val="00897ED3"/>
    <w:rsid w:val="008A3578"/>
    <w:rsid w:val="008A692A"/>
    <w:rsid w:val="008B041B"/>
    <w:rsid w:val="008C1C3D"/>
    <w:rsid w:val="008C6FF9"/>
    <w:rsid w:val="008C75E3"/>
    <w:rsid w:val="008D2C02"/>
    <w:rsid w:val="008D714F"/>
    <w:rsid w:val="008E1818"/>
    <w:rsid w:val="008E263E"/>
    <w:rsid w:val="008E5596"/>
    <w:rsid w:val="008E6E84"/>
    <w:rsid w:val="008F2556"/>
    <w:rsid w:val="008F60C2"/>
    <w:rsid w:val="00905E75"/>
    <w:rsid w:val="009107FC"/>
    <w:rsid w:val="00912231"/>
    <w:rsid w:val="0091308E"/>
    <w:rsid w:val="009179F4"/>
    <w:rsid w:val="009216DA"/>
    <w:rsid w:val="00921F7D"/>
    <w:rsid w:val="00942A1C"/>
    <w:rsid w:val="00952918"/>
    <w:rsid w:val="00960072"/>
    <w:rsid w:val="0096049F"/>
    <w:rsid w:val="00961B98"/>
    <w:rsid w:val="009727A4"/>
    <w:rsid w:val="00977763"/>
    <w:rsid w:val="009879D0"/>
    <w:rsid w:val="00987C73"/>
    <w:rsid w:val="00990F77"/>
    <w:rsid w:val="00997B67"/>
    <w:rsid w:val="009B5679"/>
    <w:rsid w:val="009D6853"/>
    <w:rsid w:val="009E5FBC"/>
    <w:rsid w:val="009F57BD"/>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0A49"/>
    <w:rsid w:val="00A92681"/>
    <w:rsid w:val="00AA1662"/>
    <w:rsid w:val="00AA2FF9"/>
    <w:rsid w:val="00AA52EF"/>
    <w:rsid w:val="00AB1DD0"/>
    <w:rsid w:val="00AB2D72"/>
    <w:rsid w:val="00AB7F49"/>
    <w:rsid w:val="00AC0D2A"/>
    <w:rsid w:val="00AC5322"/>
    <w:rsid w:val="00AD767C"/>
    <w:rsid w:val="00AD7AF0"/>
    <w:rsid w:val="00AE0A69"/>
    <w:rsid w:val="00AF08E1"/>
    <w:rsid w:val="00AF2125"/>
    <w:rsid w:val="00AF35B5"/>
    <w:rsid w:val="00AF5FBF"/>
    <w:rsid w:val="00B00CC0"/>
    <w:rsid w:val="00B013C3"/>
    <w:rsid w:val="00B0477C"/>
    <w:rsid w:val="00B1536E"/>
    <w:rsid w:val="00B17AF7"/>
    <w:rsid w:val="00B20A9D"/>
    <w:rsid w:val="00B23580"/>
    <w:rsid w:val="00B264C5"/>
    <w:rsid w:val="00B332D1"/>
    <w:rsid w:val="00B4375B"/>
    <w:rsid w:val="00B4699C"/>
    <w:rsid w:val="00B51F16"/>
    <w:rsid w:val="00B56B94"/>
    <w:rsid w:val="00B6110D"/>
    <w:rsid w:val="00B74393"/>
    <w:rsid w:val="00B80074"/>
    <w:rsid w:val="00B8262E"/>
    <w:rsid w:val="00B926BC"/>
    <w:rsid w:val="00B92F4B"/>
    <w:rsid w:val="00BA49D2"/>
    <w:rsid w:val="00BA737B"/>
    <w:rsid w:val="00BA7C46"/>
    <w:rsid w:val="00BC4DC8"/>
    <w:rsid w:val="00BC74CE"/>
    <w:rsid w:val="00BC7A01"/>
    <w:rsid w:val="00BD2797"/>
    <w:rsid w:val="00BD305C"/>
    <w:rsid w:val="00BD5F03"/>
    <w:rsid w:val="00BD723C"/>
    <w:rsid w:val="00BE1047"/>
    <w:rsid w:val="00BE52D9"/>
    <w:rsid w:val="00BF286B"/>
    <w:rsid w:val="00C10679"/>
    <w:rsid w:val="00C13D17"/>
    <w:rsid w:val="00C216FF"/>
    <w:rsid w:val="00C25385"/>
    <w:rsid w:val="00C35008"/>
    <w:rsid w:val="00C35183"/>
    <w:rsid w:val="00C36D12"/>
    <w:rsid w:val="00C471C9"/>
    <w:rsid w:val="00C6047B"/>
    <w:rsid w:val="00C65E5B"/>
    <w:rsid w:val="00C712D4"/>
    <w:rsid w:val="00C72B26"/>
    <w:rsid w:val="00C731F8"/>
    <w:rsid w:val="00C774DA"/>
    <w:rsid w:val="00C92CD3"/>
    <w:rsid w:val="00C94F92"/>
    <w:rsid w:val="00C95B60"/>
    <w:rsid w:val="00C95C32"/>
    <w:rsid w:val="00CA0E39"/>
    <w:rsid w:val="00CA2CB7"/>
    <w:rsid w:val="00CA79A5"/>
    <w:rsid w:val="00CB106E"/>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1DFD"/>
    <w:rsid w:val="00D331CA"/>
    <w:rsid w:val="00D35F93"/>
    <w:rsid w:val="00D42971"/>
    <w:rsid w:val="00D60887"/>
    <w:rsid w:val="00D60E3D"/>
    <w:rsid w:val="00D62489"/>
    <w:rsid w:val="00D72A32"/>
    <w:rsid w:val="00D75C00"/>
    <w:rsid w:val="00D80A48"/>
    <w:rsid w:val="00D86E71"/>
    <w:rsid w:val="00DA40D3"/>
    <w:rsid w:val="00DA6332"/>
    <w:rsid w:val="00DA7C7D"/>
    <w:rsid w:val="00DB0348"/>
    <w:rsid w:val="00DB1618"/>
    <w:rsid w:val="00DB4785"/>
    <w:rsid w:val="00DC6957"/>
    <w:rsid w:val="00DC788B"/>
    <w:rsid w:val="00DD2F0C"/>
    <w:rsid w:val="00DD3035"/>
    <w:rsid w:val="00DD43E8"/>
    <w:rsid w:val="00DD7962"/>
    <w:rsid w:val="00DE42D6"/>
    <w:rsid w:val="00DE60FC"/>
    <w:rsid w:val="00DF1284"/>
    <w:rsid w:val="00DF1931"/>
    <w:rsid w:val="00E073E7"/>
    <w:rsid w:val="00E178E2"/>
    <w:rsid w:val="00E20D4F"/>
    <w:rsid w:val="00E23DBD"/>
    <w:rsid w:val="00E256D4"/>
    <w:rsid w:val="00E26FE7"/>
    <w:rsid w:val="00E3032B"/>
    <w:rsid w:val="00E35FC0"/>
    <w:rsid w:val="00E36A12"/>
    <w:rsid w:val="00E50EE6"/>
    <w:rsid w:val="00E51551"/>
    <w:rsid w:val="00E55F68"/>
    <w:rsid w:val="00E628CC"/>
    <w:rsid w:val="00E6294D"/>
    <w:rsid w:val="00E64E6D"/>
    <w:rsid w:val="00E6680C"/>
    <w:rsid w:val="00E70859"/>
    <w:rsid w:val="00E72C50"/>
    <w:rsid w:val="00E73C48"/>
    <w:rsid w:val="00E75956"/>
    <w:rsid w:val="00E80736"/>
    <w:rsid w:val="00EB381E"/>
    <w:rsid w:val="00EC3893"/>
    <w:rsid w:val="00ED26FA"/>
    <w:rsid w:val="00ED4383"/>
    <w:rsid w:val="00ED57F0"/>
    <w:rsid w:val="00ED6454"/>
    <w:rsid w:val="00ED6EAB"/>
    <w:rsid w:val="00EE2360"/>
    <w:rsid w:val="00EF430F"/>
    <w:rsid w:val="00F027EA"/>
    <w:rsid w:val="00F1192C"/>
    <w:rsid w:val="00F12A0B"/>
    <w:rsid w:val="00F3162B"/>
    <w:rsid w:val="00F324EF"/>
    <w:rsid w:val="00F32AF9"/>
    <w:rsid w:val="00F57413"/>
    <w:rsid w:val="00F578AB"/>
    <w:rsid w:val="00F61C07"/>
    <w:rsid w:val="00F71813"/>
    <w:rsid w:val="00F80416"/>
    <w:rsid w:val="00F818A3"/>
    <w:rsid w:val="00F81DD0"/>
    <w:rsid w:val="00F90251"/>
    <w:rsid w:val="00F91BC0"/>
    <w:rsid w:val="00F93392"/>
    <w:rsid w:val="00F93DE3"/>
    <w:rsid w:val="00F945E4"/>
    <w:rsid w:val="00F95A73"/>
    <w:rsid w:val="00FA177D"/>
    <w:rsid w:val="00FA44E6"/>
    <w:rsid w:val="00FB006C"/>
    <w:rsid w:val="00FB201A"/>
    <w:rsid w:val="00FB3E4C"/>
    <w:rsid w:val="00FB648F"/>
    <w:rsid w:val="00FB7639"/>
    <w:rsid w:val="00FC7917"/>
    <w:rsid w:val="00FD38DC"/>
    <w:rsid w:val="00FD6AF8"/>
    <w:rsid w:val="00FD6D9B"/>
    <w:rsid w:val="00FF08F3"/>
    <w:rsid w:val="00FF1501"/>
    <w:rsid w:val="00FF405A"/>
    <w:rsid w:val="01491C5F"/>
    <w:rsid w:val="01DC0C1D"/>
    <w:rsid w:val="02927447"/>
    <w:rsid w:val="02B250DA"/>
    <w:rsid w:val="030C0776"/>
    <w:rsid w:val="0337738D"/>
    <w:rsid w:val="038767BC"/>
    <w:rsid w:val="03E868D9"/>
    <w:rsid w:val="040A7552"/>
    <w:rsid w:val="041827A8"/>
    <w:rsid w:val="043833BC"/>
    <w:rsid w:val="046A683D"/>
    <w:rsid w:val="047D34C5"/>
    <w:rsid w:val="05D84452"/>
    <w:rsid w:val="06DE46EF"/>
    <w:rsid w:val="072F409A"/>
    <w:rsid w:val="078B414B"/>
    <w:rsid w:val="07C25ACA"/>
    <w:rsid w:val="087348EB"/>
    <w:rsid w:val="08803584"/>
    <w:rsid w:val="08CB4964"/>
    <w:rsid w:val="094C55D1"/>
    <w:rsid w:val="09852070"/>
    <w:rsid w:val="09862E1C"/>
    <w:rsid w:val="0A742C74"/>
    <w:rsid w:val="0AC11947"/>
    <w:rsid w:val="0AF20AEF"/>
    <w:rsid w:val="0B552AA6"/>
    <w:rsid w:val="0B6232ED"/>
    <w:rsid w:val="0B956B70"/>
    <w:rsid w:val="0C41302A"/>
    <w:rsid w:val="0CA84E57"/>
    <w:rsid w:val="0CAA6E21"/>
    <w:rsid w:val="0D0578EB"/>
    <w:rsid w:val="0D156991"/>
    <w:rsid w:val="0D67754C"/>
    <w:rsid w:val="0D8A752E"/>
    <w:rsid w:val="0E0B5541"/>
    <w:rsid w:val="0F0C39A1"/>
    <w:rsid w:val="0F420E24"/>
    <w:rsid w:val="0FBC30F4"/>
    <w:rsid w:val="0FD2620A"/>
    <w:rsid w:val="0FDB6FB7"/>
    <w:rsid w:val="101C7854"/>
    <w:rsid w:val="113F7F2B"/>
    <w:rsid w:val="11751540"/>
    <w:rsid w:val="11D23CCC"/>
    <w:rsid w:val="12355F6F"/>
    <w:rsid w:val="127C4397"/>
    <w:rsid w:val="128952E2"/>
    <w:rsid w:val="12E2404E"/>
    <w:rsid w:val="131C66CB"/>
    <w:rsid w:val="1344612C"/>
    <w:rsid w:val="135E159A"/>
    <w:rsid w:val="13767E73"/>
    <w:rsid w:val="140534A4"/>
    <w:rsid w:val="1507380E"/>
    <w:rsid w:val="15565D98"/>
    <w:rsid w:val="15701BB9"/>
    <w:rsid w:val="15840280"/>
    <w:rsid w:val="15D6692B"/>
    <w:rsid w:val="15E2762C"/>
    <w:rsid w:val="1663452C"/>
    <w:rsid w:val="16BC1C9D"/>
    <w:rsid w:val="16F70EB5"/>
    <w:rsid w:val="173B6FF4"/>
    <w:rsid w:val="17FB49D5"/>
    <w:rsid w:val="18493E50"/>
    <w:rsid w:val="189B3099"/>
    <w:rsid w:val="189F7F02"/>
    <w:rsid w:val="19E2653A"/>
    <w:rsid w:val="1A447B28"/>
    <w:rsid w:val="1A5B4FA7"/>
    <w:rsid w:val="1B2604E2"/>
    <w:rsid w:val="1B6B1E72"/>
    <w:rsid w:val="1BEE64F5"/>
    <w:rsid w:val="1C315C93"/>
    <w:rsid w:val="1CE0707D"/>
    <w:rsid w:val="1D8B05A9"/>
    <w:rsid w:val="1DD91315"/>
    <w:rsid w:val="1E05210A"/>
    <w:rsid w:val="1E2B0B0E"/>
    <w:rsid w:val="1E3C488D"/>
    <w:rsid w:val="1F05439B"/>
    <w:rsid w:val="1F3A0E20"/>
    <w:rsid w:val="1F407DE7"/>
    <w:rsid w:val="1F6E3CDF"/>
    <w:rsid w:val="1F9A4AD4"/>
    <w:rsid w:val="1FBF278C"/>
    <w:rsid w:val="20BA1301"/>
    <w:rsid w:val="20C7069C"/>
    <w:rsid w:val="20E67C77"/>
    <w:rsid w:val="20F22702"/>
    <w:rsid w:val="21653D79"/>
    <w:rsid w:val="21AD7480"/>
    <w:rsid w:val="21C55DF6"/>
    <w:rsid w:val="21D91C52"/>
    <w:rsid w:val="2244029C"/>
    <w:rsid w:val="235A170F"/>
    <w:rsid w:val="256F1AFE"/>
    <w:rsid w:val="263A043C"/>
    <w:rsid w:val="26CB1A16"/>
    <w:rsid w:val="26ED5E31"/>
    <w:rsid w:val="26F64CE5"/>
    <w:rsid w:val="27266901"/>
    <w:rsid w:val="27300996"/>
    <w:rsid w:val="279D33B3"/>
    <w:rsid w:val="27A504B9"/>
    <w:rsid w:val="27EB0A09"/>
    <w:rsid w:val="28743FC5"/>
    <w:rsid w:val="28820FD9"/>
    <w:rsid w:val="28862099"/>
    <w:rsid w:val="28EA3406"/>
    <w:rsid w:val="292B2D6D"/>
    <w:rsid w:val="297E0FC2"/>
    <w:rsid w:val="29934A6D"/>
    <w:rsid w:val="29974A4D"/>
    <w:rsid w:val="29C371B4"/>
    <w:rsid w:val="2A7121B2"/>
    <w:rsid w:val="2A8E5BCC"/>
    <w:rsid w:val="2A8E7260"/>
    <w:rsid w:val="2ABE4051"/>
    <w:rsid w:val="2ADD4AAF"/>
    <w:rsid w:val="2BCA6741"/>
    <w:rsid w:val="2C0E3068"/>
    <w:rsid w:val="2C4136FB"/>
    <w:rsid w:val="2C6F36AC"/>
    <w:rsid w:val="2D045C82"/>
    <w:rsid w:val="2D18599A"/>
    <w:rsid w:val="2D39592C"/>
    <w:rsid w:val="2E4E5CBE"/>
    <w:rsid w:val="2F004BB9"/>
    <w:rsid w:val="2F7470EF"/>
    <w:rsid w:val="2FD6D931"/>
    <w:rsid w:val="3021055B"/>
    <w:rsid w:val="30224607"/>
    <w:rsid w:val="31E75CF0"/>
    <w:rsid w:val="31F47297"/>
    <w:rsid w:val="32CB2671"/>
    <w:rsid w:val="33B42DA4"/>
    <w:rsid w:val="34242218"/>
    <w:rsid w:val="34747399"/>
    <w:rsid w:val="3511668A"/>
    <w:rsid w:val="35B5220F"/>
    <w:rsid w:val="35C506A4"/>
    <w:rsid w:val="35F456A2"/>
    <w:rsid w:val="372B09DB"/>
    <w:rsid w:val="37811B93"/>
    <w:rsid w:val="380E11A1"/>
    <w:rsid w:val="380F6BB3"/>
    <w:rsid w:val="38A50319"/>
    <w:rsid w:val="399565E0"/>
    <w:rsid w:val="3A920D71"/>
    <w:rsid w:val="3B2A34B4"/>
    <w:rsid w:val="3B9C785C"/>
    <w:rsid w:val="3BD56003"/>
    <w:rsid w:val="3C1E0B0E"/>
    <w:rsid w:val="3C8445F3"/>
    <w:rsid w:val="3CE73FFB"/>
    <w:rsid w:val="3D0E3E15"/>
    <w:rsid w:val="3D2C725B"/>
    <w:rsid w:val="3DBD7EB3"/>
    <w:rsid w:val="3DE23DBE"/>
    <w:rsid w:val="3E703177"/>
    <w:rsid w:val="3ECF479B"/>
    <w:rsid w:val="3EFF67ED"/>
    <w:rsid w:val="3F0A2CEA"/>
    <w:rsid w:val="3F1F4F1F"/>
    <w:rsid w:val="40754B01"/>
    <w:rsid w:val="409C0479"/>
    <w:rsid w:val="40A86BF9"/>
    <w:rsid w:val="40EF4827"/>
    <w:rsid w:val="414B06C5"/>
    <w:rsid w:val="41A73354"/>
    <w:rsid w:val="41EB6337"/>
    <w:rsid w:val="41F9564C"/>
    <w:rsid w:val="420268B2"/>
    <w:rsid w:val="421538F8"/>
    <w:rsid w:val="426E5D3B"/>
    <w:rsid w:val="42A53449"/>
    <w:rsid w:val="42C76C8E"/>
    <w:rsid w:val="42DA6111"/>
    <w:rsid w:val="439353EE"/>
    <w:rsid w:val="43E91A02"/>
    <w:rsid w:val="443A225E"/>
    <w:rsid w:val="44A847D8"/>
    <w:rsid w:val="452E1696"/>
    <w:rsid w:val="45905EAD"/>
    <w:rsid w:val="45AB21DA"/>
    <w:rsid w:val="45B41DE4"/>
    <w:rsid w:val="45C67B21"/>
    <w:rsid w:val="45E87A97"/>
    <w:rsid w:val="45E958C2"/>
    <w:rsid w:val="461A2105"/>
    <w:rsid w:val="465A48FC"/>
    <w:rsid w:val="46E164C1"/>
    <w:rsid w:val="470E01B0"/>
    <w:rsid w:val="471049AF"/>
    <w:rsid w:val="474779FD"/>
    <w:rsid w:val="485C0719"/>
    <w:rsid w:val="489456FD"/>
    <w:rsid w:val="48EF4DE0"/>
    <w:rsid w:val="492E7EB7"/>
    <w:rsid w:val="49F57666"/>
    <w:rsid w:val="4A08695A"/>
    <w:rsid w:val="4A094BA5"/>
    <w:rsid w:val="4A2B014A"/>
    <w:rsid w:val="4A365275"/>
    <w:rsid w:val="4A7465C4"/>
    <w:rsid w:val="4A93363D"/>
    <w:rsid w:val="4AE70793"/>
    <w:rsid w:val="4B3A2DF8"/>
    <w:rsid w:val="4B8D3A4C"/>
    <w:rsid w:val="4B990304"/>
    <w:rsid w:val="4BE00C8B"/>
    <w:rsid w:val="4D065CF9"/>
    <w:rsid w:val="4DA07975"/>
    <w:rsid w:val="4DF95776"/>
    <w:rsid w:val="4E067654"/>
    <w:rsid w:val="4E7D39CF"/>
    <w:rsid w:val="4E9678F1"/>
    <w:rsid w:val="4F205D83"/>
    <w:rsid w:val="4F44079F"/>
    <w:rsid w:val="50096C45"/>
    <w:rsid w:val="501A642E"/>
    <w:rsid w:val="51797852"/>
    <w:rsid w:val="53DE0A3A"/>
    <w:rsid w:val="53E45D42"/>
    <w:rsid w:val="540A6275"/>
    <w:rsid w:val="55172AE4"/>
    <w:rsid w:val="5583514A"/>
    <w:rsid w:val="56004989"/>
    <w:rsid w:val="572709D1"/>
    <w:rsid w:val="572A3C7C"/>
    <w:rsid w:val="579F72CD"/>
    <w:rsid w:val="57BA7C0F"/>
    <w:rsid w:val="58117EEF"/>
    <w:rsid w:val="582C7CB7"/>
    <w:rsid w:val="5939706E"/>
    <w:rsid w:val="593A4C49"/>
    <w:rsid w:val="593E6FAD"/>
    <w:rsid w:val="595F40F2"/>
    <w:rsid w:val="597F42D9"/>
    <w:rsid w:val="59972C8B"/>
    <w:rsid w:val="59FA62BF"/>
    <w:rsid w:val="5A040EEC"/>
    <w:rsid w:val="5A1350B0"/>
    <w:rsid w:val="5A640354"/>
    <w:rsid w:val="5A9D0BA5"/>
    <w:rsid w:val="5AE43B66"/>
    <w:rsid w:val="5AE60D1B"/>
    <w:rsid w:val="5AF879E8"/>
    <w:rsid w:val="5B0C2715"/>
    <w:rsid w:val="5B490B80"/>
    <w:rsid w:val="5B8F4FBF"/>
    <w:rsid w:val="5BEB116E"/>
    <w:rsid w:val="5BF97888"/>
    <w:rsid w:val="5C2E31F8"/>
    <w:rsid w:val="5C337866"/>
    <w:rsid w:val="5C3E620B"/>
    <w:rsid w:val="5CC45974"/>
    <w:rsid w:val="5CD34BA6"/>
    <w:rsid w:val="5D1D22C5"/>
    <w:rsid w:val="5D4D4958"/>
    <w:rsid w:val="5D8C64FA"/>
    <w:rsid w:val="5DA11663"/>
    <w:rsid w:val="5DE86607"/>
    <w:rsid w:val="5E006F74"/>
    <w:rsid w:val="5E0D2339"/>
    <w:rsid w:val="5E563166"/>
    <w:rsid w:val="5EFB439C"/>
    <w:rsid w:val="5F56667A"/>
    <w:rsid w:val="5F9C6F4B"/>
    <w:rsid w:val="60055386"/>
    <w:rsid w:val="60122988"/>
    <w:rsid w:val="60150932"/>
    <w:rsid w:val="604D6B6A"/>
    <w:rsid w:val="605F012B"/>
    <w:rsid w:val="60B33F8F"/>
    <w:rsid w:val="60BB45EE"/>
    <w:rsid w:val="619736AB"/>
    <w:rsid w:val="61E35D28"/>
    <w:rsid w:val="622441AA"/>
    <w:rsid w:val="62456545"/>
    <w:rsid w:val="62A3501A"/>
    <w:rsid w:val="62F51D1A"/>
    <w:rsid w:val="6314191D"/>
    <w:rsid w:val="63732C3E"/>
    <w:rsid w:val="63DD0DE4"/>
    <w:rsid w:val="64031FD2"/>
    <w:rsid w:val="645771EC"/>
    <w:rsid w:val="652C2DE2"/>
    <w:rsid w:val="65A042B9"/>
    <w:rsid w:val="65AE41B8"/>
    <w:rsid w:val="65FC652F"/>
    <w:rsid w:val="669A4C1A"/>
    <w:rsid w:val="67774FBD"/>
    <w:rsid w:val="67DE5796"/>
    <w:rsid w:val="680054FA"/>
    <w:rsid w:val="680B78E9"/>
    <w:rsid w:val="68B852C3"/>
    <w:rsid w:val="68E329D0"/>
    <w:rsid w:val="692F13B6"/>
    <w:rsid w:val="696403F8"/>
    <w:rsid w:val="69747EC6"/>
    <w:rsid w:val="699E6B7E"/>
    <w:rsid w:val="6A9040D6"/>
    <w:rsid w:val="6AA03BB7"/>
    <w:rsid w:val="6AA64288"/>
    <w:rsid w:val="6ABE0C43"/>
    <w:rsid w:val="6AE01DCC"/>
    <w:rsid w:val="6AEA1A38"/>
    <w:rsid w:val="6AEB19B5"/>
    <w:rsid w:val="6B0E3133"/>
    <w:rsid w:val="6B730158"/>
    <w:rsid w:val="6B7E27D2"/>
    <w:rsid w:val="6C4E249B"/>
    <w:rsid w:val="6CBA368C"/>
    <w:rsid w:val="6CD117BF"/>
    <w:rsid w:val="6D5579DD"/>
    <w:rsid w:val="6DBF0759"/>
    <w:rsid w:val="6F065AB6"/>
    <w:rsid w:val="6F3B4F58"/>
    <w:rsid w:val="6F703B6D"/>
    <w:rsid w:val="6FA54EA7"/>
    <w:rsid w:val="6FE27182"/>
    <w:rsid w:val="6FFF3DBF"/>
    <w:rsid w:val="702C5898"/>
    <w:rsid w:val="70B954D3"/>
    <w:rsid w:val="70FD5AF2"/>
    <w:rsid w:val="71031C18"/>
    <w:rsid w:val="71647328"/>
    <w:rsid w:val="71B40B4A"/>
    <w:rsid w:val="71ED0885"/>
    <w:rsid w:val="72005C10"/>
    <w:rsid w:val="723A38F7"/>
    <w:rsid w:val="729736A9"/>
    <w:rsid w:val="72B12376"/>
    <w:rsid w:val="730814C9"/>
    <w:rsid w:val="734260F6"/>
    <w:rsid w:val="73765356"/>
    <w:rsid w:val="73B9644B"/>
    <w:rsid w:val="73CA0460"/>
    <w:rsid w:val="74BC4973"/>
    <w:rsid w:val="74FC0841"/>
    <w:rsid w:val="75795548"/>
    <w:rsid w:val="75A55559"/>
    <w:rsid w:val="75D34962"/>
    <w:rsid w:val="76310482"/>
    <w:rsid w:val="76356195"/>
    <w:rsid w:val="766308F1"/>
    <w:rsid w:val="76F123A0"/>
    <w:rsid w:val="77091498"/>
    <w:rsid w:val="771B2BF8"/>
    <w:rsid w:val="772157C2"/>
    <w:rsid w:val="7881557F"/>
    <w:rsid w:val="79885BF6"/>
    <w:rsid w:val="7A230972"/>
    <w:rsid w:val="7A923AD7"/>
    <w:rsid w:val="7A965738"/>
    <w:rsid w:val="7AC202DC"/>
    <w:rsid w:val="7B3C086B"/>
    <w:rsid w:val="7BB8348D"/>
    <w:rsid w:val="7BE8A653"/>
    <w:rsid w:val="7BFE340A"/>
    <w:rsid w:val="7C0061C0"/>
    <w:rsid w:val="7C1B5662"/>
    <w:rsid w:val="7C25384F"/>
    <w:rsid w:val="7C545764"/>
    <w:rsid w:val="7CB10760"/>
    <w:rsid w:val="7D841889"/>
    <w:rsid w:val="7E0C31B6"/>
    <w:rsid w:val="7E3BCB75"/>
    <w:rsid w:val="7EEE7BCB"/>
    <w:rsid w:val="7EFC1100"/>
    <w:rsid w:val="7F1F7664"/>
    <w:rsid w:val="7FB73B87"/>
    <w:rsid w:val="7FF740AE"/>
    <w:rsid w:val="9E756B23"/>
    <w:rsid w:val="B2CF4DFC"/>
    <w:rsid w:val="B678FF3C"/>
    <w:rsid w:val="BA7B23C6"/>
    <w:rsid w:val="BBBF1BD8"/>
    <w:rsid w:val="CFFF6FB8"/>
    <w:rsid w:val="DAFC5029"/>
    <w:rsid w:val="F531C84F"/>
    <w:rsid w:val="FF7B4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line="580" w:lineRule="exact"/>
    </w:pPr>
    <w:rPr>
      <w:rFonts w:ascii="仿宋_GB2312" w:hAnsi="宋体" w:eastAsia="仿宋_GB2312"/>
      <w:sz w:val="32"/>
    </w:rPr>
  </w:style>
  <w:style w:type="paragraph" w:styleId="4">
    <w:name w:val="Body Text Indent 2"/>
    <w:basedOn w:val="1"/>
    <w:link w:val="15"/>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5">
    <w:name w:val="Balloon Text"/>
    <w:basedOn w:val="1"/>
    <w:link w:val="17"/>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字符"/>
    <w:basedOn w:val="10"/>
    <w:link w:val="6"/>
    <w:qFormat/>
    <w:uiPriority w:val="0"/>
    <w:rPr>
      <w:rFonts w:ascii="Times New Roman" w:hAnsi="Times New Roman" w:eastAsia="宋体" w:cs="Times New Roman"/>
      <w:sz w:val="18"/>
      <w:szCs w:val="18"/>
    </w:rPr>
  </w:style>
  <w:style w:type="character" w:customStyle="1" w:styleId="14">
    <w:name w:val="页眉 字符"/>
    <w:basedOn w:val="10"/>
    <w:link w:val="7"/>
    <w:qFormat/>
    <w:uiPriority w:val="99"/>
    <w:rPr>
      <w:sz w:val="18"/>
      <w:szCs w:val="18"/>
    </w:rPr>
  </w:style>
  <w:style w:type="character" w:customStyle="1" w:styleId="15">
    <w:name w:val="正文文本缩进 2 字符"/>
    <w:basedOn w:val="10"/>
    <w:link w:val="4"/>
    <w:qFormat/>
    <w:uiPriority w:val="0"/>
    <w:rPr>
      <w:rFonts w:ascii="汉仪书宋二简" w:hAnsi="汉仪书宋二简" w:eastAsia="汉仪书宋二简" w:cs="Times New Roman"/>
      <w:spacing w:val="20"/>
      <w:w w:val="110"/>
      <w:kern w:val="10"/>
      <w:sz w:val="23"/>
      <w:szCs w:val="23"/>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5295</Words>
  <Characters>5616</Characters>
  <Lines>43</Lines>
  <Paragraphs>12</Paragraphs>
  <TotalTime>0</TotalTime>
  <ScaleCrop>false</ScaleCrop>
  <LinksUpToDate>false</LinksUpToDate>
  <CharactersWithSpaces>5627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2022-03-06T19:03:00Z</dcterms:created>
  <dc:creator>金格科技</dc:creator>
  <cp:lastModifiedBy>Luna</cp:lastModifiedBy>
  <cp:lastPrinted>2022-10-25T18:25:00Z</cp:lastPrinted>
  <dcterms:modified xsi:type="dcterms:W3CDTF">2022-10-26T14:55:23Z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BE8C75B262394CF78AEC4F11CF1D0616</vt:lpwstr>
  </property>
</Properties>
</file>