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default" w:eastAsia="宋体"/>
          <w:lang w:val="en-US" w:eastAsia="zh-CN"/>
        </w:rPr>
      </w:pPr>
    </w:p>
    <w:p>
      <w:pPr>
        <w:autoSpaceDE w:val="0"/>
        <w:autoSpaceDN w:val="0"/>
        <w:spacing w:line="360" w:lineRule="auto"/>
        <w:jc w:val="center"/>
        <w:rPr>
          <w:rFonts w:ascii="宋体" w:hAnsi="宋体" w:cs="黑体"/>
          <w:b/>
          <w:bCs/>
          <w:spacing w:val="0"/>
          <w:sz w:val="44"/>
          <w:szCs w:val="44"/>
        </w:rPr>
      </w:pPr>
      <w:r>
        <w:rPr>
          <w:rFonts w:hint="eastAsia" w:ascii="宋体" w:hAnsi="宋体" w:cs="黑体"/>
          <w:b/>
          <w:bCs/>
          <w:spacing w:val="0"/>
          <w:sz w:val="44"/>
          <w:szCs w:val="44"/>
          <w:lang w:val="en-US" w:eastAsia="zh-CN"/>
        </w:rPr>
        <w:t>深圳市</w:t>
      </w:r>
      <w:bookmarkStart w:id="0" w:name="_GoBack"/>
      <w:bookmarkEnd w:id="0"/>
      <w:r>
        <w:rPr>
          <w:rFonts w:hint="eastAsia" w:ascii="宋体" w:hAnsi="宋体" w:cs="黑体"/>
          <w:b/>
          <w:bCs/>
          <w:spacing w:val="0"/>
          <w:sz w:val="44"/>
          <w:szCs w:val="44"/>
        </w:rPr>
        <w:t>安居型商品房建设和管理任务书</w:t>
      </w:r>
    </w:p>
    <w:p>
      <w:pPr>
        <w:tabs>
          <w:tab w:val="left" w:pos="4980"/>
        </w:tabs>
        <w:autoSpaceDE w:val="0"/>
        <w:autoSpaceDN w:val="0"/>
        <w:spacing w:before="50" w:line="360" w:lineRule="auto"/>
        <w:jc w:val="center"/>
        <w:outlineLvl w:val="0"/>
        <w:rPr>
          <w:rFonts w:ascii="仿宋_GB2312" w:hAnsi="仿宋_GB2312" w:eastAsia="仿宋_GB2312" w:cs="仿宋_GB2312"/>
          <w:sz w:val="32"/>
        </w:rPr>
      </w:pPr>
      <w:r>
        <w:rPr>
          <w:rFonts w:hint="eastAsia" w:ascii="仿宋_GB2312" w:hAnsi="仿宋_GB2312" w:eastAsia="仿宋_GB2312" w:cs="仿宋_GB2312"/>
          <w:sz w:val="32"/>
        </w:rPr>
        <w:t>深安任书〔202</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X</w:t>
      </w:r>
      <w:r>
        <w:rPr>
          <w:rFonts w:hint="eastAsia" w:ascii="仿宋_GB2312" w:hAnsi="仿宋_GB2312" w:eastAsia="仿宋_GB2312" w:cs="仿宋_GB2312"/>
          <w:sz w:val="32"/>
        </w:rPr>
        <w:t>号</w:t>
      </w:r>
    </w:p>
    <w:p>
      <w:pPr>
        <w:tabs>
          <w:tab w:val="left" w:pos="4980"/>
        </w:tabs>
        <w:autoSpaceDE w:val="0"/>
        <w:autoSpaceDN w:val="0"/>
        <w:spacing w:before="50" w:line="360" w:lineRule="auto"/>
        <w:jc w:val="center"/>
        <w:outlineLvl w:val="0"/>
        <w:rPr>
          <w:rFonts w:ascii="宋体" w:hAnsi="宋体"/>
          <w:sz w:val="32"/>
        </w:rPr>
      </w:pPr>
    </w:p>
    <w:p>
      <w:pPr>
        <w:autoSpaceDE w:val="0"/>
        <w:autoSpaceDN w:val="0"/>
        <w:spacing w:before="0" w:line="324" w:lineRule="auto"/>
        <w:ind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lang w:val="en-US" w:eastAsia="zh-CN"/>
        </w:rPr>
        <w:t>:</w:t>
      </w:r>
    </w:p>
    <w:p>
      <w:pPr>
        <w:autoSpaceDE w:val="0"/>
        <w:autoSpaceDN w:val="0"/>
        <w:spacing w:before="0" w:line="324" w:lineRule="auto"/>
        <w:ind w:left="0" w:right="0"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为明确深圳市</w:t>
      </w:r>
      <w:r>
        <w:rPr>
          <w:rFonts w:hint="eastAsia" w:ascii="仿宋_GB2312" w:hAnsi="仿宋_GB2312" w:eastAsia="仿宋_GB2312" w:cs="仿宋_GB2312"/>
          <w:color w:val="000000"/>
          <w:sz w:val="32"/>
          <w:szCs w:val="32"/>
          <w:lang w:val="en-US" w:eastAsia="zh-CN"/>
        </w:rPr>
        <w:t>XX</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lang w:val="en-US" w:eastAsia="zh-CN"/>
        </w:rPr>
        <w:t>XX</w:t>
      </w:r>
      <w:r>
        <w:rPr>
          <w:rFonts w:hint="eastAsia" w:ascii="仿宋_GB2312" w:hAnsi="仿宋_GB2312" w:eastAsia="仿宋_GB2312" w:cs="仿宋_GB2312"/>
          <w:color w:val="000000"/>
          <w:sz w:val="32"/>
          <w:szCs w:val="32"/>
        </w:rPr>
        <w:t>宗地范围</w:t>
      </w:r>
      <w:r>
        <w:rPr>
          <w:rFonts w:hint="eastAsia" w:ascii="仿宋_GB2312" w:hAnsi="仿宋_GB2312" w:eastAsia="仿宋_GB2312" w:cs="仿宋_GB2312"/>
          <w:color w:val="000000"/>
          <w:sz w:val="32"/>
          <w:szCs w:val="32"/>
          <w:lang w:val="en-US" w:eastAsia="zh-CN"/>
        </w:rPr>
        <w:t>内</w:t>
      </w:r>
      <w:r>
        <w:rPr>
          <w:rFonts w:hint="eastAsia" w:ascii="仿宋_GB2312" w:hAnsi="仿宋_GB2312" w:eastAsia="仿宋_GB2312" w:cs="仿宋_GB2312"/>
          <w:color w:val="000000"/>
          <w:sz w:val="32"/>
          <w:szCs w:val="32"/>
          <w:lang w:eastAsia="zh-CN"/>
        </w:rPr>
        <w:t>安居型商品房</w:t>
      </w:r>
      <w:r>
        <w:rPr>
          <w:rFonts w:hint="eastAsia" w:ascii="仿宋_GB2312" w:hAnsi="仿宋_GB2312" w:eastAsia="仿宋_GB2312" w:cs="仿宋_GB2312"/>
          <w:color w:val="000000"/>
          <w:sz w:val="32"/>
          <w:szCs w:val="32"/>
        </w:rPr>
        <w:t>建设标准与管理任务，加快推进项目建设，按时完成建设任务，</w:t>
      </w:r>
      <w:r>
        <w:rPr>
          <w:rFonts w:hint="eastAsia" w:ascii="仿宋_GB2312" w:hAnsi="仿宋_GB2312" w:eastAsia="仿宋_GB2312" w:cs="仿宋_GB2312"/>
          <w:sz w:val="32"/>
          <w:szCs w:val="32"/>
        </w:rPr>
        <w:t>根据《深圳市保障性住房条例》《深圳市安居型商品房建设和管理暂行办法》</w:t>
      </w:r>
      <w:r>
        <w:rPr>
          <w:rFonts w:ascii="仿宋_GB2312" w:hAnsi="仿宋_GB2312" w:eastAsia="仿宋_GB2312" w:cs="仿宋_GB2312"/>
          <w:sz w:val="32"/>
          <w:szCs w:val="32"/>
        </w:rPr>
        <w:t>和《深圳市保障性住房建设标准（试行）》等</w:t>
      </w:r>
      <w:r>
        <w:rPr>
          <w:rFonts w:hint="eastAsia" w:ascii="仿宋_GB2312" w:hAnsi="仿宋_GB2312" w:eastAsia="仿宋_GB2312" w:cs="仿宋_GB2312"/>
          <w:sz w:val="32"/>
          <w:szCs w:val="32"/>
        </w:rPr>
        <w:t>相关</w:t>
      </w:r>
      <w:r>
        <w:rPr>
          <w:rFonts w:ascii="仿宋_GB2312" w:hAnsi="仿宋_GB2312" w:eastAsia="仿宋_GB2312" w:cs="仿宋_GB2312"/>
          <w:sz w:val="32"/>
          <w:szCs w:val="32"/>
        </w:rPr>
        <w:t>规定，现就</w:t>
      </w:r>
      <w:r>
        <w:rPr>
          <w:rFonts w:hint="eastAsia" w:ascii="仿宋_GB2312" w:hAnsi="仿宋_GB2312" w:eastAsia="仿宋_GB2312" w:cs="仿宋_GB2312"/>
          <w:sz w:val="32"/>
          <w:szCs w:val="32"/>
        </w:rPr>
        <w:t>该</w:t>
      </w:r>
      <w:r>
        <w:rPr>
          <w:rFonts w:ascii="仿宋_GB2312" w:hAnsi="仿宋_GB2312" w:eastAsia="仿宋_GB2312" w:cs="仿宋_GB2312"/>
          <w:sz w:val="32"/>
          <w:szCs w:val="32"/>
        </w:rPr>
        <w:t>项目的建设和管理</w:t>
      </w:r>
      <w:r>
        <w:rPr>
          <w:rFonts w:hint="eastAsia" w:ascii="仿宋_GB2312" w:hAnsi="仿宋_GB2312" w:eastAsia="仿宋_GB2312" w:cs="仿宋_GB2312"/>
          <w:sz w:val="32"/>
          <w:szCs w:val="32"/>
        </w:rPr>
        <w:t>任务提出以下要求，请认真落实完成。</w:t>
      </w:r>
    </w:p>
    <w:p>
      <w:pPr>
        <w:autoSpaceDE w:val="0"/>
        <w:autoSpaceDN w:val="0"/>
        <w:spacing w:line="324" w:lineRule="auto"/>
        <w:ind w:left="0" w:right="0" w:firstLine="800" w:firstLineChars="250"/>
        <w:rPr>
          <w:rFonts w:ascii="黑体" w:hAnsi="黑体" w:eastAsia="黑体" w:cs="仿宋_GB2312"/>
          <w:sz w:val="32"/>
          <w:szCs w:val="32"/>
        </w:rPr>
      </w:pPr>
      <w:r>
        <w:rPr>
          <w:rFonts w:hint="eastAsia" w:ascii="黑体" w:hAnsi="黑体" w:eastAsia="黑体" w:cs="仿宋_GB2312"/>
          <w:sz w:val="32"/>
          <w:szCs w:val="32"/>
        </w:rPr>
        <w:t>一、设计要求</w:t>
      </w:r>
    </w:p>
    <w:p>
      <w:pPr>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（一）建筑面积及户型。</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用地规划许可证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（地字第</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和《深圳市住房和建设局关于</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lang w:eastAsia="zh-CN"/>
        </w:rPr>
        <w:t>安居型商品房项目建设标准的复函》有</w:t>
      </w:r>
      <w:r>
        <w:rPr>
          <w:rFonts w:hint="eastAsia" w:ascii="仿宋_GB2312" w:hAnsi="仿宋_GB2312" w:eastAsia="仿宋_GB2312" w:cs="仿宋_GB2312"/>
          <w:sz w:val="32"/>
          <w:szCs w:val="32"/>
        </w:rPr>
        <w:t>关规划建设要求，本项目安居型商品房总建筑面积为</w:t>
      </w:r>
      <w:r>
        <w:rPr>
          <w:rFonts w:hint="eastAsia" w:ascii="仿宋_GB2312" w:hAnsi="仿宋_GB2312" w:eastAsia="仿宋_GB2312" w:cs="仿宋_GB2312"/>
          <w:color w:val="000000"/>
          <w:sz w:val="32"/>
          <w:szCs w:val="32"/>
          <w:u w:val="single"/>
          <w:lang w:val="en-US" w:eastAsia="zh-CN"/>
        </w:rPr>
        <w:t>XX</w:t>
      </w:r>
      <w:r>
        <w:rPr>
          <w:rFonts w:hint="eastAsia" w:ascii="仿宋_GB2312" w:hAnsi="仿宋_GB2312" w:eastAsia="仿宋_GB2312" w:cs="仿宋_GB2312"/>
          <w:sz w:val="32"/>
          <w:szCs w:val="32"/>
        </w:rPr>
        <w:t>平方米，总套数不少于</w:t>
      </w:r>
      <w:r>
        <w:rPr>
          <w:rFonts w:hint="eastAsia" w:ascii="仿宋_GB2312" w:hAnsi="仿宋_GB2312" w:eastAsia="仿宋_GB2312" w:cs="仿宋_GB2312"/>
          <w:color w:val="000000"/>
          <w:sz w:val="32"/>
          <w:szCs w:val="32"/>
          <w:u w:val="single"/>
          <w:lang w:val="en-US" w:eastAsia="zh-CN"/>
        </w:rPr>
        <w:t>XX</w:t>
      </w:r>
      <w:r>
        <w:rPr>
          <w:rFonts w:hint="eastAsia" w:ascii="仿宋_GB2312" w:hAnsi="仿宋_GB2312" w:eastAsia="仿宋_GB2312" w:cs="仿宋_GB2312"/>
          <w:sz w:val="32"/>
          <w:szCs w:val="32"/>
        </w:rPr>
        <w:t>套。</w:t>
      </w:r>
      <w:r>
        <w:rPr>
          <w:rFonts w:hint="eastAsia" w:ascii="仿宋_GB2312" w:hAnsi="仿宋_GB2312" w:eastAsia="仿宋_GB2312" w:cs="仿宋_GB2312"/>
          <w:sz w:val="32"/>
        </w:rPr>
        <w:t>其中65-70平方米两房户型约</w:t>
      </w:r>
      <w:r>
        <w:rPr>
          <w:rFonts w:hint="eastAsia" w:ascii="仿宋_GB2312" w:hAnsi="仿宋_GB2312" w:eastAsia="仿宋_GB2312" w:cs="仿宋_GB2312"/>
          <w:sz w:val="32"/>
          <w:u w:val="single"/>
          <w:lang w:val="en-US" w:eastAsia="zh-CN"/>
        </w:rPr>
        <w:t>XX</w:t>
      </w:r>
      <w:r>
        <w:rPr>
          <w:rFonts w:hint="eastAsia" w:ascii="仿宋_GB2312" w:hAnsi="仿宋_GB2312" w:eastAsia="仿宋_GB2312" w:cs="仿宋_GB2312"/>
          <w:sz w:val="32"/>
        </w:rPr>
        <w:t>套,85-90平方米三房户型约</w:t>
      </w:r>
      <w:r>
        <w:rPr>
          <w:rFonts w:hint="eastAsia" w:ascii="仿宋_GB2312" w:hAnsi="仿宋_GB2312" w:eastAsia="仿宋_GB2312" w:cs="仿宋_GB2312"/>
          <w:sz w:val="32"/>
          <w:u w:val="single"/>
          <w:lang w:val="en-US" w:eastAsia="zh-CN"/>
        </w:rPr>
        <w:t>XX</w:t>
      </w:r>
      <w:r>
        <w:rPr>
          <w:rFonts w:hint="eastAsia" w:ascii="仿宋_GB2312" w:hAnsi="仿宋_GB2312" w:eastAsia="仿宋_GB2312" w:cs="仿宋_GB2312"/>
          <w:sz w:val="32"/>
        </w:rPr>
        <w:t>套。</w:t>
      </w:r>
    </w:p>
    <w:p>
      <w:pPr>
        <w:spacing w:line="240" w:lineRule="auto"/>
        <w:ind w:firstLine="643" w:firstLineChars="200"/>
        <w:rPr>
          <w:rFonts w:ascii="仿宋_GB2312" w:hAnsi="仿宋_GB2312" w:eastAsia="仿宋_GB2312" w:cs="仿宋_GB2312"/>
          <w:strike/>
          <w:color w:val="auto"/>
          <w:sz w:val="32"/>
        </w:rPr>
      </w:pPr>
      <w:r>
        <w:rPr>
          <w:rFonts w:hint="eastAsia" w:ascii="仿宋_GB2312" w:hAnsi="仿宋_GB2312" w:eastAsia="仿宋_GB2312" w:cs="仿宋_GB2312"/>
          <w:b/>
          <w:bCs/>
          <w:sz w:val="32"/>
          <w:szCs w:val="32"/>
        </w:rPr>
        <w:t>（二）绿色建筑认证标识。</w:t>
      </w:r>
      <w:r>
        <w:rPr>
          <w:rFonts w:hint="eastAsia" w:ascii="仿宋_GB2312" w:hAnsi="仿宋_GB2312" w:eastAsia="仿宋_GB2312" w:cs="仿宋_GB2312"/>
          <w:color w:val="auto"/>
          <w:sz w:val="32"/>
        </w:rPr>
        <w:t>项目应获得深圳市《绿色建筑评价规范》（SZJG30-2018）铜级及以上标识认证或国家</w:t>
      </w:r>
      <w:r>
        <w:rPr>
          <w:rFonts w:hint="eastAsia" w:ascii="仿宋_GB2312" w:hAnsi="仿宋_GB2312" w:eastAsia="仿宋_GB2312" w:cs="仿宋_GB2312"/>
          <w:color w:val="auto"/>
          <w:sz w:val="32"/>
          <w:szCs w:val="22"/>
        </w:rPr>
        <w:t>《绿色建筑评价标准》（GB/T50378-201</w:t>
      </w:r>
      <w:r>
        <w:rPr>
          <w:rFonts w:hint="eastAsia" w:ascii="仿宋_GB2312" w:hAnsi="仿宋_GB2312" w:eastAsia="仿宋_GB2312" w:cs="仿宋_GB2312"/>
          <w:color w:val="auto"/>
          <w:sz w:val="32"/>
        </w:rPr>
        <w:t>9</w:t>
      </w:r>
      <w:r>
        <w:rPr>
          <w:rFonts w:hint="eastAsia" w:ascii="仿宋_GB2312" w:hAnsi="仿宋_GB2312" w:eastAsia="仿宋_GB2312" w:cs="仿宋_GB2312"/>
          <w:color w:val="auto"/>
          <w:sz w:val="32"/>
          <w:szCs w:val="22"/>
        </w:rPr>
        <w:t>）一</w:t>
      </w:r>
      <w:r>
        <w:rPr>
          <w:rFonts w:hint="eastAsia" w:ascii="仿宋_GB2312" w:hAnsi="仿宋_GB2312" w:eastAsia="仿宋_GB2312" w:cs="仿宋_GB2312"/>
          <w:color w:val="auto"/>
          <w:sz w:val="32"/>
        </w:rPr>
        <w:t>星级及以上标识认证</w:t>
      </w:r>
      <w:r>
        <w:rPr>
          <w:rFonts w:hint="eastAsia" w:ascii="仿宋_GB2312" w:hAnsi="仿宋_GB2312" w:eastAsia="仿宋_GB2312" w:cs="仿宋_GB2312"/>
          <w:color w:val="auto"/>
          <w:sz w:val="32"/>
          <w:lang w:eastAsia="zh-CN"/>
        </w:rPr>
        <w:t>，具体要求以项目《用地规划许可证》为准</w:t>
      </w:r>
      <w:r>
        <w:rPr>
          <w:rFonts w:hint="eastAsia" w:ascii="仿宋_GB2312" w:hAnsi="仿宋_GB2312" w:eastAsia="仿宋_GB2312" w:cs="仿宋_GB2312"/>
          <w:color w:val="auto"/>
          <w:sz w:val="32"/>
        </w:rPr>
        <w:t>。</w:t>
      </w:r>
    </w:p>
    <w:p>
      <w:pPr>
        <w:autoSpaceDE w:val="0"/>
        <w:autoSpaceDN w:val="0"/>
        <w:spacing w:line="324" w:lineRule="auto"/>
        <w:ind w:leftChars="0" w:right="0" w:firstLine="643" w:firstLineChars="200"/>
        <w:rPr>
          <w:rFonts w:ascii="仿宋_GB2312" w:hAnsi="仿宋_GB2312" w:eastAsia="仿宋_GB2312" w:cs="仿宋_GB2312"/>
          <w:sz w:val="32"/>
        </w:rPr>
      </w:pPr>
      <w:r>
        <w:rPr>
          <w:rFonts w:hint="eastAsia" w:ascii="仿宋_GB2312" w:hAnsi="仿宋_GB2312" w:eastAsia="仿宋_GB2312" w:cs="仿宋_GB2312"/>
          <w:b/>
          <w:bCs/>
          <w:sz w:val="32"/>
        </w:rPr>
        <w:t>（三）方案设计审查。</w:t>
      </w:r>
      <w:r>
        <w:rPr>
          <w:rFonts w:hint="eastAsia" w:ascii="仿宋_GB2312" w:hAnsi="仿宋_GB2312" w:eastAsia="仿宋_GB2312" w:cs="仿宋_GB2312"/>
          <w:sz w:val="32"/>
        </w:rPr>
        <w:t>项目在向规划等部门申报方案设计审批前，须报市住房保障署审查。市住房保障署结合本任务书要求，对申报的方案设计出具审查意见。</w:t>
      </w:r>
    </w:p>
    <w:p>
      <w:pPr>
        <w:autoSpaceDE/>
        <w:autoSpaceDN/>
        <w:spacing w:line="240" w:lineRule="auto"/>
        <w:ind w:left="0" w:right="0" w:firstLine="643" w:firstLineChars="200"/>
        <w:rPr>
          <w:rFonts w:hint="eastAsia" w:ascii="仿宋" w:hAnsi="仿宋" w:eastAsia="仿宋" w:cs="仿宋_GB2312"/>
          <w:b/>
          <w:bCs/>
          <w:sz w:val="32"/>
        </w:rPr>
      </w:pPr>
      <w:r>
        <w:rPr>
          <w:rFonts w:hint="eastAsia" w:ascii="仿宋_GB2312" w:hAnsi="仿宋_GB2312" w:eastAsia="仿宋_GB2312" w:cs="仿宋_GB2312"/>
          <w:b/>
          <w:sz w:val="32"/>
          <w:szCs w:val="32"/>
        </w:rPr>
        <w:t>（四）装配式建筑设计要求。</w:t>
      </w:r>
      <w:r>
        <w:rPr>
          <w:rFonts w:hint="eastAsia" w:ascii="仿宋_GB2312" w:hAnsi="仿宋_GB2312" w:eastAsia="仿宋_GB2312" w:cs="仿宋_GB2312"/>
          <w:bCs/>
          <w:color w:val="auto"/>
          <w:sz w:val="32"/>
          <w:szCs w:val="32"/>
        </w:rPr>
        <w:t>项目应按照深圳市装配式建筑相关技术要求设计，在初步设计完成后应根据《深圳市住房和建设局 深圳市规</w:t>
      </w:r>
      <w:r>
        <w:rPr>
          <w:rFonts w:hint="eastAsia" w:ascii="仿宋_GB2312" w:hAnsi="仿宋_GB2312" w:eastAsia="仿宋_GB2312" w:cs="仿宋_GB2312"/>
          <w:bCs/>
          <w:color w:val="auto"/>
          <w:sz w:val="32"/>
          <w:szCs w:val="32"/>
          <w:lang w:eastAsia="zh-CN"/>
        </w:rPr>
        <w:t>划</w:t>
      </w:r>
      <w:r>
        <w:rPr>
          <w:rFonts w:hint="eastAsia" w:ascii="仿宋_GB2312" w:hAnsi="仿宋_GB2312" w:eastAsia="仿宋_GB2312" w:cs="仿宋_GB2312"/>
          <w:bCs/>
          <w:color w:val="auto"/>
          <w:sz w:val="32"/>
          <w:szCs w:val="32"/>
        </w:rPr>
        <w:t>和国土资源委员会关于做好装配式建筑项目实施有关工作的通知》（深建规〔2018〕13号）有关规定，进行装配式建筑项目设计阶段技术评分。</w:t>
      </w:r>
    </w:p>
    <w:p>
      <w:pPr>
        <w:autoSpaceDE/>
        <w:autoSpaceDN/>
        <w:spacing w:line="324" w:lineRule="auto"/>
        <w:ind w:left="0" w:right="0" w:firstLine="643" w:firstLineChars="200"/>
        <w:rPr>
          <w:rFonts w:hint="eastAsia" w:ascii="仿宋_GB2312" w:hAnsi="仿宋_GB2312" w:eastAsia="仿宋_GB2312" w:cs="仿宋_GB2312"/>
          <w:b/>
          <w:bCs/>
          <w:sz w:val="32"/>
          <w:szCs w:val="32"/>
        </w:rPr>
      </w:pPr>
      <w:r>
        <w:rPr>
          <w:rFonts w:hint="eastAsia" w:ascii="仿宋" w:hAnsi="仿宋" w:eastAsia="仿宋" w:cs="仿宋_GB2312"/>
          <w:b/>
          <w:bCs/>
          <w:sz w:val="32"/>
        </w:rPr>
        <w:t>（五）海绵设施设计要求。</w:t>
      </w:r>
      <w:r>
        <w:rPr>
          <w:rFonts w:hint="eastAsia" w:ascii="仿宋" w:hAnsi="仿宋" w:eastAsia="仿宋" w:cs="仿宋_GB2312"/>
          <w:sz w:val="32"/>
        </w:rPr>
        <w:t>项目应当建设海绵设施，并满足《深圳市房屋建筑工程海绵设施设计规程》（SJG 38-2017）有关海绵设施建设控制性指标要求，同时符合国家、广东省及深圳市现行有关技术标准。</w:t>
      </w:r>
    </w:p>
    <w:p>
      <w:pPr>
        <w:autoSpaceDE/>
        <w:autoSpaceDN/>
        <w:spacing w:line="324" w:lineRule="auto"/>
        <w:ind w:left="0" w:right="0" w:firstLine="643" w:firstLineChars="200"/>
        <w:rPr>
          <w:rFonts w:hint="eastAsia" w:ascii="仿宋" w:hAnsi="仿宋" w:eastAsia="仿宋" w:cs="仿宋_GB2312"/>
          <w:sz w:val="32"/>
        </w:rPr>
      </w:pPr>
      <w:r>
        <w:rPr>
          <w:rFonts w:hint="eastAsia" w:ascii="仿宋_GB2312" w:hAnsi="仿宋_GB2312" w:eastAsia="仿宋_GB2312" w:cs="仿宋_GB2312"/>
          <w:b/>
          <w:bCs/>
          <w:sz w:val="32"/>
          <w:szCs w:val="32"/>
        </w:rPr>
        <w:t>（六）垃圾分类处置建设要求。</w:t>
      </w:r>
      <w:r>
        <w:rPr>
          <w:rFonts w:hint="eastAsia" w:ascii="仿宋_GB2312" w:hAnsi="仿宋_GB2312" w:eastAsia="仿宋_GB2312" w:cs="仿宋_GB2312"/>
          <w:sz w:val="32"/>
          <w:szCs w:val="32"/>
        </w:rPr>
        <w:t>项目应当按照《广东省城乡生活垃圾处理条例》要求建设垃圾分类处置设施，确保同步设计、同步施工、同步交付使用，并满足《深圳市建筑设计规则》相关要求。</w:t>
      </w:r>
    </w:p>
    <w:p>
      <w:pPr>
        <w:autoSpaceDE w:val="0"/>
        <w:autoSpaceDN w:val="0"/>
        <w:spacing w:line="324" w:lineRule="auto"/>
        <w:ind w:left="0" w:right="0" w:firstLine="800" w:firstLineChars="250"/>
        <w:rPr>
          <w:rFonts w:ascii="黑体" w:hAnsi="黑体" w:eastAsia="黑体" w:cs="仿宋_GB2312"/>
          <w:sz w:val="32"/>
          <w:szCs w:val="32"/>
        </w:rPr>
      </w:pPr>
      <w:r>
        <w:rPr>
          <w:rFonts w:hint="eastAsia" w:ascii="黑体" w:hAnsi="黑体" w:eastAsia="黑体" w:cs="仿宋_GB2312"/>
          <w:sz w:val="32"/>
          <w:szCs w:val="32"/>
        </w:rPr>
        <w:t>二、建设标准</w:t>
      </w:r>
    </w:p>
    <w:p>
      <w:pPr>
        <w:spacing w:line="324"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（一）装配式建筑。</w:t>
      </w:r>
      <w:r>
        <w:rPr>
          <w:rFonts w:hint="eastAsia" w:ascii="仿宋_GB2312" w:hAnsi="仿宋_GB2312" w:eastAsia="仿宋_GB2312" w:cs="仿宋_GB2312"/>
          <w:sz w:val="32"/>
          <w:szCs w:val="32"/>
        </w:rPr>
        <w:t>项目应按照《深圳市装配式建筑发展专项规划》（深建字〔2018〕27号）《深圳市住房和建设局 深圳市规</w:t>
      </w:r>
      <w:r>
        <w:rPr>
          <w:rFonts w:hint="eastAsia" w:ascii="仿宋_GB2312" w:hAnsi="仿宋_GB2312" w:eastAsia="仿宋_GB2312" w:cs="仿宋_GB2312"/>
          <w:sz w:val="32"/>
          <w:szCs w:val="32"/>
          <w:lang w:eastAsia="zh-CN"/>
        </w:rPr>
        <w:t>划</w:t>
      </w:r>
      <w:r>
        <w:rPr>
          <w:rFonts w:hint="eastAsia" w:ascii="仿宋_GB2312" w:hAnsi="仿宋_GB2312" w:eastAsia="仿宋_GB2312" w:cs="仿宋_GB2312"/>
          <w:sz w:val="32"/>
          <w:szCs w:val="32"/>
        </w:rPr>
        <w:t>和国土资源委员会关于做好装配式建筑项目实施有关工作的通知》（深建规〔2018〕13号）等相关要求实施装配式建筑，并满足深圳市装配式建筑的评分规则要求。</w:t>
      </w:r>
    </w:p>
    <w:p>
      <w:pPr>
        <w:autoSpaceDE/>
        <w:autoSpaceDN/>
        <w:spacing w:line="324" w:lineRule="auto"/>
        <w:ind w:left="0" w:right="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kern w:val="44"/>
          <w:sz w:val="32"/>
          <w:szCs w:val="32"/>
        </w:rPr>
        <w:t>（二）BIM技术。</w:t>
      </w:r>
      <w:r>
        <w:rPr>
          <w:rFonts w:hint="eastAsia" w:ascii="仿宋_GB2312" w:hAnsi="仿宋_GB2312" w:eastAsia="仿宋_GB2312" w:cs="仿宋_GB2312"/>
          <w:bCs/>
          <w:kern w:val="44"/>
          <w:sz w:val="32"/>
          <w:szCs w:val="32"/>
        </w:rPr>
        <w:t>项目应按照《深圳市住房和建设局关于加快推进装配式建筑的通知》（深建规〔2017〕1号）《深圳市住房和建设局 深圳市规</w:t>
      </w:r>
      <w:r>
        <w:rPr>
          <w:rFonts w:hint="eastAsia" w:ascii="仿宋_GB2312" w:hAnsi="仿宋_GB2312" w:eastAsia="仿宋_GB2312" w:cs="仿宋_GB2312"/>
          <w:bCs/>
          <w:kern w:val="44"/>
          <w:sz w:val="32"/>
          <w:szCs w:val="32"/>
          <w:lang w:eastAsia="zh-CN"/>
        </w:rPr>
        <w:t>划</w:t>
      </w:r>
      <w:r>
        <w:rPr>
          <w:rFonts w:hint="eastAsia" w:ascii="仿宋_GB2312" w:hAnsi="仿宋_GB2312" w:eastAsia="仿宋_GB2312" w:cs="仿宋_GB2312"/>
          <w:bCs/>
          <w:kern w:val="44"/>
          <w:sz w:val="32"/>
          <w:szCs w:val="32"/>
        </w:rPr>
        <w:t>和国土资源委员会关于做好装配式建筑项目实施有关工作的通知》（深建规〔2018〕13号）等相关要求实施BIM技术。</w:t>
      </w:r>
    </w:p>
    <w:p>
      <w:pPr>
        <w:autoSpaceDE/>
        <w:autoSpaceDN/>
        <w:spacing w:line="324" w:lineRule="auto"/>
        <w:ind w:left="0" w:right="0" w:firstLine="643" w:firstLineChars="200"/>
        <w:rPr>
          <w:rFonts w:ascii="仿宋_GB2312" w:hAnsi="仿宋_GB2312" w:eastAsia="仿宋_GB2312" w:cs="仿宋_GB2312"/>
          <w:sz w:val="32"/>
          <w:szCs w:val="32"/>
          <w:u w:val="single"/>
        </w:rPr>
      </w:pPr>
      <w:r>
        <w:rPr>
          <w:rFonts w:hint="eastAsia" w:ascii="仿宋_GB2312" w:hAnsi="仿宋_GB2312" w:eastAsia="仿宋_GB2312" w:cs="仿宋_GB2312"/>
          <w:b/>
          <w:bCs/>
          <w:sz w:val="32"/>
          <w:szCs w:val="32"/>
        </w:rPr>
        <w:t>（三）户内装修交房标准。</w:t>
      </w:r>
      <w:r>
        <w:rPr>
          <w:rFonts w:hint="eastAsia" w:ascii="仿宋_GB2312" w:hAnsi="仿宋_GB2312" w:eastAsia="仿宋_GB2312" w:cs="仿宋_GB2312"/>
          <w:sz w:val="32"/>
          <w:szCs w:val="32"/>
        </w:rPr>
        <w:t>户内装修应符合《装配式建筑评价标准》</w:t>
      </w:r>
      <w:r>
        <w:rPr>
          <w:rFonts w:hint="eastAsia" w:ascii="仿宋_GB2312" w:hAnsi="仿宋_GB2312" w:eastAsia="仿宋_GB2312" w:cs="仿宋_GB2312"/>
          <w:sz w:val="32"/>
          <w:szCs w:val="32"/>
          <w:u w:val="none"/>
        </w:rPr>
        <w:t>（DBJ/T 15-163-2019）的相关要求</w:t>
      </w:r>
      <w:r>
        <w:rPr>
          <w:rFonts w:hint="eastAsia" w:ascii="仿宋_GB2312" w:hAnsi="仿宋_GB2312" w:eastAsia="仿宋_GB2312" w:cs="仿宋_GB2312"/>
          <w:sz w:val="32"/>
          <w:szCs w:val="32"/>
        </w:rPr>
        <w:t>。户内初装修交付样板房（以下简称“样板房”）标准见附表。</w:t>
      </w:r>
    </w:p>
    <w:p>
      <w:pPr>
        <w:spacing w:line="360" w:lineRule="auto"/>
        <w:ind w:firstLine="643" w:firstLineChars="200"/>
        <w:rPr>
          <w:rFonts w:hint="eastAsia" w:ascii="仿宋_GB2312" w:hAnsi="仿宋_GB2312" w:eastAsia="仿宋_GB2312" w:cs="仿宋_GB2312"/>
          <w:b/>
          <w:bCs/>
          <w:sz w:val="32"/>
          <w:szCs w:val="24"/>
        </w:rPr>
      </w:pPr>
      <w:r>
        <w:rPr>
          <w:rFonts w:hint="eastAsia" w:ascii="仿宋_GB2312" w:hAnsi="仿宋_GB2312" w:eastAsia="仿宋_GB2312" w:cs="仿宋_GB2312"/>
          <w:b/>
          <w:bCs/>
          <w:sz w:val="32"/>
          <w:szCs w:val="32"/>
        </w:rPr>
        <w:t>（四）公共区域装修。</w:t>
      </w:r>
      <w:r>
        <w:rPr>
          <w:rFonts w:hint="eastAsia" w:ascii="仿宋_GB2312" w:hAnsi="仿宋_GB2312" w:eastAsia="仿宋_GB2312" w:cs="仿宋_GB2312"/>
          <w:sz w:val="32"/>
          <w:szCs w:val="32"/>
        </w:rPr>
        <w:t>大堂、电梯前室、走廊等公共区域和物业管理用房需完成精装修，</w:t>
      </w:r>
      <w:r>
        <w:rPr>
          <w:rFonts w:hint="eastAsia" w:ascii="仿宋_GB2312" w:hAnsi="仿宋_GB2312" w:eastAsia="仿宋_GB2312" w:cs="仿宋_GB2312"/>
          <w:sz w:val="32"/>
          <w:szCs w:val="32"/>
          <w:lang w:eastAsia="zh-CN"/>
        </w:rPr>
        <w:t>装修标准详见附表。</w:t>
      </w:r>
      <w:r>
        <w:rPr>
          <w:rFonts w:hint="eastAsia" w:ascii="仿宋_GB2312" w:hAnsi="仿宋_GB2312" w:eastAsia="仿宋_GB2312" w:cs="仿宋_GB2312"/>
          <w:color w:val="auto"/>
          <w:sz w:val="32"/>
          <w:szCs w:val="32"/>
          <w:u w:val="none"/>
        </w:rPr>
        <w:t>公共区域装修方案</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pacing w:val="15"/>
          <w:sz w:val="32"/>
          <w:szCs w:val="32"/>
          <w:lang w:eastAsia="zh-CN"/>
        </w:rPr>
        <w:t>报</w:t>
      </w:r>
      <w:r>
        <w:rPr>
          <w:rFonts w:hint="eastAsia" w:ascii="仿宋_GB2312" w:hAnsi="仿宋_GB2312" w:eastAsia="仿宋_GB2312" w:cs="仿宋_GB2312"/>
          <w:color w:val="auto"/>
          <w:sz w:val="32"/>
          <w:szCs w:val="32"/>
          <w:u w:val="none"/>
          <w:lang w:eastAsia="zh-CN"/>
        </w:rPr>
        <w:t>市住房保障署备案。</w:t>
      </w:r>
      <w:r>
        <w:rPr>
          <w:rFonts w:hint="eastAsia" w:ascii="仿宋_GB2312" w:hAnsi="仿宋_GB2312" w:eastAsia="仿宋_GB2312" w:cs="仿宋_GB2312"/>
          <w:sz w:val="32"/>
          <w:szCs w:val="32"/>
        </w:rPr>
        <w:t>售房时向购房人展示一个供参观的装修后大堂、电梯前室，并在《售房说明书》中承诺交付装修标准与展示装修标准一致。</w:t>
      </w:r>
    </w:p>
    <w:p>
      <w:pPr>
        <w:spacing w:after="0" w:line="324" w:lineRule="auto"/>
        <w:ind w:firstLine="643" w:firstLineChars="200"/>
        <w:rPr>
          <w:rFonts w:hint="eastAsia" w:ascii="仿宋_GB2312" w:hAnsi="仿宋_GB2312" w:eastAsia="仿宋_GB2312" w:cs="仿宋_GB2312"/>
          <w:sz w:val="32"/>
          <w:szCs w:val="20"/>
        </w:rPr>
      </w:pPr>
      <w:r>
        <w:rPr>
          <w:rFonts w:hint="eastAsia" w:ascii="仿宋_GB2312" w:hAnsi="仿宋_GB2312" w:eastAsia="仿宋_GB2312" w:cs="仿宋_GB2312"/>
          <w:b/>
          <w:bCs/>
          <w:sz w:val="32"/>
          <w:szCs w:val="24"/>
        </w:rPr>
        <w:t>（五）</w:t>
      </w:r>
      <w:r>
        <w:rPr>
          <w:rFonts w:hint="eastAsia" w:ascii="仿宋_GB2312" w:hAnsi="仿宋_GB2312" w:eastAsia="仿宋_GB2312" w:cs="仿宋_GB2312"/>
          <w:b/>
          <w:bCs/>
          <w:sz w:val="32"/>
          <w:szCs w:val="20"/>
        </w:rPr>
        <w:t>装修标准符合性确认。</w:t>
      </w:r>
      <w:r>
        <w:rPr>
          <w:rFonts w:hint="eastAsia" w:ascii="仿宋_GB2312" w:hAnsi="仿宋_GB2312" w:eastAsia="仿宋_GB2312" w:cs="仿宋_GB2312"/>
          <w:sz w:val="32"/>
          <w:szCs w:val="20"/>
        </w:rPr>
        <w:t>根据市住房保障署认可的本项目安居型商品房户内及公共部分装修施工图纸及项目建设标准要求，完成大堂</w:t>
      </w:r>
      <w:r>
        <w:rPr>
          <w:rFonts w:hint="eastAsia" w:ascii="仿宋_GB2312" w:hAnsi="仿宋_GB2312" w:eastAsia="仿宋_GB2312" w:cs="仿宋_GB2312"/>
          <w:sz w:val="32"/>
          <w:szCs w:val="20"/>
          <w:lang w:eastAsia="zh-CN"/>
        </w:rPr>
        <w:t>、</w:t>
      </w:r>
      <w:r>
        <w:rPr>
          <w:rFonts w:hint="eastAsia" w:ascii="仿宋_GB2312" w:hAnsi="仿宋_GB2312" w:eastAsia="仿宋_GB2312" w:cs="仿宋_GB2312"/>
          <w:sz w:val="32"/>
          <w:szCs w:val="20"/>
        </w:rPr>
        <w:t>电梯</w:t>
      </w:r>
      <w:r>
        <w:rPr>
          <w:rFonts w:hint="eastAsia" w:ascii="仿宋_GB2312" w:hAnsi="仿宋_GB2312" w:eastAsia="仿宋_GB2312" w:cs="仿宋_GB2312"/>
          <w:sz w:val="32"/>
          <w:szCs w:val="20"/>
          <w:lang w:eastAsia="zh-CN"/>
        </w:rPr>
        <w:t>前室内、</w:t>
      </w:r>
      <w:r>
        <w:rPr>
          <w:rFonts w:hint="eastAsia" w:ascii="仿宋_GB2312" w:hAnsi="仿宋_GB2312" w:eastAsia="仿宋_GB2312" w:cs="仿宋_GB2312"/>
          <w:sz w:val="32"/>
          <w:szCs w:val="20"/>
        </w:rPr>
        <w:t>走廊</w:t>
      </w:r>
      <w:r>
        <w:rPr>
          <w:rFonts w:hint="eastAsia" w:ascii="仿宋_GB2312" w:hAnsi="仿宋_GB2312" w:eastAsia="仿宋_GB2312" w:cs="仿宋_GB2312"/>
          <w:sz w:val="32"/>
          <w:szCs w:val="20"/>
          <w:lang w:eastAsia="zh-CN"/>
        </w:rPr>
        <w:t>等</w:t>
      </w:r>
      <w:r>
        <w:rPr>
          <w:rFonts w:hint="eastAsia" w:ascii="仿宋_GB2312" w:hAnsi="仿宋_GB2312" w:eastAsia="仿宋_GB2312" w:cs="仿宋_GB2312"/>
          <w:sz w:val="32"/>
          <w:szCs w:val="20"/>
        </w:rPr>
        <w:t>公共部分装修及1-2套住房户内装修，提请市住房保障署复核，经市住房保障署确认后方可进行装修施工。</w:t>
      </w:r>
    </w:p>
    <w:p>
      <w:pPr>
        <w:spacing w:after="0" w:line="324"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(六)其他要求。</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1.全景看房。每个户型均须制作720度全景看房的拍摄系统，经市住房保障署确认后，实现与网上全景看房系统对接，整体纳入全市统一公共住房基础信息平台。</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智能门禁。在所有楼栋的公共门禁统一配备智能门禁。技术要求：支持人脸识别、指纹、身份证、RCC手机SIM卡、临时密码，支持远程管理和授权；采用保障性住房智能化管理信息系统的人脸库和指纹库，并连接公安部身份信息认证平台进行实名身份认证；数据存储、网络通信采用国密算法加密和保护；智能门禁设备对接保障性住房智能化管理信息系统，统一采集、统一认证、统一分析。</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人脸识别网络摄像机。在所有楼栋的公共门禁统一配备高清人脸识别网络摄像机。技术要求：半球形结构设计、360度镜头旋转，支持动态人脸检测、抓拍、图像处理、人脸识别、陌生人和访客预警分析、防止尾随；人脸照片存储、网络通信采用国密算法加密和保护；人脸识别网络摄像机设备对接保障性住房智能化管理信息系统，统一采集、统一认证、统一分析。</w:t>
      </w:r>
    </w:p>
    <w:p>
      <w:pPr>
        <w:autoSpaceDE w:val="0"/>
        <w:autoSpaceDN w:val="0"/>
        <w:spacing w:line="324" w:lineRule="auto"/>
        <w:ind w:right="0" w:firstLine="645"/>
        <w:rPr>
          <w:rFonts w:ascii="黑体" w:hAnsi="黑体" w:eastAsia="黑体" w:cs="仿宋_GB2312"/>
          <w:sz w:val="32"/>
          <w:szCs w:val="32"/>
        </w:rPr>
      </w:pPr>
      <w:r>
        <w:rPr>
          <w:rFonts w:hint="eastAsia" w:ascii="黑体" w:hAnsi="黑体" w:eastAsia="黑体" w:cs="仿宋_GB2312"/>
          <w:sz w:val="32"/>
          <w:szCs w:val="32"/>
        </w:rPr>
        <w:t>三、建设工期</w:t>
      </w:r>
    </w:p>
    <w:p>
      <w:pPr>
        <w:autoSpaceDE w:val="0"/>
        <w:autoSpaceDN w:val="0"/>
        <w:spacing w:line="324" w:lineRule="auto"/>
        <w:ind w:right="0" w:firstLine="645"/>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（一）工期安排。</w:t>
      </w:r>
      <w:r>
        <w:rPr>
          <w:rFonts w:hint="eastAsia" w:ascii="仿宋_GB2312" w:hAnsi="仿宋_GB2312" w:eastAsia="仿宋_GB2312" w:cs="仿宋_GB2312"/>
          <w:sz w:val="32"/>
          <w:szCs w:val="32"/>
        </w:rPr>
        <w:t>请你司严格按照《深圳市土地使用权出让合同》约定的建设工期组织建设。</w:t>
      </w:r>
    </w:p>
    <w:p>
      <w:pPr>
        <w:autoSpaceDE w:val="0"/>
        <w:autoSpaceDN w:val="0"/>
        <w:spacing w:line="324" w:lineRule="auto"/>
        <w:ind w:right="0" w:firstLine="645"/>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（二）其他要求。</w:t>
      </w:r>
      <w:r>
        <w:rPr>
          <w:rFonts w:hint="eastAsia" w:ascii="仿宋_GB2312" w:hAnsi="仿宋_GB2312" w:eastAsia="仿宋_GB2312" w:cs="仿宋_GB2312"/>
          <w:sz w:val="32"/>
          <w:szCs w:val="32"/>
        </w:rPr>
        <w:t>请你司根据年度开工计划时间依法依规开展项目建设，若项目开工建设进度</w:t>
      </w:r>
      <w:r>
        <w:rPr>
          <w:rFonts w:ascii="仿宋_GB2312" w:hAnsi="仿宋_GB2312" w:eastAsia="仿宋_GB2312" w:cs="仿宋_GB2312"/>
          <w:sz w:val="32"/>
          <w:szCs w:val="32"/>
        </w:rPr>
        <w:t>滞后6个月以上，</w:t>
      </w:r>
      <w:r>
        <w:rPr>
          <w:rFonts w:hint="eastAsia" w:ascii="仿宋_GB2312" w:hAnsi="仿宋_GB2312" w:eastAsia="仿宋_GB2312" w:cs="仿宋_GB2312"/>
          <w:sz w:val="32"/>
          <w:szCs w:val="20"/>
        </w:rPr>
        <w:t>市住房保障署</w:t>
      </w:r>
      <w:r>
        <w:rPr>
          <w:rFonts w:ascii="仿宋_GB2312" w:hAnsi="仿宋_GB2312" w:eastAsia="仿宋_GB2312" w:cs="仿宋_GB2312"/>
          <w:sz w:val="32"/>
          <w:szCs w:val="32"/>
        </w:rPr>
        <w:t>将约谈</w:t>
      </w:r>
      <w:r>
        <w:rPr>
          <w:rFonts w:hint="eastAsia" w:ascii="仿宋_GB2312" w:hAnsi="仿宋_GB2312" w:eastAsia="仿宋_GB2312" w:cs="仿宋_GB2312"/>
          <w:sz w:val="32"/>
          <w:szCs w:val="32"/>
        </w:rPr>
        <w:t>你司项目负责人，并将情况报告保障性安居工程建设指挥部；滞后</w:t>
      </w:r>
      <w:r>
        <w:rPr>
          <w:rFonts w:ascii="仿宋_GB2312" w:hAnsi="仿宋_GB2312" w:eastAsia="仿宋_GB2312" w:cs="仿宋_GB2312"/>
          <w:sz w:val="32"/>
          <w:szCs w:val="32"/>
        </w:rPr>
        <w:t>12个月以上，</w:t>
      </w:r>
      <w:r>
        <w:rPr>
          <w:rFonts w:hint="eastAsia" w:ascii="仿宋_GB2312" w:hAnsi="仿宋_GB2312" w:eastAsia="仿宋_GB2312" w:cs="仿宋_GB2312"/>
          <w:sz w:val="32"/>
          <w:szCs w:val="20"/>
        </w:rPr>
        <w:t>市住房保障署</w:t>
      </w:r>
      <w:r>
        <w:rPr>
          <w:rFonts w:ascii="仿宋_GB2312" w:hAnsi="仿宋_GB2312" w:eastAsia="仿宋_GB2312" w:cs="仿宋_GB2312"/>
          <w:sz w:val="32"/>
          <w:szCs w:val="32"/>
        </w:rPr>
        <w:t>将</w:t>
      </w:r>
      <w:r>
        <w:rPr>
          <w:rFonts w:hint="eastAsia" w:ascii="仿宋_GB2312" w:hAnsi="仿宋_GB2312" w:eastAsia="仿宋_GB2312" w:cs="仿宋_GB2312"/>
          <w:sz w:val="32"/>
          <w:szCs w:val="32"/>
        </w:rPr>
        <w:t>约谈你司负责人，并将有关情况报告市保障性安居工程建设指挥部、规划国土部门，依法予以处理。</w:t>
      </w:r>
    </w:p>
    <w:p>
      <w:pPr>
        <w:autoSpaceDE w:val="0"/>
        <w:autoSpaceDN w:val="0"/>
        <w:spacing w:line="324" w:lineRule="auto"/>
        <w:ind w:right="0" w:firstLine="645"/>
        <w:rPr>
          <w:rFonts w:ascii="黑体" w:hAnsi="黑体" w:eastAsia="黑体" w:cs="仿宋_GB2312"/>
          <w:sz w:val="32"/>
          <w:szCs w:val="32"/>
        </w:rPr>
      </w:pPr>
      <w:r>
        <w:rPr>
          <w:rFonts w:hint="eastAsia" w:ascii="黑体" w:hAnsi="黑体" w:eastAsia="黑体" w:cs="仿宋_GB2312"/>
          <w:sz w:val="32"/>
          <w:szCs w:val="32"/>
        </w:rPr>
        <w:t>四、样板房复核及展示</w:t>
      </w:r>
    </w:p>
    <w:p>
      <w:pPr>
        <w:autoSpaceDE w:val="0"/>
        <w:autoSpaceDN w:val="0"/>
        <w:spacing w:line="324" w:lineRule="auto"/>
        <w:ind w:left="0" w:righ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项目销售前，你司应当选择便于参观的楼层，按照项目建设标准的要求，针对每类户型各装修一套样板房，提请市住房保障署复核，并取得复核确认意见。项目销售时，向购房人开放展示各种户型样板房。</w:t>
      </w:r>
    </w:p>
    <w:p>
      <w:pPr>
        <w:autoSpaceDE w:val="0"/>
        <w:autoSpaceDN w:val="0"/>
        <w:spacing w:line="324" w:lineRule="auto"/>
        <w:ind w:right="0" w:firstLine="645"/>
        <w:rPr>
          <w:rFonts w:ascii="黑体" w:hAnsi="黑体" w:eastAsia="黑体" w:cs="仿宋_GB2312"/>
          <w:sz w:val="32"/>
          <w:szCs w:val="32"/>
        </w:rPr>
      </w:pPr>
      <w:r>
        <w:rPr>
          <w:rFonts w:hint="eastAsia" w:ascii="黑体" w:hAnsi="黑体" w:eastAsia="黑体" w:cs="仿宋_GB2312"/>
          <w:sz w:val="32"/>
          <w:szCs w:val="32"/>
        </w:rPr>
        <w:t>五、验收核查</w:t>
      </w:r>
    </w:p>
    <w:p>
      <w:pPr>
        <w:autoSpaceDE w:val="0"/>
        <w:autoSpaceDN w:val="0"/>
        <w:spacing w:line="324" w:lineRule="auto"/>
        <w:ind w:left="0" w:righ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项目竣工测绘报告完成后、竣工备案前，你司应当向市住房保障署提出符合性验收申请，市住房保障署将根据建设</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管理任务书要求，对项目住房建筑面积、户型比例、套数</w:t>
      </w:r>
      <w:r>
        <w:rPr>
          <w:rFonts w:hint="eastAsia" w:ascii="仿宋_GB2312" w:hAnsi="仿宋_GB2312" w:eastAsia="仿宋_GB2312" w:cs="仿宋_GB2312"/>
          <w:sz w:val="32"/>
          <w:szCs w:val="32"/>
          <w:lang w:eastAsia="zh-CN"/>
        </w:rPr>
        <w:t>、装修标准、智能门禁和人脸识别网络摄像机</w:t>
      </w:r>
      <w:r>
        <w:rPr>
          <w:rFonts w:hint="eastAsia" w:ascii="仿宋_GB2312" w:hAnsi="仿宋_GB2312" w:eastAsia="仿宋_GB2312" w:cs="仿宋_GB2312"/>
          <w:sz w:val="32"/>
          <w:szCs w:val="32"/>
        </w:rPr>
        <w:t>等事项进行核查，并出具核查意见。</w:t>
      </w:r>
    </w:p>
    <w:p>
      <w:pPr>
        <w:autoSpaceDE w:val="0"/>
        <w:autoSpaceDN w:val="0"/>
        <w:spacing w:line="324" w:lineRule="auto"/>
        <w:ind w:right="0" w:firstLine="645"/>
        <w:rPr>
          <w:rFonts w:ascii="黑体" w:hAnsi="黑体" w:eastAsia="黑体" w:cs="仿宋_GB2312"/>
          <w:sz w:val="32"/>
          <w:szCs w:val="32"/>
        </w:rPr>
      </w:pPr>
      <w:r>
        <w:rPr>
          <w:rFonts w:hint="eastAsia" w:ascii="黑体" w:hAnsi="黑体" w:eastAsia="黑体" w:cs="仿宋_GB2312"/>
          <w:sz w:val="32"/>
          <w:szCs w:val="32"/>
        </w:rPr>
        <w:t>六、销售管理</w:t>
      </w:r>
    </w:p>
    <w:p>
      <w:pPr>
        <w:autoSpaceDE w:val="0"/>
        <w:autoSpaceDN w:val="0"/>
        <w:spacing w:line="324" w:lineRule="auto"/>
        <w:ind w:left="0" w:right="0"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（一）房源信息录入及确认。</w:t>
      </w:r>
      <w:r>
        <w:rPr>
          <w:rFonts w:hint="eastAsia" w:ascii="仿宋_GB2312" w:hAnsi="仿宋_GB2312" w:eastAsia="仿宋_GB2312" w:cs="仿宋_GB2312"/>
          <w:sz w:val="32"/>
          <w:szCs w:val="32"/>
        </w:rPr>
        <w:t>项目销售前，必须在</w:t>
      </w:r>
      <w:r>
        <w:rPr>
          <w:rFonts w:hint="eastAsia" w:ascii="仿宋_GB2312" w:hAnsi="仿宋_GB2312" w:eastAsia="仿宋_GB2312" w:cs="仿宋_GB2312"/>
          <w:sz w:val="32"/>
          <w:szCs w:val="32"/>
          <w:lang w:eastAsia="zh-CN"/>
        </w:rPr>
        <w:t>公共住房平台</w:t>
      </w:r>
      <w:r>
        <w:rPr>
          <w:rFonts w:hint="eastAsia" w:ascii="仿宋_GB2312" w:hAnsi="仿宋_GB2312" w:eastAsia="仿宋_GB2312" w:cs="仿宋_GB2312"/>
          <w:sz w:val="32"/>
          <w:szCs w:val="32"/>
        </w:rPr>
        <w:t>系统中录入房源信息，并提交市住房保障署确认。</w:t>
      </w:r>
    </w:p>
    <w:p>
      <w:pPr>
        <w:autoSpaceDE w:val="0"/>
        <w:autoSpaceDN w:val="0"/>
        <w:spacing w:line="324" w:lineRule="auto"/>
        <w:ind w:right="0"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（二）销售对象。</w:t>
      </w:r>
      <w:r>
        <w:rPr>
          <w:rFonts w:hint="eastAsia" w:ascii="仿宋_GB2312" w:hAnsi="仿宋_GB2312" w:eastAsia="仿宋_GB2312" w:cs="仿宋_GB2312"/>
          <w:sz w:val="32"/>
          <w:szCs w:val="32"/>
        </w:rPr>
        <w:t>住房保障部门核准的销售对象。</w:t>
      </w:r>
    </w:p>
    <w:p>
      <w:pPr>
        <w:autoSpaceDE w:val="0"/>
        <w:autoSpaceDN w:val="0"/>
        <w:spacing w:line="324" w:lineRule="auto"/>
        <w:ind w:left="0" w:right="0"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（三）销售方式。</w:t>
      </w:r>
      <w:r>
        <w:rPr>
          <w:rFonts w:hint="eastAsia" w:ascii="仿宋_GB2312" w:hAnsi="仿宋_GB2312" w:eastAsia="仿宋_GB2312" w:cs="仿宋_GB2312"/>
          <w:sz w:val="32"/>
          <w:szCs w:val="32"/>
        </w:rPr>
        <w:t>项目实行预售模式。请在申请项目预售许可的同时，向市住房保障署提出配售申请。</w:t>
      </w:r>
    </w:p>
    <w:p>
      <w:pPr>
        <w:autoSpaceDE w:val="0"/>
        <w:autoSpaceDN w:val="0"/>
        <w:spacing w:line="324" w:lineRule="auto"/>
        <w:ind w:left="0" w:right="0"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（四）销售价格。</w:t>
      </w:r>
      <w:r>
        <w:rPr>
          <w:rFonts w:hint="eastAsia" w:ascii="仿宋_GB2312" w:hAnsi="仿宋_GB2312" w:eastAsia="仿宋_GB2312" w:cs="仿宋_GB2312"/>
          <w:sz w:val="32"/>
          <w:szCs w:val="32"/>
        </w:rPr>
        <w:t>项目单套住房销售价格报市住房保障署备案并在市场监督管理局网站公示。</w:t>
      </w:r>
    </w:p>
    <w:p>
      <w:pPr>
        <w:autoSpaceDE w:val="0"/>
        <w:autoSpaceDN w:val="0"/>
        <w:spacing w:line="324" w:lineRule="auto"/>
        <w:ind w:left="0" w:right="0" w:firstLine="640" w:firstLineChars="200"/>
        <w:rPr>
          <w:rFonts w:ascii="黑体" w:hAnsi="黑体" w:eastAsia="黑体" w:cs="仿宋_GB2312"/>
          <w:sz w:val="32"/>
          <w:szCs w:val="32"/>
        </w:rPr>
      </w:pPr>
      <w:r>
        <w:rPr>
          <w:rFonts w:hint="eastAsia" w:ascii="黑体" w:hAnsi="黑体" w:eastAsia="黑体" w:cs="仿宋_GB2312"/>
          <w:sz w:val="32"/>
          <w:szCs w:val="32"/>
        </w:rPr>
        <w:t>七、产权限制</w:t>
      </w:r>
    </w:p>
    <w:p>
      <w:pPr>
        <w:autoSpaceDE w:val="0"/>
        <w:autoSpaceDN w:val="0"/>
        <w:spacing w:line="324" w:lineRule="auto"/>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安居型商品房产权管理按照深圳市住房保障相关规定执行。</w:t>
      </w:r>
    </w:p>
    <w:p>
      <w:pPr>
        <w:autoSpaceDE w:val="0"/>
        <w:autoSpaceDN w:val="0"/>
        <w:spacing w:line="324" w:lineRule="auto"/>
        <w:ind w:left="0" w:right="0" w:firstLine="640" w:firstLineChars="200"/>
        <w:rPr>
          <w:rFonts w:hint="eastAsia" w:ascii="黑体" w:hAnsi="黑体" w:eastAsia="黑体" w:cs="仿宋_GB2312"/>
          <w:sz w:val="32"/>
          <w:szCs w:val="32"/>
        </w:rPr>
      </w:pPr>
      <w:r>
        <w:rPr>
          <w:rFonts w:hint="eastAsia" w:ascii="黑体" w:hAnsi="黑体" w:eastAsia="黑体" w:cs="仿宋_GB2312"/>
          <w:sz w:val="32"/>
          <w:szCs w:val="32"/>
        </w:rPr>
        <w:t>八、项目信息管理</w:t>
      </w:r>
    </w:p>
    <w:p>
      <w:pPr>
        <w:autoSpaceDE w:val="0"/>
        <w:autoSpaceDN w:val="0"/>
        <w:spacing w:line="324" w:lineRule="auto"/>
        <w:ind w:right="0"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任务书生效后，应每月</w:t>
      </w:r>
      <w:r>
        <w:rPr>
          <w:rFonts w:ascii="仿宋_GB2312" w:hAnsi="仿宋_GB2312" w:eastAsia="仿宋_GB2312" w:cs="仿宋_GB2312"/>
          <w:sz w:val="32"/>
          <w:szCs w:val="32"/>
        </w:rPr>
        <w:t>26日前登录</w:t>
      </w:r>
      <w:r>
        <w:rPr>
          <w:rFonts w:hint="eastAsia" w:ascii="仿宋_GB2312" w:hAnsi="仿宋_GB2312" w:eastAsia="仿宋_GB2312" w:cs="仿宋_GB2312"/>
          <w:sz w:val="32"/>
          <w:szCs w:val="32"/>
        </w:rPr>
        <w:t>深圳市公共住房基础信息平台建设筹集系统(http://zjj.sz.gov.cn/zfxx_jscj)</w:t>
      </w:r>
      <w:r>
        <w:rPr>
          <w:rFonts w:ascii="仿宋_GB2312" w:hAnsi="仿宋_GB2312" w:eastAsia="仿宋_GB2312" w:cs="仿宋_GB2312"/>
          <w:sz w:val="32"/>
          <w:szCs w:val="32"/>
        </w:rPr>
        <w:t>填报项目进度</w:t>
      </w:r>
      <w:r>
        <w:rPr>
          <w:rFonts w:hint="eastAsia" w:ascii="仿宋_GB2312" w:hAnsi="仿宋_GB2312" w:eastAsia="仿宋_GB2312" w:cs="仿宋_GB2312"/>
          <w:sz w:val="32"/>
          <w:szCs w:val="32"/>
        </w:rPr>
        <w:t>，直至项目竣工验收</w:t>
      </w:r>
      <w:r>
        <w:rPr>
          <w:rFonts w:hint="eastAsia" w:ascii="仿宋_GB2312" w:hAnsi="仿宋_GB2312" w:eastAsia="仿宋_GB2312" w:cs="仿宋_GB2312"/>
          <w:spacing w:val="0"/>
          <w:kern w:val="10"/>
          <w:sz w:val="32"/>
          <w:szCs w:val="32"/>
        </w:rPr>
        <w:t>。</w:t>
      </w:r>
    </w:p>
    <w:p>
      <w:pPr>
        <w:autoSpaceDE w:val="0"/>
        <w:autoSpaceDN w:val="0"/>
        <w:spacing w:line="324" w:lineRule="auto"/>
        <w:ind w:right="0" w:firstLine="640" w:firstLineChars="200"/>
        <w:rPr>
          <w:rFonts w:ascii="黑体" w:hAnsi="黑体" w:eastAsia="黑体" w:cs="仿宋_GB2312"/>
          <w:sz w:val="32"/>
          <w:szCs w:val="32"/>
        </w:rPr>
      </w:pPr>
      <w:r>
        <w:rPr>
          <w:rFonts w:hint="eastAsia" w:ascii="黑体" w:hAnsi="黑体" w:eastAsia="黑体" w:cs="仿宋_GB2312"/>
          <w:sz w:val="32"/>
          <w:szCs w:val="32"/>
        </w:rPr>
        <w:t>九、任务调整</w:t>
      </w:r>
    </w:p>
    <w:p>
      <w:pPr>
        <w:autoSpaceDE w:val="0"/>
        <w:autoSpaceDN w:val="0"/>
        <w:spacing w:line="324" w:lineRule="auto"/>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如因特殊情况确需调整项目建设和管理任务书内容，必须报市住房保障署审核同意。</w:t>
      </w:r>
    </w:p>
    <w:p>
      <w:pPr>
        <w:autoSpaceDE w:val="0"/>
        <w:autoSpaceDN w:val="0"/>
        <w:spacing w:line="360" w:lineRule="auto"/>
        <w:ind w:right="-20" w:firstLine="640" w:firstLineChars="200"/>
        <w:rPr>
          <w:rFonts w:hint="eastAsia" w:ascii="仿宋_GB2312" w:hAnsi="仿宋_GB2312" w:eastAsia="仿宋_GB2312" w:cs="仿宋_GB2312"/>
          <w:sz w:val="32"/>
          <w:szCs w:val="32"/>
        </w:rPr>
      </w:pPr>
    </w:p>
    <w:p>
      <w:pPr>
        <w:tabs>
          <w:tab w:val="left" w:pos="4140"/>
          <w:tab w:val="right" w:pos="4820"/>
          <w:tab w:val="left" w:pos="5103"/>
          <w:tab w:val="right" w:pos="8505"/>
        </w:tabs>
        <w:spacing w:before="100" w:beforeAutospacing="1" w:line="460" w:lineRule="exact"/>
        <w:ind w:right="932" w:rightChars="444" w:firstLine="640" w:firstLineChars="200"/>
        <w:jc w:val="right"/>
        <w:rPr>
          <w:rFonts w:hint="eastAsia" w:ascii="仿宋_GB2312" w:hAnsi="仿宋_GB2312" w:eastAsia="仿宋_GB2312" w:cs="仿宋_GB2312"/>
          <w:spacing w:val="0"/>
          <w:sz w:val="32"/>
          <w:szCs w:val="32"/>
          <w:u w:val="single"/>
        </w:rPr>
      </w:pPr>
      <w:r>
        <w:rPr>
          <w:rFonts w:hint="eastAsia" w:ascii="仿宋_GB2312" w:hAnsi="仿宋_GB2312" w:eastAsia="仿宋_GB2312" w:cs="仿宋_GB2312"/>
          <w:spacing w:val="0"/>
          <w:sz w:val="32"/>
          <w:szCs w:val="32"/>
        </w:rPr>
        <w:t>深圳市住房保障署</w:t>
      </w:r>
    </w:p>
    <w:p>
      <w:pPr>
        <w:tabs>
          <w:tab w:val="left" w:pos="4140"/>
          <w:tab w:val="right" w:pos="4820"/>
          <w:tab w:val="left" w:pos="5103"/>
          <w:tab w:val="left" w:pos="7938"/>
          <w:tab w:val="right" w:pos="8505"/>
        </w:tabs>
        <w:spacing w:before="100" w:beforeAutospacing="1" w:line="460" w:lineRule="exact"/>
        <w:ind w:right="932" w:rightChars="444" w:firstLine="640" w:firstLineChars="200"/>
        <w:jc w:val="righ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X</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X</w:t>
      </w:r>
      <w:r>
        <w:rPr>
          <w:rFonts w:hint="eastAsia" w:ascii="仿宋_GB2312" w:hAnsi="仿宋_GB2312" w:eastAsia="仿宋_GB2312" w:cs="仿宋_GB2312"/>
          <w:spacing w:val="0"/>
          <w:sz w:val="32"/>
          <w:szCs w:val="32"/>
        </w:rPr>
        <w:t>日</w:t>
      </w:r>
    </w:p>
    <w:p>
      <w:pPr>
        <w:widowControl/>
        <w:spacing w:line="324" w:lineRule="auto"/>
        <w:jc w:val="left"/>
        <w:rPr>
          <w:rFonts w:hint="eastAsia" w:ascii="仿宋_GB2312" w:hAnsi="仿宋_GB2312" w:eastAsia="仿宋_GB2312" w:cs="仿宋_GB2312"/>
          <w:sz w:val="32"/>
          <w:szCs w:val="32"/>
        </w:rPr>
        <w:sectPr>
          <w:headerReference r:id="rId3" w:type="default"/>
          <w:footerReference r:id="rId4" w:type="default"/>
          <w:pgSz w:w="11906" w:h="16838"/>
          <w:pgMar w:top="1871" w:right="1304" w:bottom="1871" w:left="1588" w:header="851" w:footer="992" w:gutter="0"/>
          <w:pgNumType w:fmt="numberInDash"/>
          <w:cols w:space="720" w:num="1"/>
          <w:docGrid w:type="lines" w:linePitch="312" w:charSpace="0"/>
        </w:sectPr>
      </w:pPr>
    </w:p>
    <w:p>
      <w:pPr>
        <w:widowControl/>
        <w:spacing w:line="324"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附表：</w:t>
      </w:r>
    </w:p>
    <w:p>
      <w:pPr>
        <w:widowControl/>
        <w:spacing w:line="324" w:lineRule="auto"/>
        <w:rPr>
          <w:rFonts w:ascii="仿宋_GB2312" w:hAnsi="仿宋_GB2312" w:eastAsia="仿宋_GB2312" w:cs="仿宋_GB2312"/>
          <w:sz w:val="32"/>
          <w:szCs w:val="32"/>
        </w:rPr>
      </w:pPr>
    </w:p>
    <w:tbl>
      <w:tblPr>
        <w:tblStyle w:val="6"/>
        <w:tblW w:w="852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00"/>
        <w:gridCol w:w="5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right"/>
        </w:trPr>
        <w:tc>
          <w:tcPr>
            <w:tcW w:w="1008" w:type="dxa"/>
            <w:tcBorders>
              <w:top w:val="single" w:color="auto" w:sz="12"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hint="eastAsia" w:ascii="黑体" w:hAnsi="黑体" w:eastAsia="黑体" w:cs="黑体"/>
                <w:sz w:val="30"/>
                <w:szCs w:val="30"/>
              </w:rPr>
            </w:pPr>
            <w:r>
              <w:rPr>
                <w:rFonts w:hint="eastAsia" w:ascii="黑体" w:hAnsi="黑体" w:eastAsia="黑体" w:cs="黑体"/>
                <w:sz w:val="30"/>
                <w:szCs w:val="30"/>
              </w:rPr>
              <w:t>序号</w:t>
            </w:r>
          </w:p>
        </w:tc>
        <w:tc>
          <w:tcPr>
            <w:tcW w:w="1800"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24" w:lineRule="auto"/>
              <w:jc w:val="center"/>
              <w:rPr>
                <w:rFonts w:hint="eastAsia" w:ascii="黑体" w:hAnsi="黑体" w:eastAsia="黑体" w:cs="黑体"/>
                <w:sz w:val="30"/>
                <w:szCs w:val="30"/>
              </w:rPr>
            </w:pPr>
            <w:r>
              <w:rPr>
                <w:rFonts w:hint="eastAsia" w:ascii="黑体" w:hAnsi="黑体" w:eastAsia="黑体" w:cs="黑体"/>
                <w:sz w:val="30"/>
                <w:szCs w:val="30"/>
              </w:rPr>
              <w:t>项目名称</w:t>
            </w:r>
          </w:p>
        </w:tc>
        <w:tc>
          <w:tcPr>
            <w:tcW w:w="5714" w:type="dxa"/>
            <w:tcBorders>
              <w:top w:val="single" w:color="auto" w:sz="12" w:space="0"/>
              <w:left w:val="single" w:color="auto" w:sz="4" w:space="0"/>
              <w:bottom w:val="single" w:color="auto" w:sz="4" w:space="0"/>
              <w:right w:val="single" w:color="auto" w:sz="12" w:space="0"/>
            </w:tcBorders>
            <w:noWrap w:val="0"/>
            <w:vAlign w:val="center"/>
          </w:tcPr>
          <w:p>
            <w:pPr>
              <w:adjustRightInd w:val="0"/>
              <w:snapToGrid w:val="0"/>
              <w:spacing w:line="324" w:lineRule="auto"/>
              <w:jc w:val="center"/>
              <w:rPr>
                <w:rFonts w:hint="eastAsia" w:ascii="黑体" w:hAnsi="黑体" w:eastAsia="黑体" w:cs="黑体"/>
                <w:sz w:val="30"/>
                <w:szCs w:val="30"/>
              </w:rPr>
            </w:pPr>
            <w:r>
              <w:rPr>
                <w:rFonts w:hint="eastAsia" w:ascii="黑体" w:hAnsi="黑体" w:eastAsia="黑体" w:cs="黑体"/>
                <w:sz w:val="30"/>
                <w:szCs w:val="30"/>
              </w:rPr>
              <w:t>配置内容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right"/>
        </w:trPr>
        <w:tc>
          <w:tcPr>
            <w:tcW w:w="8522" w:type="dxa"/>
            <w:gridSpan w:val="3"/>
            <w:tcBorders>
              <w:top w:val="single" w:color="auto" w:sz="4" w:space="0"/>
              <w:left w:val="single" w:color="auto" w:sz="12" w:space="0"/>
              <w:bottom w:val="single" w:color="auto" w:sz="4" w:space="0"/>
              <w:right w:val="single" w:color="auto" w:sz="12" w:space="0"/>
            </w:tcBorders>
            <w:noWrap w:val="0"/>
            <w:vAlign w:val="center"/>
          </w:tcPr>
          <w:p>
            <w:pPr>
              <w:adjustRightInd w:val="0"/>
              <w:snapToGrid w:val="0"/>
              <w:spacing w:line="324"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户内初装修标准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入户门</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防火门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外墙窗户</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铝合金窗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3</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室内墙面</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成品保温板或装配式预制内隔墙板或混凝土结构面或</w:t>
            </w:r>
            <w:r>
              <w:rPr>
                <w:rFonts w:hint="eastAsia" w:ascii="仿宋_GB2312" w:hAnsi="仿宋_GB2312" w:eastAsia="仿宋_GB2312" w:cs="仿宋_GB2312"/>
                <w:color w:val="auto"/>
                <w:sz w:val="32"/>
                <w:szCs w:val="32"/>
              </w:rPr>
              <w:t>水泥砂浆抹平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4</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室内地面</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混凝土裸露面或水泥砂浆抹平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5</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室内顶棚</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混凝土裸露面或水泥砂浆抹平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6</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开关、插座</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室内合理配置强电开关、插座。厅及</w:t>
            </w:r>
            <w:r>
              <w:rPr>
                <w:rFonts w:hint="eastAsia" w:ascii="仿宋_GB2312" w:hAnsi="仿宋_GB2312" w:eastAsia="仿宋_GB2312" w:cs="仿宋_GB2312"/>
                <w:color w:val="auto"/>
                <w:sz w:val="32"/>
                <w:szCs w:val="32"/>
                <w:lang w:eastAsia="zh-CN"/>
              </w:rPr>
              <w:t>主卧</w:t>
            </w:r>
            <w:r>
              <w:rPr>
                <w:rFonts w:hint="eastAsia" w:ascii="仿宋_GB2312" w:hAnsi="仿宋_GB2312" w:eastAsia="仿宋_GB2312" w:cs="仿宋_GB2312"/>
                <w:color w:val="auto"/>
                <w:sz w:val="32"/>
                <w:szCs w:val="32"/>
              </w:rPr>
              <w:t>需</w:t>
            </w:r>
            <w:r>
              <w:rPr>
                <w:rFonts w:hint="eastAsia" w:ascii="仿宋_GB2312" w:hAnsi="仿宋_GB2312" w:eastAsia="仿宋_GB2312" w:cs="仿宋_GB2312"/>
                <w:color w:val="auto"/>
                <w:kern w:val="0"/>
                <w:sz w:val="32"/>
                <w:szCs w:val="32"/>
              </w:rPr>
              <w:t>配置电视、电话、网络插座（若需业主自行开通）。客厅、主次卧室、厨房、卫生间设置节能灯。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7</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对讲系统</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客厅配置可视对讲系统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8</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给水</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厨房、卫生间配置冷、热水管，洗衣机位置配置给水</w:t>
            </w:r>
            <w:r>
              <w:rPr>
                <w:rFonts w:hint="eastAsia" w:ascii="仿宋_GB2312" w:hAnsi="仿宋_GB2312" w:eastAsia="仿宋_GB2312" w:cs="仿宋_GB2312"/>
                <w:spacing w:val="-8"/>
                <w:kern w:val="0"/>
                <w:sz w:val="32"/>
                <w:szCs w:val="32"/>
              </w:rPr>
              <w:t>。冷、热水管用水点除洗手间配置一个水龙头外，其余用堵头封堵。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9</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排水</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用水点排水及阳台雨水排水按要求配置。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10</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天然气</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厨房和热水器位置配置燃气管道和接驳点。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right"/>
        </w:trPr>
        <w:tc>
          <w:tcPr>
            <w:tcW w:w="8522" w:type="dxa"/>
            <w:gridSpan w:val="3"/>
            <w:tcBorders>
              <w:top w:val="single" w:color="auto" w:sz="4" w:space="0"/>
              <w:left w:val="single" w:color="auto" w:sz="12" w:space="0"/>
              <w:bottom w:val="single" w:color="auto" w:sz="4" w:space="0"/>
              <w:right w:val="single" w:color="auto" w:sz="12" w:space="0"/>
            </w:tcBorders>
            <w:noWrap w:val="0"/>
            <w:vAlign w:val="center"/>
          </w:tcPr>
          <w:p>
            <w:pPr>
              <w:adjustRightInd w:val="0"/>
              <w:snapToGrid w:val="0"/>
              <w:spacing w:line="324"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公共区域装修标准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大堂及电梯厅</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天花为乳胶漆，地面墙面为瓷砖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right"/>
        </w:trPr>
        <w:tc>
          <w:tcPr>
            <w:tcW w:w="1008" w:type="dxa"/>
            <w:tcBorders>
              <w:top w:val="single" w:color="auto" w:sz="4" w:space="0"/>
              <w:left w:val="single" w:color="auto" w:sz="12" w:space="0"/>
              <w:bottom w:val="single" w:color="auto" w:sz="12"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1800" w:type="dxa"/>
            <w:tcBorders>
              <w:top w:val="single" w:color="auto" w:sz="4" w:space="0"/>
              <w:left w:val="single" w:color="auto" w:sz="4" w:space="0"/>
              <w:bottom w:val="single" w:color="auto" w:sz="12"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走廊</w:t>
            </w:r>
          </w:p>
        </w:tc>
        <w:tc>
          <w:tcPr>
            <w:tcW w:w="5714" w:type="dxa"/>
            <w:tcBorders>
              <w:top w:val="single" w:color="auto" w:sz="4" w:space="0"/>
              <w:left w:val="single" w:color="auto" w:sz="4" w:space="0"/>
              <w:bottom w:val="single" w:color="auto" w:sz="12" w:space="0"/>
              <w:right w:val="single" w:color="auto" w:sz="12"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天花为乳胶漆（若管道外露，需吊顶），地面墙面为瓷砖。</w:t>
            </w:r>
          </w:p>
        </w:tc>
      </w:tr>
    </w:tbl>
    <w:p>
      <w:pPr>
        <w:pStyle w:val="2"/>
        <w:spacing w:line="324" w:lineRule="auto"/>
      </w:pPr>
    </w:p>
    <w:p/>
    <w:p/>
    <w:p>
      <w:pPr>
        <w:rPr>
          <w:rFonts w:hint="default"/>
          <w:lang w:val="en-US" w:eastAsia="zh-CN"/>
        </w:rPr>
      </w:pPr>
    </w:p>
    <w:sectPr>
      <w:pgSz w:w="11906" w:h="16838"/>
      <w:pgMar w:top="1871" w:right="1304" w:bottom="187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3HHRAQAApQMAAA4AAAAAAAAAAQAgAAAAHgEAAGRy&#10;cy9lMm9Eb2MueG1sUEsFBgAAAAAGAAYAWQEAAGEFAAAAAA==&#10;">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MjBkNjNjZjAzMTk2M2YzYjc5MGNkMmY1MDk0MDAifQ=="/>
  </w:docVars>
  <w:rsids>
    <w:rsidRoot w:val="00000000"/>
    <w:rsid w:val="081D1A07"/>
    <w:rsid w:val="09F00ECE"/>
    <w:rsid w:val="147F59B3"/>
    <w:rsid w:val="17081BDA"/>
    <w:rsid w:val="17DE0EE3"/>
    <w:rsid w:val="3077387C"/>
    <w:rsid w:val="3DBED51A"/>
    <w:rsid w:val="55D4301A"/>
    <w:rsid w:val="55F252F6"/>
    <w:rsid w:val="5F996A0D"/>
    <w:rsid w:val="5FF971DE"/>
    <w:rsid w:val="76FFFBF3"/>
    <w:rsid w:val="7FECC6B7"/>
    <w:rsid w:val="BBBF5AC8"/>
    <w:rsid w:val="BDF45B96"/>
    <w:rsid w:val="E7FE6DF1"/>
    <w:rsid w:val="EF67CABA"/>
    <w:rsid w:val="FD08223E"/>
    <w:rsid w:val="FFD5324E"/>
    <w:rsid w:val="FFD75515"/>
    <w:rsid w:val="FFDC3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outlineLvl w:val="2"/>
    </w:pPr>
    <w:rPr>
      <w:rFonts w:eastAsia="仿宋"/>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2774</Words>
  <Characters>2917</Characters>
  <Lines>0</Lines>
  <Paragraphs>0</Paragraphs>
  <TotalTime>4</TotalTime>
  <ScaleCrop>false</ScaleCrop>
  <LinksUpToDate>false</LinksUpToDate>
  <CharactersWithSpaces>2922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2021-06-17T01:32:00Z</dcterms:created>
  <dc:creator>李剑君</dc:creator>
  <cp:lastModifiedBy>tdfgs</cp:lastModifiedBy>
  <dcterms:modified xsi:type="dcterms:W3CDTF">2022-10-26T12:47:40Z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D6FF7A61D416422FBB014C682447C708</vt:lpwstr>
  </property>
</Properties>
</file>