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center"/>
        <w:rPr>
          <w:rFonts w:ascii="黑体" w:hAnsi="宋体" w:eastAsia="黑体"/>
          <w:b/>
          <w:bCs/>
          <w:sz w:val="21"/>
          <w:szCs w:val="24"/>
        </w:rPr>
      </w:pPr>
      <w:r>
        <w:rPr>
          <w:rFonts w:hint="eastAsia" w:ascii="黑体" w:hAnsi="宋体" w:eastAsia="黑体"/>
          <w:b/>
          <w:bCs/>
          <w:sz w:val="21"/>
          <w:szCs w:val="24"/>
        </w:rPr>
        <w:t xml:space="preserve">                                                    深罗产监协（202</w:t>
      </w:r>
      <w:r>
        <w:rPr>
          <w:rFonts w:hint="default" w:ascii="黑体" w:hAnsi="宋体" w:eastAsia="黑体"/>
          <w:b/>
          <w:bCs/>
          <w:sz w:val="21"/>
          <w:szCs w:val="24"/>
          <w:lang w:val="en"/>
        </w:rPr>
        <w:t>2</w:t>
      </w:r>
      <w:r>
        <w:rPr>
          <w:rFonts w:hint="eastAsia" w:ascii="黑体" w:hAnsi="宋体" w:eastAsia="黑体"/>
          <w:b/>
          <w:bCs/>
          <w:sz w:val="21"/>
          <w:szCs w:val="24"/>
        </w:rPr>
        <w:t>）第</w:t>
      </w:r>
      <w:r>
        <w:rPr>
          <w:rFonts w:hint="eastAsia" w:ascii="黑体" w:hAnsi="宋体" w:eastAsia="黑体"/>
          <w:b/>
          <w:bCs/>
          <w:sz w:val="21"/>
          <w:szCs w:val="24"/>
          <w:u w:val="single"/>
        </w:rPr>
        <w:t xml:space="preserve">    </w:t>
      </w:r>
      <w:r>
        <w:rPr>
          <w:rFonts w:hint="eastAsia" w:ascii="黑体" w:hAnsi="宋体" w:eastAsia="黑体"/>
          <w:b/>
          <w:bCs/>
          <w:sz w:val="21"/>
          <w:szCs w:val="24"/>
        </w:rPr>
        <w:t>号</w:t>
      </w:r>
    </w:p>
    <w:p>
      <w:pPr>
        <w:snapToGrid w:val="0"/>
        <w:spacing w:line="600" w:lineRule="exact"/>
        <w:jc w:val="center"/>
        <w:rPr>
          <w:rFonts w:hint="eastAsia" w:ascii="黑体" w:hAnsi="宋体" w:eastAsia="黑体"/>
          <w:b/>
          <w:bCs/>
          <w:sz w:val="21"/>
          <w:szCs w:val="24"/>
        </w:rPr>
      </w:pPr>
    </w:p>
    <w:p>
      <w:pPr>
        <w:snapToGrid w:val="0"/>
        <w:spacing w:line="600" w:lineRule="exact"/>
        <w:jc w:val="center"/>
        <w:rPr>
          <w:rFonts w:hint="eastAsia" w:ascii="黑体" w:hAnsi="宋体" w:eastAsia="黑体"/>
          <w:b/>
          <w:bCs/>
          <w:sz w:val="21"/>
          <w:szCs w:val="24"/>
        </w:rPr>
      </w:pPr>
    </w:p>
    <w:p>
      <w:pPr>
        <w:snapToGrid w:val="0"/>
        <w:spacing w:line="600" w:lineRule="exact"/>
        <w:jc w:val="center"/>
        <w:rPr>
          <w:rFonts w:hint="eastAsia" w:ascii="黑体" w:hAnsi="宋体" w:eastAsia="黑体"/>
          <w:b/>
          <w:bCs/>
          <w:sz w:val="21"/>
          <w:szCs w:val="24"/>
        </w:rPr>
      </w:pPr>
    </w:p>
    <w:p>
      <w:pPr>
        <w:snapToGrid w:val="0"/>
        <w:spacing w:line="600" w:lineRule="exact"/>
        <w:jc w:val="center"/>
        <w:rPr>
          <w:rFonts w:hint="eastAsia" w:ascii="黑体" w:hAnsi="宋体" w:eastAsia="黑体"/>
          <w:b/>
          <w:bCs/>
          <w:sz w:val="48"/>
          <w:szCs w:val="48"/>
          <w:lang w:eastAsia="zh-CN"/>
        </w:rPr>
      </w:pPr>
      <w:r>
        <w:rPr>
          <w:rFonts w:hint="eastAsia" w:ascii="黑体" w:hAnsi="宋体" w:eastAsia="黑体"/>
          <w:b/>
          <w:bCs/>
          <w:sz w:val="48"/>
          <w:szCs w:val="48"/>
        </w:rPr>
        <w:t>深圳市罗湖区重点产业发展监管协议</w:t>
      </w:r>
      <w:r>
        <w:rPr>
          <w:rFonts w:hint="eastAsia" w:ascii="黑体" w:hAnsi="宋体" w:eastAsia="黑体"/>
          <w:b/>
          <w:bCs/>
          <w:sz w:val="48"/>
          <w:szCs w:val="48"/>
          <w:lang w:eastAsia="zh-CN"/>
        </w:rPr>
        <w:t>书</w:t>
      </w:r>
    </w:p>
    <w:p>
      <w:pPr>
        <w:snapToGrid w:val="0"/>
        <w:spacing w:line="600" w:lineRule="exact"/>
        <w:jc w:val="center"/>
        <w:rPr>
          <w:rFonts w:hint="eastAsia" w:ascii="黑体" w:hAnsi="宋体" w:eastAsia="黑体"/>
          <w:b/>
          <w:bCs/>
          <w:sz w:val="48"/>
          <w:szCs w:val="48"/>
          <w:lang w:eastAsia="zh-CN"/>
        </w:rPr>
      </w:pPr>
    </w:p>
    <w:p>
      <w:pPr>
        <w:snapToGrid w:val="0"/>
        <w:spacing w:line="600" w:lineRule="exact"/>
        <w:jc w:val="center"/>
        <w:rPr>
          <w:rFonts w:hint="eastAsia" w:ascii="仿宋_GB2312" w:hAnsi="宋体"/>
          <w:b/>
          <w:bCs/>
          <w:szCs w:val="24"/>
        </w:rPr>
      </w:pPr>
    </w:p>
    <w:p>
      <w:pPr>
        <w:snapToGrid w:val="0"/>
        <w:spacing w:line="600" w:lineRule="exact"/>
        <w:jc w:val="center"/>
        <w:rPr>
          <w:rFonts w:hint="eastAsia" w:ascii="仿宋_GB2312" w:hAnsi="宋体"/>
          <w:b/>
          <w:bCs/>
          <w:szCs w:val="24"/>
        </w:rPr>
      </w:pPr>
    </w:p>
    <w:p>
      <w:pPr>
        <w:snapToGrid w:val="0"/>
        <w:spacing w:line="600" w:lineRule="exact"/>
        <w:jc w:val="center"/>
        <w:rPr>
          <w:rFonts w:hint="eastAsia" w:ascii="仿宋_GB2312" w:hAnsi="宋体"/>
          <w:b/>
          <w:bCs/>
          <w:szCs w:val="24"/>
        </w:rPr>
      </w:pPr>
    </w:p>
    <w:p>
      <w:pPr>
        <w:spacing w:line="600" w:lineRule="exact"/>
        <w:ind w:firstLine="1248" w:firstLineChars="400"/>
        <w:jc w:val="left"/>
        <w:rPr>
          <w:rFonts w:hint="eastAsia" w:ascii="宋体" w:hAnsi="宋体" w:eastAsia="宋体"/>
          <w:szCs w:val="24"/>
          <w:u w:val="single"/>
        </w:rPr>
      </w:pPr>
      <w:r>
        <w:rPr>
          <w:rFonts w:hint="eastAsia" w:ascii="宋体" w:hAnsi="宋体" w:eastAsia="宋体"/>
          <w:b/>
          <w:bCs/>
          <w:szCs w:val="24"/>
        </w:rPr>
        <w:t>宗地编号：</w:t>
      </w:r>
      <w:r>
        <w:rPr>
          <w:rFonts w:hint="eastAsia" w:ascii="宋体" w:hAnsi="宋体" w:eastAsia="宋体"/>
          <w:b/>
          <w:bCs/>
          <w:szCs w:val="24"/>
          <w:u w:val="single"/>
        </w:rPr>
        <w:t xml:space="preserve">  H404-0090宗地    </w:t>
      </w:r>
    </w:p>
    <w:p>
      <w:pPr>
        <w:spacing w:line="600" w:lineRule="exact"/>
        <w:ind w:left="0" w:leftChars="0" w:firstLine="936" w:firstLineChars="300"/>
        <w:jc w:val="left"/>
        <w:rPr>
          <w:rFonts w:hint="eastAsia" w:ascii="黑体" w:hAnsi="黑体" w:eastAsia="仿宋_GB2312" w:cs="黑体"/>
          <w:sz w:val="32"/>
          <w:szCs w:val="32"/>
          <w:highlight w:val="none"/>
          <w:u w:val="none"/>
          <w:lang w:val="en-US" w:eastAsia="zh-CN"/>
        </w:rPr>
      </w:pPr>
      <w:r>
        <w:rPr>
          <w:rFonts w:hint="eastAsia" w:ascii="黑体" w:hAnsi="黑体" w:eastAsia="黑体"/>
          <w:bCs/>
          <w:szCs w:val="28"/>
        </w:rPr>
        <w:t>产业准入类别：</w:t>
      </w:r>
      <w:r>
        <w:rPr>
          <w:rFonts w:hint="eastAsia" w:ascii="仿宋_GB2312" w:hAnsi="仿宋_GB2312" w:cs="仿宋_GB2312"/>
          <w:bCs/>
          <w:color w:val="000000"/>
          <w:szCs w:val="32"/>
          <w:u w:val="single"/>
        </w:rPr>
        <w:t xml:space="preserve"> </w:t>
      </w:r>
      <w:r>
        <w:rPr>
          <w:rFonts w:hint="eastAsia" w:ascii="宋体" w:hAnsi="宋体" w:eastAsia="宋体"/>
          <w:b/>
          <w:bCs/>
          <w:szCs w:val="24"/>
          <w:u w:val="single"/>
          <w:lang w:eastAsia="zh-CN"/>
        </w:rPr>
        <w:t>《深圳市产业结构调整优化和产业导向目录（2016年修订）》——A05文化创意产业（</w:t>
      </w:r>
      <w:r>
        <w:rPr>
          <w:rFonts w:hint="eastAsia" w:ascii="宋体" w:hAnsi="宋体" w:eastAsia="宋体"/>
          <w:b/>
          <w:bCs/>
          <w:szCs w:val="24"/>
          <w:u w:val="single"/>
        </w:rPr>
        <w:t>战略性新兴产业</w:t>
      </w:r>
      <w:r>
        <w:rPr>
          <w:rFonts w:hint="eastAsia" w:ascii="宋体" w:hAnsi="宋体" w:eastAsia="宋体"/>
          <w:b/>
          <w:bCs/>
          <w:szCs w:val="24"/>
          <w:u w:val="single"/>
          <w:lang w:eastAsia="zh-CN"/>
        </w:rPr>
        <w:t>）</w:t>
      </w:r>
    </w:p>
    <w:p>
      <w:pPr>
        <w:spacing w:line="600" w:lineRule="exact"/>
        <w:ind w:firstLine="1248" w:firstLineChars="400"/>
        <w:rPr>
          <w:rFonts w:hint="eastAsia" w:ascii="仿宋_GB2312" w:hAnsi="仿宋_GB2312" w:cs="仿宋_GB2312"/>
          <w:bCs/>
          <w:color w:val="000000"/>
          <w:szCs w:val="32"/>
          <w:u w:val="single"/>
        </w:rPr>
      </w:pPr>
      <w:r>
        <w:rPr>
          <w:rFonts w:hint="eastAsia" w:ascii="宋体" w:hAnsi="宋体" w:eastAsia="宋体"/>
          <w:b/>
          <w:bCs/>
          <w:szCs w:val="24"/>
        </w:rPr>
        <w:t>项目名称：</w:t>
      </w:r>
      <w:r>
        <w:rPr>
          <w:rFonts w:hint="eastAsia" w:ascii="宋体" w:hAnsi="宋体" w:eastAsia="宋体"/>
          <w:b/>
          <w:bCs/>
          <w:szCs w:val="24"/>
          <w:u w:val="single"/>
        </w:rPr>
        <w:t>珠宝产业中心项目</w:t>
      </w:r>
    </w:p>
    <w:p>
      <w:pPr>
        <w:spacing w:line="600" w:lineRule="exact"/>
        <w:ind w:firstLine="1248" w:firstLineChars="400"/>
        <w:jc w:val="left"/>
        <w:rPr>
          <w:rFonts w:hint="eastAsia" w:ascii="宋体" w:hAnsi="宋体" w:eastAsia="宋体"/>
          <w:b/>
          <w:bCs/>
          <w:szCs w:val="32"/>
          <w:u w:val="single"/>
        </w:rPr>
      </w:pPr>
      <w:r>
        <w:rPr>
          <w:rFonts w:hint="eastAsia" w:ascii="宋体" w:hAnsi="宋体" w:eastAsia="宋体"/>
          <w:b/>
          <w:bCs/>
          <w:szCs w:val="32"/>
        </w:rPr>
        <w:t>土地出让合同编号：</w:t>
      </w:r>
      <w:r>
        <w:rPr>
          <w:rFonts w:hint="eastAsia" w:ascii="宋体" w:hAnsi="宋体" w:eastAsia="宋体"/>
          <w:b/>
          <w:bCs/>
          <w:szCs w:val="32"/>
          <w:u w:val="single"/>
        </w:rPr>
        <w:t xml:space="preserve">                   </w:t>
      </w:r>
    </w:p>
    <w:p>
      <w:pPr>
        <w:snapToGrid w:val="0"/>
        <w:spacing w:line="600" w:lineRule="exact"/>
        <w:jc w:val="center"/>
        <w:rPr>
          <w:rFonts w:hint="eastAsia" w:ascii="仿宋_GB2312" w:hAnsi="宋体"/>
          <w:b/>
          <w:bCs/>
          <w:szCs w:val="24"/>
        </w:rPr>
      </w:pPr>
    </w:p>
    <w:p>
      <w:pPr>
        <w:snapToGrid w:val="0"/>
        <w:spacing w:line="600" w:lineRule="exact"/>
        <w:jc w:val="center"/>
        <w:rPr>
          <w:rFonts w:hint="eastAsia" w:ascii="仿宋_GB2312" w:hAnsi="宋体"/>
          <w:b/>
          <w:bCs/>
          <w:szCs w:val="24"/>
        </w:rPr>
      </w:pPr>
    </w:p>
    <w:p>
      <w:pPr>
        <w:snapToGrid w:val="0"/>
        <w:spacing w:line="600" w:lineRule="exact"/>
        <w:jc w:val="center"/>
        <w:rPr>
          <w:rFonts w:hint="eastAsia" w:ascii="仿宋_GB2312" w:hAnsi="宋体"/>
          <w:b/>
          <w:bCs/>
          <w:szCs w:val="24"/>
        </w:rPr>
      </w:pPr>
    </w:p>
    <w:p>
      <w:pPr>
        <w:snapToGrid w:val="0"/>
        <w:spacing w:line="600" w:lineRule="exact"/>
        <w:jc w:val="center"/>
        <w:rPr>
          <w:rFonts w:hint="eastAsia" w:ascii="仿宋_GB2312" w:hAnsi="宋体"/>
          <w:b/>
          <w:bCs/>
          <w:szCs w:val="24"/>
        </w:rPr>
      </w:pPr>
    </w:p>
    <w:p>
      <w:pPr>
        <w:snapToGrid w:val="0"/>
        <w:spacing w:line="600" w:lineRule="exact"/>
        <w:jc w:val="center"/>
        <w:rPr>
          <w:rFonts w:hint="eastAsia" w:ascii="仿宋_GB2312" w:hAnsi="宋体"/>
          <w:b/>
          <w:bCs/>
          <w:szCs w:val="24"/>
        </w:rPr>
      </w:pPr>
    </w:p>
    <w:p>
      <w:pPr>
        <w:spacing w:line="600" w:lineRule="exact"/>
        <w:jc w:val="center"/>
        <w:rPr>
          <w:rFonts w:hint="eastAsia" w:ascii="黑体" w:hAnsi="宋体" w:eastAsia="黑体"/>
          <w:szCs w:val="24"/>
        </w:rPr>
      </w:pPr>
      <w:r>
        <w:rPr>
          <w:rFonts w:hint="eastAsia" w:ascii="黑体" w:hAnsi="宋体" w:eastAsia="黑体"/>
          <w:szCs w:val="24"/>
        </w:rPr>
        <w:t>深圳市罗湖区</w:t>
      </w:r>
      <w:r>
        <w:rPr>
          <w:rFonts w:hint="eastAsia" w:ascii="黑体" w:hAnsi="宋体" w:eastAsia="黑体"/>
          <w:szCs w:val="24"/>
          <w:lang w:eastAsia="zh-CN"/>
        </w:rPr>
        <w:t>工业和信息化局</w:t>
      </w:r>
      <w:r>
        <w:rPr>
          <w:rFonts w:hint="eastAsia" w:ascii="黑体" w:hAnsi="宋体" w:eastAsia="黑体"/>
          <w:szCs w:val="24"/>
        </w:rPr>
        <w:t xml:space="preserve"> 制</w:t>
      </w:r>
    </w:p>
    <w:p>
      <w:pPr>
        <w:spacing w:line="600" w:lineRule="exact"/>
        <w:jc w:val="center"/>
        <w:rPr>
          <w:rFonts w:hint="eastAsia" w:ascii="黑体" w:hAnsi="黑体" w:eastAsia="黑体" w:cs="仿宋_GB2312"/>
          <w:szCs w:val="32"/>
        </w:rPr>
      </w:pPr>
      <w:r>
        <w:rPr>
          <w:rFonts w:hint="eastAsia" w:ascii="黑体" w:hAnsi="黑体" w:eastAsia="黑体"/>
          <w:szCs w:val="32"/>
        </w:rPr>
        <w:t>二</w:t>
      </w:r>
      <w:r>
        <w:rPr>
          <w:rFonts w:hint="eastAsia" w:ascii="黑体" w:hAnsi="黑体" w:eastAsia="黑体" w:cs="宋体"/>
          <w:szCs w:val="32"/>
        </w:rPr>
        <w:t>〇</w:t>
      </w:r>
      <w:r>
        <w:rPr>
          <w:rFonts w:hint="eastAsia" w:ascii="黑体" w:hAnsi="黑体" w:eastAsia="黑体"/>
          <w:szCs w:val="32"/>
        </w:rPr>
        <w:t>二二</w:t>
      </w:r>
      <w:r>
        <w:rPr>
          <w:rFonts w:hint="eastAsia" w:ascii="黑体" w:hAnsi="黑体" w:eastAsia="黑体" w:cs="仿宋_GB2312"/>
          <w:szCs w:val="32"/>
        </w:rPr>
        <w:t>年   月</w:t>
      </w:r>
    </w:p>
    <w:p>
      <w:pPr>
        <w:spacing w:line="600" w:lineRule="exact"/>
        <w:jc w:val="center"/>
        <w:rPr>
          <w:rFonts w:hint="eastAsia" w:ascii="黑体" w:hAnsi="宋体" w:eastAsia="黑体"/>
          <w:szCs w:val="24"/>
        </w:rPr>
        <w:sectPr>
          <w:footerReference r:id="rId3" w:type="default"/>
          <w:footerReference r:id="rId4" w:type="even"/>
          <w:pgSz w:w="11906" w:h="16838"/>
          <w:pgMar w:top="2098" w:right="1474" w:bottom="1985" w:left="1588" w:header="851" w:footer="1361" w:gutter="0"/>
          <w:cols w:space="720" w:num="1"/>
          <w:docGrid w:type="linesAndChars" w:linePitch="573" w:charSpace="-1843"/>
        </w:sectPr>
      </w:pPr>
    </w:p>
    <w:p>
      <w:pPr>
        <w:keepNext w:val="0"/>
        <w:keepLines w:val="0"/>
        <w:widowControl/>
        <w:suppressLineNumbers w:val="0"/>
        <w:jc w:val="left"/>
      </w:pPr>
      <w:r>
        <w:rPr>
          <w:rFonts w:hint="eastAsia" w:ascii="仿宋_GB2312" w:hAnsi="仿宋"/>
          <w:szCs w:val="32"/>
        </w:rPr>
        <w:t>甲    方：</w:t>
      </w:r>
      <w:r>
        <w:rPr>
          <w:rFonts w:hint="eastAsia" w:ascii="仿宋_GB2312" w:hAnsi="仿宋"/>
          <w:szCs w:val="32"/>
          <w:u w:val="single"/>
          <w:lang w:val="en-US" w:eastAsia="zh-CN"/>
        </w:rPr>
        <w:t>深圳市罗湖区工业和信息化局</w:t>
      </w:r>
    </w:p>
    <w:p>
      <w:pPr>
        <w:keepNext w:val="0"/>
        <w:keepLines w:val="0"/>
        <w:widowControl/>
        <w:suppressLineNumbers w:val="0"/>
        <w:jc w:val="left"/>
      </w:pPr>
      <w:r>
        <w:rPr>
          <w:rFonts w:hint="eastAsia" w:ascii="仿宋_GB2312" w:hAnsi="仿宋"/>
          <w:szCs w:val="32"/>
        </w:rPr>
        <w:t>组织机构代码：</w:t>
      </w:r>
      <w:r>
        <w:rPr>
          <w:rFonts w:hint="eastAsia" w:ascii="仿宋_GB2312" w:hAnsi="仿宋"/>
          <w:szCs w:val="32"/>
          <w:u w:val="single"/>
          <w:lang w:val="en-US" w:eastAsia="zh-CN"/>
        </w:rPr>
        <w:t>1144030300754334XX</w:t>
      </w:r>
    </w:p>
    <w:p>
      <w:pPr>
        <w:keepNext w:val="0"/>
        <w:keepLines w:val="0"/>
        <w:widowControl/>
        <w:suppressLineNumbers w:val="0"/>
        <w:jc w:val="left"/>
      </w:pPr>
      <w:r>
        <w:rPr>
          <w:rFonts w:hint="eastAsia" w:ascii="仿宋_GB2312" w:hAnsi="仿宋"/>
          <w:szCs w:val="32"/>
        </w:rPr>
        <w:t>法定代表人：</w:t>
      </w:r>
      <w:r>
        <w:rPr>
          <w:rFonts w:hint="eastAsia" w:ascii="仿宋_GB2312" w:hAnsi="仿宋"/>
          <w:szCs w:val="32"/>
          <w:u w:val="single"/>
          <w:lang w:val="en-US" w:eastAsia="zh-CN"/>
        </w:rPr>
        <w:t>刘琛</w:t>
      </w:r>
    </w:p>
    <w:p>
      <w:pPr>
        <w:adjustRightInd w:val="0"/>
        <w:snapToGrid w:val="0"/>
        <w:spacing w:line="560" w:lineRule="exact"/>
        <w:rPr>
          <w:rFonts w:hint="eastAsia" w:ascii="仿宋_GB2312" w:hAnsi="仿宋"/>
          <w:szCs w:val="32"/>
        </w:rPr>
      </w:pPr>
      <w:r>
        <w:rPr>
          <w:rFonts w:hint="eastAsia" w:ascii="仿宋_GB2312" w:hAnsi="仿宋"/>
          <w:szCs w:val="32"/>
        </w:rPr>
        <w:t>地址：</w:t>
      </w:r>
      <w:r>
        <w:rPr>
          <w:rFonts w:hint="eastAsia" w:ascii="仿宋_GB2312" w:hAnsi="仿宋"/>
          <w:szCs w:val="32"/>
          <w:u w:val="single"/>
          <w:lang w:val="en-US" w:eastAsia="zh-CN"/>
        </w:rPr>
        <w:t>深圳市罗湖区黄贝街道文锦中路罗湖管理中心大厦二十一楼</w:t>
      </w:r>
    </w:p>
    <w:p>
      <w:pPr>
        <w:adjustRightInd w:val="0"/>
        <w:snapToGrid w:val="0"/>
        <w:spacing w:line="560" w:lineRule="exact"/>
        <w:rPr>
          <w:rFonts w:hint="eastAsia" w:ascii="仿宋_GB2312" w:hAnsi="仿宋"/>
          <w:szCs w:val="32"/>
        </w:rPr>
      </w:pPr>
      <w:r>
        <w:rPr>
          <w:rFonts w:hint="eastAsia" w:ascii="仿宋_GB2312" w:hAnsi="仿宋"/>
          <w:szCs w:val="32"/>
        </w:rPr>
        <w:t>联系人：</w:t>
      </w:r>
    </w:p>
    <w:p>
      <w:pPr>
        <w:adjustRightInd w:val="0"/>
        <w:snapToGrid w:val="0"/>
        <w:spacing w:line="560" w:lineRule="exact"/>
        <w:rPr>
          <w:rFonts w:hint="eastAsia" w:ascii="仿宋_GB2312" w:hAnsi="仿宋"/>
          <w:szCs w:val="32"/>
        </w:rPr>
      </w:pPr>
      <w:r>
        <w:rPr>
          <w:rFonts w:hint="eastAsia" w:ascii="仿宋_GB2312" w:hAnsi="仿宋"/>
          <w:szCs w:val="32"/>
        </w:rPr>
        <w:t>联系人电话：</w:t>
      </w:r>
    </w:p>
    <w:p>
      <w:pPr>
        <w:adjustRightInd w:val="0"/>
        <w:snapToGrid w:val="0"/>
        <w:spacing w:line="560" w:lineRule="exact"/>
        <w:rPr>
          <w:rFonts w:hint="eastAsia" w:ascii="仿宋_GB2312" w:hAnsi="仿宋"/>
          <w:szCs w:val="32"/>
        </w:rPr>
      </w:pPr>
      <w:r>
        <w:rPr>
          <w:rFonts w:hint="eastAsia" w:ascii="仿宋_GB2312" w:hAnsi="楷体"/>
          <w:szCs w:val="32"/>
        </w:rPr>
        <w:t>联系人邮箱：</w:t>
      </w:r>
    </w:p>
    <w:p>
      <w:pPr>
        <w:overflowPunct w:val="0"/>
        <w:autoSpaceDE w:val="0"/>
        <w:autoSpaceDN w:val="0"/>
        <w:adjustRightInd w:val="0"/>
        <w:snapToGrid w:val="0"/>
        <w:spacing w:line="560" w:lineRule="exact"/>
        <w:rPr>
          <w:rFonts w:hint="eastAsia" w:ascii="仿宋_GB2312" w:hAnsi="仿宋"/>
          <w:szCs w:val="32"/>
        </w:rPr>
      </w:pPr>
    </w:p>
    <w:p>
      <w:pPr>
        <w:adjustRightInd w:val="0"/>
        <w:snapToGrid w:val="0"/>
        <w:spacing w:line="560" w:lineRule="exact"/>
        <w:rPr>
          <w:rFonts w:hint="eastAsia" w:ascii="仿宋_GB2312" w:hAnsi="仿宋"/>
          <w:szCs w:val="32"/>
        </w:rPr>
      </w:pPr>
    </w:p>
    <w:p>
      <w:pPr>
        <w:adjustRightInd w:val="0"/>
        <w:snapToGrid w:val="0"/>
        <w:spacing w:line="560" w:lineRule="exact"/>
        <w:rPr>
          <w:rFonts w:hint="eastAsia" w:ascii="仿宋_GB2312" w:hAnsi="仿宋"/>
          <w:szCs w:val="32"/>
        </w:rPr>
      </w:pPr>
    </w:p>
    <w:p>
      <w:pPr>
        <w:adjustRightInd w:val="0"/>
        <w:snapToGrid w:val="0"/>
        <w:spacing w:line="560" w:lineRule="exact"/>
        <w:rPr>
          <w:rFonts w:hint="eastAsia" w:ascii="仿宋_GB2312" w:hAnsi="仿宋"/>
          <w:szCs w:val="32"/>
        </w:rPr>
      </w:pPr>
    </w:p>
    <w:p>
      <w:pPr>
        <w:adjustRightInd w:val="0"/>
        <w:snapToGrid w:val="0"/>
        <w:spacing w:line="560" w:lineRule="exact"/>
        <w:rPr>
          <w:rFonts w:hint="eastAsia" w:ascii="仿宋_GB2312" w:hAnsi="仿宋" w:eastAsia="仿宋_GB2312"/>
          <w:szCs w:val="32"/>
          <w:lang w:eastAsia="zh-CN"/>
        </w:rPr>
      </w:pPr>
      <w:r>
        <w:rPr>
          <w:rFonts w:hint="eastAsia" w:ascii="仿宋_GB2312" w:hAnsi="仿宋"/>
          <w:szCs w:val="32"/>
        </w:rPr>
        <w:t xml:space="preserve">乙    方： </w:t>
      </w:r>
    </w:p>
    <w:p>
      <w:pPr>
        <w:keepNext w:val="0"/>
        <w:keepLines w:val="0"/>
        <w:widowControl/>
        <w:suppressLineNumbers w:val="0"/>
        <w:jc w:val="left"/>
        <w:rPr>
          <w:rFonts w:hint="eastAsia" w:ascii="仿宋_GB2312" w:hAnsi="仿宋"/>
          <w:szCs w:val="32"/>
        </w:rPr>
      </w:pPr>
      <w:r>
        <w:rPr>
          <w:rFonts w:hint="eastAsia" w:ascii="仿宋_GB2312" w:hAnsi="仿宋"/>
          <w:szCs w:val="32"/>
        </w:rPr>
        <w:t>统一社会信用代码：</w:t>
      </w:r>
    </w:p>
    <w:p>
      <w:pPr>
        <w:keepNext w:val="0"/>
        <w:keepLines w:val="0"/>
        <w:widowControl/>
        <w:suppressLineNumbers w:val="0"/>
        <w:jc w:val="left"/>
      </w:pPr>
      <w:r>
        <w:rPr>
          <w:rFonts w:hint="eastAsia" w:ascii="仿宋_GB2312" w:hAnsi="仿宋" w:cs="宋体"/>
          <w:kern w:val="0"/>
          <w:szCs w:val="32"/>
        </w:rPr>
        <w:t>法定代表人</w:t>
      </w:r>
      <w:r>
        <w:rPr>
          <w:rFonts w:hint="eastAsia" w:ascii="仿宋_GB2312" w:hAnsi="仿宋"/>
          <w:szCs w:val="32"/>
        </w:rPr>
        <w:t>：</w:t>
      </w:r>
      <w:bookmarkStart w:id="0" w:name="_GoBack"/>
      <w:bookmarkEnd w:id="0"/>
    </w:p>
    <w:p>
      <w:pPr>
        <w:keepNext w:val="0"/>
        <w:keepLines w:val="0"/>
        <w:widowControl/>
        <w:suppressLineNumbers w:val="0"/>
        <w:jc w:val="left"/>
        <w:rPr>
          <w:u w:val="single"/>
        </w:rPr>
      </w:pPr>
      <w:r>
        <w:rPr>
          <w:rFonts w:hint="eastAsia" w:ascii="仿宋_GB2312" w:hAnsi="仿宋"/>
          <w:szCs w:val="32"/>
        </w:rPr>
        <w:t xml:space="preserve">地    址： </w:t>
      </w:r>
    </w:p>
    <w:p>
      <w:pPr>
        <w:adjustRightInd w:val="0"/>
        <w:snapToGrid w:val="0"/>
        <w:spacing w:line="560" w:lineRule="exact"/>
        <w:rPr>
          <w:rFonts w:hint="eastAsia" w:ascii="仿宋_GB2312" w:hAnsi="仿宋"/>
          <w:szCs w:val="32"/>
        </w:rPr>
      </w:pPr>
      <w:r>
        <w:rPr>
          <w:rFonts w:hint="eastAsia" w:ascii="仿宋_GB2312" w:hAnsi="仿宋"/>
          <w:szCs w:val="32"/>
        </w:rPr>
        <w:t>联系部门：</w:t>
      </w:r>
    </w:p>
    <w:p>
      <w:pPr>
        <w:adjustRightInd w:val="0"/>
        <w:snapToGrid w:val="0"/>
        <w:spacing w:line="560" w:lineRule="exact"/>
        <w:rPr>
          <w:rFonts w:hint="eastAsia" w:ascii="仿宋_GB2312" w:hAnsi="仿宋"/>
          <w:szCs w:val="32"/>
        </w:rPr>
      </w:pPr>
      <w:r>
        <w:rPr>
          <w:rFonts w:hint="eastAsia" w:ascii="仿宋_GB2312" w:hAnsi="仿宋"/>
          <w:szCs w:val="32"/>
        </w:rPr>
        <w:t>联系部门地址：</w:t>
      </w:r>
    </w:p>
    <w:p>
      <w:pPr>
        <w:adjustRightInd w:val="0"/>
        <w:snapToGrid w:val="0"/>
        <w:spacing w:line="560" w:lineRule="exact"/>
        <w:rPr>
          <w:rFonts w:hint="eastAsia" w:ascii="仿宋_GB2312" w:hAnsi="仿宋"/>
          <w:szCs w:val="32"/>
        </w:rPr>
      </w:pPr>
      <w:r>
        <w:rPr>
          <w:rFonts w:hint="eastAsia" w:ascii="仿宋_GB2312" w:hAnsi="仿宋"/>
          <w:szCs w:val="32"/>
        </w:rPr>
        <w:t>联系人：</w:t>
      </w:r>
    </w:p>
    <w:p>
      <w:pPr>
        <w:adjustRightInd w:val="0"/>
        <w:snapToGrid w:val="0"/>
        <w:spacing w:line="560" w:lineRule="exact"/>
        <w:rPr>
          <w:rFonts w:hint="eastAsia" w:ascii="仿宋_GB2312" w:hAnsi="仿宋"/>
          <w:szCs w:val="32"/>
        </w:rPr>
      </w:pPr>
      <w:r>
        <w:rPr>
          <w:rFonts w:hint="eastAsia" w:ascii="仿宋_GB2312" w:hAnsi="仿宋"/>
          <w:szCs w:val="32"/>
        </w:rPr>
        <w:t>联系人电话：</w:t>
      </w:r>
    </w:p>
    <w:p>
      <w:pPr>
        <w:adjustRightInd w:val="0"/>
        <w:snapToGrid w:val="0"/>
        <w:spacing w:line="560" w:lineRule="exact"/>
        <w:rPr>
          <w:rFonts w:hint="eastAsia" w:ascii="仿宋_GB2312" w:hAnsi="仿宋"/>
          <w:szCs w:val="32"/>
        </w:rPr>
      </w:pPr>
      <w:r>
        <w:rPr>
          <w:rFonts w:hint="eastAsia" w:ascii="仿宋_GB2312" w:hAnsi="楷体"/>
          <w:szCs w:val="32"/>
        </w:rPr>
        <w:t>联系人邮箱：</w:t>
      </w:r>
    </w:p>
    <w:p>
      <w:pPr>
        <w:spacing w:line="560" w:lineRule="exact"/>
        <w:ind w:firstLine="624" w:firstLineChars="200"/>
        <w:rPr>
          <w:rFonts w:hint="eastAsia" w:ascii="黑体" w:hAnsi="黑体" w:eastAsia="黑体" w:cs="黑体"/>
          <w:szCs w:val="32"/>
        </w:rPr>
      </w:pPr>
      <w:r>
        <w:rPr>
          <w:rFonts w:hint="eastAsia" w:ascii="仿宋_GB2312" w:hAnsi="仿宋_GB2312" w:cs="仿宋_GB2312"/>
          <w:szCs w:val="32"/>
        </w:rPr>
        <w:t>为保障深圳市罗湖区重点产业项目发展用地，切实履行《深圳市土地使用权出让公告》（深土交告（</w:t>
      </w:r>
      <w:r>
        <w:rPr>
          <w:rFonts w:hint="eastAsia" w:ascii="仿宋_GB2312" w:hAnsi="仿宋_GB2312" w:cs="仿宋_GB2312"/>
          <w:szCs w:val="32"/>
          <w:u w:val="single"/>
        </w:rPr>
        <w:t xml:space="preserve">      </w:t>
      </w:r>
      <w:r>
        <w:rPr>
          <w:rFonts w:hint="eastAsia" w:ascii="仿宋_GB2312" w:hAnsi="仿宋_GB2312" w:cs="仿宋_GB2312"/>
          <w:szCs w:val="32"/>
        </w:rPr>
        <w:t>）</w:t>
      </w:r>
      <w:r>
        <w:rPr>
          <w:rFonts w:hint="eastAsia" w:ascii="仿宋_GB2312" w:hAnsi="仿宋_GB2312" w:cs="仿宋_GB2312"/>
          <w:szCs w:val="32"/>
          <w:u w:val="single"/>
        </w:rPr>
        <w:t xml:space="preserve">    </w:t>
      </w:r>
      <w:r>
        <w:rPr>
          <w:rFonts w:hint="eastAsia" w:ascii="仿宋_GB2312" w:hAnsi="仿宋_GB2312" w:cs="仿宋_GB2312"/>
          <w:szCs w:val="32"/>
        </w:rPr>
        <w:t>号）要求，根据《深圳市工业及其他产业用地供应管理办法》（深府规〔2019〕4号，以下简称《管理办法》）、《罗湖区重点产业项目遴选办法（试行）》（罗府办规〔2020〕1号，以下简称《遴选办法》）的有关规定及已公示的《</w:t>
      </w:r>
      <w:r>
        <w:rPr>
          <w:rFonts w:hint="eastAsia" w:ascii="仿宋_GB2312" w:hAnsi="仿宋_GB2312" w:cs="仿宋_GB2312"/>
          <w:szCs w:val="32"/>
          <w:u w:val="single"/>
        </w:rPr>
        <w:t xml:space="preserve">          </w:t>
      </w:r>
      <w:r>
        <w:rPr>
          <w:rFonts w:hint="eastAsia" w:ascii="仿宋_GB2312" w:hAnsi="仿宋_GB2312" w:cs="仿宋_GB2312"/>
          <w:szCs w:val="32"/>
        </w:rPr>
        <w:t>重点产业项目遴选方案》，</w:t>
      </w:r>
      <w:r>
        <w:rPr>
          <w:rFonts w:hint="eastAsia" w:ascii="仿宋_GB2312" w:hAnsi="楷体"/>
          <w:szCs w:val="32"/>
        </w:rPr>
        <w:t>甲方与</w:t>
      </w:r>
      <w:r>
        <w:rPr>
          <w:rFonts w:hint="eastAsia" w:ascii="仿宋_GB2312" w:hAnsi="楷体"/>
          <w:kern w:val="0"/>
          <w:szCs w:val="32"/>
        </w:rPr>
        <w:t>乙方</w:t>
      </w:r>
      <w:r>
        <w:rPr>
          <w:rFonts w:hint="eastAsia" w:ascii="仿宋_GB2312" w:hAnsi="楷体"/>
          <w:szCs w:val="32"/>
        </w:rPr>
        <w:t>签订本协议</w:t>
      </w:r>
      <w:r>
        <w:rPr>
          <w:rFonts w:hint="eastAsia" w:ascii="仿宋_GB2312" w:hAnsi="仿宋_GB2312" w:cs="仿宋_GB2312"/>
          <w:szCs w:val="32"/>
        </w:rPr>
        <w:t>。</w:t>
      </w:r>
    </w:p>
    <w:p>
      <w:pPr>
        <w:spacing w:line="560" w:lineRule="exact"/>
        <w:ind w:firstLine="624" w:firstLineChars="200"/>
        <w:rPr>
          <w:rFonts w:hint="eastAsia" w:ascii="黑体" w:hAnsi="黑体" w:eastAsia="黑体" w:cs="黑体"/>
          <w:szCs w:val="32"/>
        </w:rPr>
      </w:pPr>
    </w:p>
    <w:p>
      <w:pPr>
        <w:spacing w:line="560" w:lineRule="exact"/>
        <w:ind w:firstLine="624" w:firstLineChars="200"/>
        <w:rPr>
          <w:rFonts w:hint="eastAsia" w:ascii="仿宋_GB2312" w:hAnsi="仿宋_GB2312" w:cs="仿宋_GB2312"/>
          <w:szCs w:val="32"/>
        </w:rPr>
      </w:pPr>
      <w:r>
        <w:rPr>
          <w:rFonts w:hint="eastAsia" w:ascii="黑体" w:hAnsi="黑体" w:eastAsia="黑体" w:cs="黑体"/>
          <w:szCs w:val="32"/>
        </w:rPr>
        <w:t>一、地块基本情况</w:t>
      </w:r>
    </w:p>
    <w:p>
      <w:pPr>
        <w:spacing w:line="560" w:lineRule="exact"/>
        <w:ind w:firstLine="624" w:firstLineChars="200"/>
        <w:rPr>
          <w:rFonts w:hint="eastAsia" w:ascii="仿宋_GB2312" w:hAnsi="仿宋_GB2312" w:cs="仿宋_GB2312"/>
          <w:szCs w:val="32"/>
          <w:u w:val="single"/>
        </w:rPr>
      </w:pPr>
      <w:r>
        <w:rPr>
          <w:rFonts w:hint="eastAsia" w:ascii="仿宋_GB2312" w:hAnsi="仿宋_GB2312" w:cs="仿宋_GB2312"/>
          <w:szCs w:val="32"/>
        </w:rPr>
        <w:t>宗地编号：</w:t>
      </w:r>
      <w:r>
        <w:rPr>
          <w:rFonts w:hint="eastAsia" w:ascii="仿宋_GB2312" w:hAnsi="仿宋_GB2312" w:cs="仿宋_GB2312"/>
          <w:szCs w:val="32"/>
          <w:u w:val="single"/>
        </w:rPr>
        <w:t xml:space="preserve"> H404-0090宗地                               </w:t>
      </w:r>
    </w:p>
    <w:p>
      <w:pPr>
        <w:spacing w:line="560" w:lineRule="exact"/>
        <w:ind w:firstLine="624" w:firstLineChars="200"/>
        <w:rPr>
          <w:rFonts w:hint="eastAsia" w:ascii="仿宋_GB2312" w:hAnsi="仿宋_GB2312" w:cs="仿宋_GB2312"/>
          <w:szCs w:val="32"/>
          <w:u w:val="single"/>
        </w:rPr>
      </w:pPr>
      <w:r>
        <w:rPr>
          <w:rFonts w:hint="eastAsia" w:ascii="仿宋_GB2312" w:hAnsi="仿宋_GB2312" w:cs="仿宋_GB2312"/>
          <w:szCs w:val="32"/>
        </w:rPr>
        <w:t>土地位置：</w:t>
      </w:r>
      <w:r>
        <w:rPr>
          <w:rFonts w:hint="eastAsia" w:ascii="仿宋_GB2312" w:hAnsi="楷体"/>
          <w:bCs/>
          <w:szCs w:val="32"/>
          <w:u w:val="single"/>
        </w:rPr>
        <w:t xml:space="preserve"> </w:t>
      </w:r>
      <w:r>
        <w:rPr>
          <w:rFonts w:hint="eastAsia" w:ascii="仿宋_GB2312" w:hAnsi="仿宋_GB2312" w:cs="仿宋_GB2312"/>
          <w:szCs w:val="32"/>
          <w:u w:val="single"/>
        </w:rPr>
        <w:t xml:space="preserve">                                      </w:t>
      </w:r>
    </w:p>
    <w:p>
      <w:pPr>
        <w:spacing w:line="560" w:lineRule="exact"/>
        <w:ind w:firstLine="624" w:firstLineChars="200"/>
        <w:rPr>
          <w:rFonts w:hint="eastAsia" w:ascii="仿宋_GB2312" w:hAnsi="仿宋_GB2312" w:cs="仿宋_GB2312"/>
          <w:szCs w:val="32"/>
          <w:u w:val="single"/>
        </w:rPr>
      </w:pPr>
      <w:r>
        <w:rPr>
          <w:rFonts w:hint="eastAsia" w:ascii="仿宋_GB2312" w:hAnsi="仿宋_GB2312" w:cs="仿宋_GB2312"/>
          <w:szCs w:val="32"/>
        </w:rPr>
        <w:t>土地用途：</w:t>
      </w:r>
      <w:r>
        <w:rPr>
          <w:rFonts w:hint="eastAsia" w:ascii="仿宋_GB2312" w:hAnsi="楷体"/>
          <w:bCs/>
          <w:szCs w:val="32"/>
          <w:u w:val="single"/>
        </w:rPr>
        <w:t xml:space="preserve"> </w:t>
      </w:r>
      <w:r>
        <w:rPr>
          <w:rFonts w:hint="eastAsia" w:ascii="仿宋_GB2312" w:hAnsi="楷体"/>
          <w:bCs/>
          <w:szCs w:val="32"/>
          <w:u w:val="single"/>
          <w:lang w:eastAsia="zh-CN"/>
        </w:rPr>
        <w:t>新型</w:t>
      </w:r>
      <w:r>
        <w:rPr>
          <w:rFonts w:hint="eastAsia" w:ascii="仿宋_GB2312" w:hAnsi="楷体"/>
          <w:bCs/>
          <w:szCs w:val="32"/>
          <w:u w:val="single"/>
        </w:rPr>
        <w:t>产业用地</w:t>
      </w:r>
      <w:r>
        <w:rPr>
          <w:rFonts w:hint="eastAsia" w:ascii="仿宋_GB2312" w:hAnsi="仿宋_GB2312" w:cs="仿宋_GB2312"/>
          <w:szCs w:val="32"/>
          <w:u w:val="single"/>
        </w:rPr>
        <w:t xml:space="preserve">                                        </w:t>
      </w:r>
      <w:r>
        <w:rPr>
          <w:rFonts w:hint="eastAsia" w:ascii="仿宋_GB2312" w:hAnsi="仿宋_GB2312" w:cs="仿宋_GB2312"/>
          <w:w w:val="90"/>
          <w:szCs w:val="32"/>
          <w:u w:val="single"/>
        </w:rPr>
        <w:t xml:space="preserve">  </w:t>
      </w:r>
    </w:p>
    <w:p>
      <w:pPr>
        <w:spacing w:line="560" w:lineRule="exact"/>
        <w:ind w:firstLine="624" w:firstLineChars="200"/>
        <w:rPr>
          <w:rFonts w:hint="eastAsia" w:ascii="仿宋_GB2312" w:hAnsi="仿宋_GB2312" w:cs="仿宋_GB2312"/>
          <w:szCs w:val="32"/>
          <w:u w:val="single"/>
        </w:rPr>
      </w:pPr>
      <w:r>
        <w:rPr>
          <w:rFonts w:hint="eastAsia" w:ascii="仿宋_GB2312" w:hAnsi="仿宋_GB2312" w:cs="仿宋_GB2312"/>
          <w:szCs w:val="32"/>
        </w:rPr>
        <w:t>总用地面积（平方米）：</w:t>
      </w:r>
      <w:r>
        <w:rPr>
          <w:rFonts w:hint="eastAsia" w:ascii="仿宋_GB2312" w:hAnsi="仿宋_GB2312" w:cs="仿宋_GB2312"/>
          <w:szCs w:val="32"/>
          <w:u w:val="single"/>
        </w:rPr>
        <w:t xml:space="preserve">  3680.06                             </w:t>
      </w:r>
    </w:p>
    <w:p>
      <w:pPr>
        <w:spacing w:line="560" w:lineRule="exact"/>
        <w:ind w:firstLine="624" w:firstLineChars="200"/>
        <w:rPr>
          <w:rFonts w:hint="eastAsia" w:ascii="仿宋_GB2312" w:hAnsi="仿宋_GB2312" w:cs="仿宋_GB2312"/>
          <w:szCs w:val="32"/>
          <w:u w:val="single"/>
        </w:rPr>
      </w:pPr>
      <w:r>
        <w:rPr>
          <w:rFonts w:hint="eastAsia" w:ascii="仿宋_GB2312" w:hAnsi="仿宋_GB2312" w:cs="仿宋_GB2312"/>
          <w:szCs w:val="32"/>
        </w:rPr>
        <w:t>总建筑面积（平方米）：</w:t>
      </w:r>
      <w:r>
        <w:rPr>
          <w:rFonts w:hint="eastAsia" w:ascii="仿宋_GB2312" w:hAnsi="仿宋_GB2312" w:cs="仿宋_GB2312"/>
          <w:szCs w:val="32"/>
          <w:u w:val="single"/>
        </w:rPr>
        <w:t xml:space="preserve">  28,200                        </w:t>
      </w:r>
    </w:p>
    <w:p>
      <w:pPr>
        <w:spacing w:line="600" w:lineRule="exact"/>
        <w:ind w:firstLine="624" w:firstLineChars="200"/>
        <w:rPr>
          <w:rFonts w:hint="eastAsia" w:ascii="仿宋_GB2312" w:hAnsi="仿宋_GB2312" w:cs="仿宋_GB2312"/>
          <w:bCs/>
          <w:color w:val="000000"/>
          <w:szCs w:val="32"/>
          <w:u w:val="single"/>
        </w:rPr>
      </w:pPr>
      <w:r>
        <w:rPr>
          <w:rFonts w:hint="eastAsia" w:ascii="仿宋_GB2312" w:hAnsi="仿宋_GB2312" w:cs="仿宋_GB2312"/>
          <w:szCs w:val="32"/>
        </w:rPr>
        <w:t>项目名称：</w:t>
      </w:r>
      <w:r>
        <w:rPr>
          <w:rFonts w:hint="eastAsia" w:ascii="仿宋_GB2312" w:hAnsi="仿宋_GB2312" w:cs="仿宋_GB2312"/>
          <w:szCs w:val="32"/>
          <w:u w:val="single"/>
        </w:rPr>
        <w:t xml:space="preserve"> </w:t>
      </w:r>
      <w:r>
        <w:rPr>
          <w:rFonts w:hint="eastAsia" w:ascii="仿宋_GB2312" w:hAnsi="仿宋_GB2312" w:cs="仿宋_GB2312"/>
          <w:bCs/>
          <w:color w:val="000000"/>
          <w:szCs w:val="32"/>
          <w:u w:val="single"/>
        </w:rPr>
        <w:t xml:space="preserve"> 珠宝产业中心项目</w:t>
      </w:r>
    </w:p>
    <w:p>
      <w:pPr>
        <w:spacing w:line="560" w:lineRule="exact"/>
        <w:ind w:firstLine="624" w:firstLineChars="200"/>
        <w:rPr>
          <w:rFonts w:hint="eastAsia" w:ascii="仿宋_GB2312" w:hAnsi="仿宋_GB2312" w:cs="仿宋_GB2312"/>
          <w:szCs w:val="32"/>
          <w:u w:val="single"/>
        </w:rPr>
      </w:pPr>
      <w:r>
        <w:rPr>
          <w:rFonts w:hint="eastAsia" w:ascii="仿宋_GB2312" w:hAnsi="仿宋_GB2312" w:cs="仿宋_GB2312"/>
          <w:szCs w:val="32"/>
        </w:rPr>
        <w:t>土地出让年期：</w:t>
      </w:r>
      <w:r>
        <w:rPr>
          <w:rFonts w:hint="eastAsia" w:ascii="仿宋_GB2312" w:hAnsi="仿宋_GB2312" w:cs="仿宋_GB2312"/>
          <w:szCs w:val="32"/>
          <w:u w:val="single"/>
        </w:rPr>
        <w:t xml:space="preserve">  30  </w:t>
      </w:r>
      <w:r>
        <w:rPr>
          <w:rFonts w:hint="eastAsia" w:ascii="仿宋_GB2312" w:hAnsi="仿宋_GB2312" w:cs="仿宋_GB2312"/>
          <w:szCs w:val="32"/>
        </w:rPr>
        <w:t>年</w:t>
      </w:r>
    </w:p>
    <w:p>
      <w:pPr>
        <w:spacing w:line="600" w:lineRule="exact"/>
        <w:ind w:firstLine="624" w:firstLineChars="200"/>
        <w:rPr>
          <w:rFonts w:hint="eastAsia" w:ascii="仿宋_GB2312" w:hAnsi="楷体" w:eastAsia="仿宋_GB2312"/>
          <w:sz w:val="32"/>
          <w:szCs w:val="32"/>
          <w:highlight w:val="none"/>
          <w:u w:val="single"/>
          <w:lang w:eastAsia="zh-CN"/>
        </w:rPr>
      </w:pPr>
      <w:r>
        <w:rPr>
          <w:rFonts w:hint="eastAsia" w:ascii="仿宋_GB2312" w:hAnsi="仿宋_GB2312" w:cs="仿宋_GB2312"/>
          <w:szCs w:val="32"/>
          <w:highlight w:val="none"/>
        </w:rPr>
        <w:t>产业准入行业类别：</w:t>
      </w:r>
      <w:r>
        <w:rPr>
          <w:rFonts w:hint="eastAsia" w:ascii="仿宋_GB2312" w:hAnsi="楷体" w:eastAsia="仿宋_GB2312"/>
          <w:sz w:val="32"/>
          <w:szCs w:val="32"/>
          <w:highlight w:val="none"/>
          <w:u w:val="single"/>
          <w:lang w:eastAsia="zh-CN"/>
        </w:rPr>
        <w:t>《深圳市产业结构调整优化和产业导向目录（2016年修订）》——A05文化创意产业</w:t>
      </w:r>
      <w:r>
        <w:rPr>
          <w:rFonts w:hint="eastAsia" w:ascii="仿宋_GB2312" w:hAnsi="仿宋_GB2312" w:cs="仿宋_GB2312"/>
          <w:bCs/>
          <w:sz w:val="32"/>
          <w:szCs w:val="32"/>
          <w:u w:val="single"/>
          <w:lang w:eastAsia="zh-CN"/>
        </w:rPr>
        <w:t>（</w:t>
      </w:r>
      <w:r>
        <w:rPr>
          <w:rFonts w:hint="eastAsia" w:ascii="FangSong_GB2312" w:hAnsi="FangSong_GB2312" w:eastAsia="FangSong_GB2312"/>
          <w:sz w:val="32"/>
          <w:u w:val="single"/>
        </w:rPr>
        <w:t>战略性新兴产业</w:t>
      </w:r>
      <w:r>
        <w:rPr>
          <w:rFonts w:hint="eastAsia" w:ascii="仿宋_GB2312" w:hAnsi="仿宋_GB2312" w:cs="仿宋_GB2312"/>
          <w:bCs/>
          <w:sz w:val="32"/>
          <w:szCs w:val="32"/>
          <w:u w:val="single"/>
          <w:lang w:eastAsia="zh-CN"/>
        </w:rPr>
        <w:t>）</w:t>
      </w:r>
    </w:p>
    <w:p>
      <w:pPr>
        <w:spacing w:line="600" w:lineRule="exact"/>
        <w:ind w:firstLine="624" w:firstLineChars="200"/>
        <w:rPr>
          <w:rFonts w:ascii="仿宋_GB2312" w:hAnsi="楷体"/>
          <w:szCs w:val="32"/>
        </w:rPr>
      </w:pPr>
      <w:r>
        <w:rPr>
          <w:rFonts w:hint="eastAsia" w:ascii="仿宋_GB2312" w:hAnsi="楷体"/>
          <w:szCs w:val="32"/>
        </w:rPr>
        <w:t>建设内容：</w:t>
      </w:r>
      <w:r>
        <w:rPr>
          <w:rFonts w:hint="eastAsia" w:ascii="仿宋_GB2312" w:hAnsi="楷体" w:eastAsia="仿宋_GB2312"/>
          <w:sz w:val="32"/>
          <w:szCs w:val="32"/>
          <w:u w:val="single"/>
        </w:rPr>
        <w:t>该项目拟建设成为集</w:t>
      </w:r>
      <w:r>
        <w:rPr>
          <w:rFonts w:hint="eastAsia" w:ascii="仿宋_GB2312" w:hAnsi="楷体" w:eastAsia="仿宋_GB2312"/>
          <w:sz w:val="32"/>
          <w:szCs w:val="32"/>
          <w:u w:val="single"/>
          <w:lang w:eastAsia="zh-CN"/>
        </w:rPr>
        <w:t>黄金珠宝</w:t>
      </w:r>
      <w:r>
        <w:rPr>
          <w:rFonts w:hint="eastAsia" w:ascii="仿宋_GB2312" w:hAnsi="楷体" w:eastAsia="仿宋_GB2312"/>
          <w:sz w:val="32"/>
          <w:szCs w:val="32"/>
          <w:u w:val="single"/>
        </w:rPr>
        <w:t>研发设计、</w:t>
      </w:r>
      <w:r>
        <w:rPr>
          <w:rFonts w:hint="eastAsia" w:ascii="仿宋_GB2312" w:hAnsi="楷体" w:eastAsia="仿宋_GB2312"/>
          <w:sz w:val="32"/>
          <w:szCs w:val="32"/>
          <w:u w:val="single"/>
          <w:lang w:eastAsia="zh-CN"/>
        </w:rPr>
        <w:t>智能制造、</w:t>
      </w:r>
      <w:r>
        <w:rPr>
          <w:rFonts w:hint="eastAsia" w:ascii="仿宋_GB2312" w:hAnsi="楷体" w:eastAsia="仿宋_GB2312"/>
          <w:sz w:val="32"/>
          <w:szCs w:val="32"/>
          <w:u w:val="single"/>
        </w:rPr>
        <w:t>数字化运营、综合配套服务等功能为一体的珠宝产业中心大厦。</w:t>
      </w:r>
    </w:p>
    <w:p>
      <w:pPr>
        <w:spacing w:line="560" w:lineRule="exact"/>
        <w:ind w:firstLine="624" w:firstLineChars="200"/>
        <w:rPr>
          <w:rFonts w:hint="eastAsia" w:ascii="仿宋_GB2312" w:hAnsi="仿宋_GB2312" w:cs="仿宋_GB2312"/>
          <w:szCs w:val="32"/>
        </w:rPr>
      </w:pPr>
      <w:r>
        <w:rPr>
          <w:rFonts w:hint="eastAsia" w:ascii="黑体" w:hAnsi="黑体" w:eastAsia="黑体" w:cs="黑体"/>
          <w:szCs w:val="32"/>
        </w:rPr>
        <w:t>二、甲方权利和义务</w:t>
      </w:r>
    </w:p>
    <w:p>
      <w:pPr>
        <w:spacing w:line="560" w:lineRule="exact"/>
        <w:ind w:firstLine="624" w:firstLineChars="200"/>
        <w:rPr>
          <w:rFonts w:hint="eastAsia" w:ascii="仿宋_GB2312" w:hAnsi="仿宋_GB2312" w:cs="仿宋_GB2312"/>
          <w:szCs w:val="32"/>
        </w:rPr>
      </w:pPr>
      <w:r>
        <w:rPr>
          <w:rFonts w:hint="eastAsia" w:ascii="仿宋_GB2312" w:hAnsi="仿宋_GB2312" w:cs="仿宋_GB2312"/>
          <w:szCs w:val="32"/>
        </w:rPr>
        <w:t>（一）甲方应在法律、法规允许范围内，根据深圳市和罗湖区产业发展战略和相关产业政策，为乙方的用地项目提供指导性服务。</w:t>
      </w:r>
    </w:p>
    <w:p>
      <w:pPr>
        <w:ind w:firstLine="624" w:firstLineChars="200"/>
        <w:jc w:val="left"/>
      </w:pPr>
      <w:r>
        <w:rPr>
          <w:rFonts w:hint="eastAsia" w:ascii="仿宋_GB2312" w:hAnsi="仿宋_GB2312" w:cs="仿宋_GB2312"/>
          <w:szCs w:val="32"/>
        </w:rPr>
        <w:t>（二）甲方应当对乙方实行全出让年期考核监管，在乙方自签订土地使用权出让合同</w:t>
      </w:r>
      <w:r>
        <w:rPr>
          <w:rFonts w:hint="eastAsia" w:ascii="仿宋_GB2312" w:hAnsi="楷体"/>
          <w:szCs w:val="32"/>
        </w:rPr>
        <w:t>书</w:t>
      </w:r>
      <w:r>
        <w:rPr>
          <w:rFonts w:hint="eastAsia" w:ascii="仿宋_GB2312" w:hAnsi="仿宋_GB2312" w:cs="仿宋_GB2312"/>
          <w:szCs w:val="32"/>
        </w:rPr>
        <w:t>之日起的第1、3、5、10、15、20、25、30个完整会计年度次年3月31日前、竣工后1年内、竣工后每隔5年、出让年期届满前1年等阶段，对本协议约定事项的履行情况进行核查。如乙方未达到本协议承诺条件和有关约定的，甲方可按照本协议约定的违约责任追究乙方的责任。甲方可依法委托相关专业机构代为主张权利或履行义务。</w:t>
      </w:r>
      <w:r>
        <w:rPr>
          <w:rFonts w:hint="eastAsia"/>
        </w:rPr>
        <w:t>甲方认为有必要的，可在前述约定核查时间外的年份组织核查，也可依乙方申请进行核查。</w:t>
      </w:r>
    </w:p>
    <w:p>
      <w:pPr>
        <w:ind w:firstLine="624" w:firstLineChars="200"/>
        <w:jc w:val="left"/>
        <w:rPr>
          <w:rFonts w:hint="eastAsia" w:ascii="黑体" w:hAnsi="黑体" w:eastAsia="黑体" w:cs="黑体"/>
          <w:szCs w:val="32"/>
        </w:rPr>
      </w:pPr>
      <w:r>
        <w:rPr>
          <w:rFonts w:hint="eastAsia"/>
        </w:rPr>
        <w:t>（三）甲方享有基于公共利益或维护法定权益需要单方变更、终止本协议的权利。</w:t>
      </w:r>
    </w:p>
    <w:p>
      <w:pPr>
        <w:spacing w:line="560" w:lineRule="exact"/>
        <w:ind w:firstLine="624" w:firstLineChars="200"/>
        <w:rPr>
          <w:rFonts w:hint="eastAsia" w:ascii="黑体" w:hAnsi="黑体" w:eastAsia="黑体" w:cs="黑体"/>
          <w:szCs w:val="32"/>
        </w:rPr>
      </w:pPr>
      <w:r>
        <w:rPr>
          <w:rFonts w:hint="eastAsia" w:ascii="黑体" w:hAnsi="黑体" w:eastAsia="黑体" w:cs="黑体"/>
          <w:szCs w:val="32"/>
        </w:rPr>
        <w:t>三、乙方的权利和义务</w:t>
      </w:r>
    </w:p>
    <w:p>
      <w:pPr>
        <w:spacing w:line="560" w:lineRule="exact"/>
        <w:ind w:firstLine="624" w:firstLineChars="200"/>
        <w:rPr>
          <w:rFonts w:hint="eastAsia" w:ascii="仿宋_GB2312" w:hAnsi="仿宋_GB2312" w:cs="仿宋_GB2312"/>
          <w:szCs w:val="32"/>
        </w:rPr>
      </w:pPr>
      <w:r>
        <w:rPr>
          <w:rFonts w:hint="eastAsia" w:ascii="仿宋_GB2312" w:hAnsi="仿宋_GB2312" w:cs="仿宋_GB2312"/>
          <w:szCs w:val="32"/>
        </w:rPr>
        <w:t>（一）乙方应当遵循《管理办法》及《遴选办法》的规定，按期全面履行本协议承诺和有关约定，积极推进本协议约定项目的投资建设。</w:t>
      </w:r>
    </w:p>
    <w:p>
      <w:pPr>
        <w:adjustRightInd w:val="0"/>
        <w:spacing w:line="560" w:lineRule="exact"/>
        <w:ind w:firstLine="624" w:firstLineChars="200"/>
        <w:rPr>
          <w:rFonts w:hint="eastAsia" w:ascii="仿宋_GB2312" w:hAnsi="楷体"/>
          <w:kern w:val="0"/>
          <w:szCs w:val="32"/>
        </w:rPr>
      </w:pPr>
      <w:r>
        <w:rPr>
          <w:rFonts w:hint="eastAsia" w:ascii="仿宋_GB2312" w:hAnsi="仿宋_GB2312" w:cs="仿宋_GB2312"/>
          <w:szCs w:val="32"/>
        </w:rPr>
        <w:t>（二）乙方竞买取得的上述地块只能用于本协议约定项目的建设。</w:t>
      </w:r>
      <w:r>
        <w:rPr>
          <w:rFonts w:hint="eastAsia" w:ascii="仿宋_GB2312" w:hAnsi="楷体"/>
          <w:kern w:val="0"/>
          <w:szCs w:val="32"/>
        </w:rPr>
        <w:t>未经有关部门批准，不得发展其他产业项目，不得转让</w:t>
      </w:r>
      <w:r>
        <w:rPr>
          <w:rFonts w:hint="eastAsia" w:ascii="仿宋_GB2312" w:hAnsi="仿宋_GB2312" w:cs="仿宋_GB2312"/>
          <w:szCs w:val="32"/>
        </w:rPr>
        <w:t>建设用地使用权以</w:t>
      </w:r>
      <w:r>
        <w:rPr>
          <w:rFonts w:hint="eastAsia" w:ascii="仿宋_GB2312" w:hAnsi="楷体"/>
          <w:kern w:val="0"/>
          <w:szCs w:val="32"/>
        </w:rPr>
        <w:t>及</w:t>
      </w:r>
      <w:r>
        <w:rPr>
          <w:rFonts w:hint="eastAsia" w:ascii="仿宋_GB2312" w:hAnsi="仿宋_GB2312" w:cs="仿宋_GB2312"/>
          <w:szCs w:val="32"/>
        </w:rPr>
        <w:t>附着于该土</w:t>
      </w:r>
      <w:r>
        <w:rPr>
          <w:rFonts w:hint="eastAsia" w:ascii="仿宋_GB2312" w:hAnsi="楷体"/>
          <w:kern w:val="0"/>
          <w:szCs w:val="32"/>
        </w:rPr>
        <w:t xml:space="preserve">地上的建（构）筑物及其附属设施。                                                 </w:t>
      </w:r>
    </w:p>
    <w:p>
      <w:pPr>
        <w:adjustRightInd w:val="0"/>
        <w:spacing w:line="560" w:lineRule="exact"/>
        <w:ind w:firstLine="624" w:firstLineChars="200"/>
        <w:rPr>
          <w:rFonts w:hint="eastAsia" w:ascii="仿宋_GB2312" w:hAnsi="仿宋_GB2312" w:cs="仿宋_GB2312"/>
          <w:szCs w:val="32"/>
        </w:rPr>
      </w:pPr>
      <w:r>
        <w:rPr>
          <w:rFonts w:hint="eastAsia" w:ascii="仿宋_GB2312" w:hAnsi="仿宋_GB2312" w:cs="仿宋_GB2312"/>
          <w:szCs w:val="32"/>
        </w:rPr>
        <w:t>（三）乙方在签订土地使用权出让合同</w:t>
      </w:r>
      <w:r>
        <w:rPr>
          <w:rFonts w:hint="eastAsia" w:ascii="仿宋_GB2312" w:hAnsi="楷体"/>
          <w:szCs w:val="32"/>
        </w:rPr>
        <w:t>书</w:t>
      </w:r>
      <w:r>
        <w:rPr>
          <w:rFonts w:hint="eastAsia" w:ascii="仿宋_GB2312" w:hAnsi="仿宋_GB2312" w:cs="仿宋_GB2312"/>
          <w:szCs w:val="32"/>
        </w:rPr>
        <w:t>后，应在</w:t>
      </w:r>
      <w:r>
        <w:rPr>
          <w:rFonts w:hint="eastAsia"/>
        </w:rPr>
        <w:t>每季度首月15日前</w:t>
      </w:r>
      <w:r>
        <w:rPr>
          <w:rFonts w:hint="eastAsia" w:ascii="仿宋_GB2312" w:hAnsi="仿宋_GB2312" w:cs="仿宋_GB2312"/>
          <w:szCs w:val="32"/>
        </w:rPr>
        <w:t>向甲方书面报告项目建设进展情况，直至项目竣工。</w:t>
      </w:r>
    </w:p>
    <w:p>
      <w:pPr>
        <w:spacing w:line="560" w:lineRule="exact"/>
        <w:ind w:firstLine="624" w:firstLineChars="200"/>
        <w:rPr>
          <w:rFonts w:hint="eastAsia" w:ascii="仿宋_GB2312" w:hAnsi="仿宋_GB2312" w:cs="仿宋_GB2312"/>
          <w:szCs w:val="32"/>
        </w:rPr>
      </w:pPr>
      <w:r>
        <w:rPr>
          <w:rFonts w:hint="eastAsia" w:ascii="仿宋_GB2312" w:hAnsi="仿宋_GB2312" w:cs="仿宋_GB2312"/>
          <w:szCs w:val="32"/>
        </w:rPr>
        <w:t>（四）乙方承诺：</w:t>
      </w:r>
    </w:p>
    <w:p>
      <w:pPr>
        <w:spacing w:line="560" w:lineRule="exact"/>
        <w:ind w:firstLine="624" w:firstLineChars="200"/>
        <w:rPr>
          <w:rFonts w:hint="eastAsia" w:ascii="仿宋_GB2312" w:hAnsi="宋体"/>
        </w:rPr>
      </w:pPr>
      <w:r>
        <w:rPr>
          <w:rFonts w:hint="eastAsia" w:ascii="仿宋_GB2312" w:hAnsi="仿宋_GB2312" w:cs="仿宋_GB2312"/>
          <w:szCs w:val="32"/>
        </w:rPr>
        <w:t>1.</w:t>
      </w:r>
      <w:r>
        <w:rPr>
          <w:rFonts w:hint="eastAsia" w:ascii="仿宋_GB2312" w:hAnsi="楷体"/>
          <w:kern w:val="0"/>
          <w:szCs w:val="32"/>
        </w:rPr>
        <w:t>乙方注册住所、工商税务登记地和实际生产经营地在土地出让年期内不</w:t>
      </w:r>
      <w:r>
        <w:rPr>
          <w:rFonts w:hint="eastAsia" w:ascii="仿宋_GB2312" w:hAnsi="宋体"/>
        </w:rPr>
        <w:t>得变更到深圳市罗湖区以外地区。</w:t>
      </w:r>
    </w:p>
    <w:p>
      <w:pPr>
        <w:spacing w:line="560" w:lineRule="exact"/>
        <w:ind w:firstLine="624" w:firstLineChars="200"/>
        <w:rPr>
          <w:rFonts w:hint="eastAsia" w:ascii="仿宋_GB2312" w:hAnsi="仿宋_GB2312" w:eastAsia="仿宋_GB2312" w:cs="仿宋_GB2312"/>
          <w:szCs w:val="32"/>
          <w:lang w:eastAsia="zh-CN"/>
        </w:rPr>
      </w:pPr>
      <w:r>
        <w:rPr>
          <w:rFonts w:hint="eastAsia" w:ascii="仿宋_GB2312" w:hAnsi="仿宋_GB2312" w:cs="仿宋_GB2312"/>
          <w:szCs w:val="32"/>
        </w:rPr>
        <w:t>2.投产时间：</w:t>
      </w:r>
      <w:r>
        <w:rPr>
          <w:rFonts w:hint="eastAsia" w:ascii="仿宋_GB2312" w:hAnsi="仿宋_GB2312" w:cs="仿宋_GB2312"/>
          <w:color w:val="auto"/>
          <w:szCs w:val="32"/>
          <w:shd w:val="clear" w:color="auto" w:fill="auto"/>
          <w:lang w:eastAsia="zh-CN"/>
        </w:rPr>
        <w:t>项目竣工后半年内投产。</w:t>
      </w:r>
    </w:p>
    <w:p>
      <w:pPr>
        <w:spacing w:line="560" w:lineRule="exact"/>
        <w:ind w:firstLine="624" w:firstLineChars="200"/>
        <w:rPr>
          <w:rFonts w:hint="eastAsia" w:ascii="仿宋_GB2312" w:hAnsi="仿宋_GB2312" w:cs="仿宋_GB2312"/>
          <w:szCs w:val="32"/>
        </w:rPr>
      </w:pPr>
      <w:r>
        <w:rPr>
          <w:rFonts w:hint="eastAsia" w:ascii="仿宋_GB2312" w:hAnsi="仿宋_GB2312" w:cs="仿宋_GB2312"/>
          <w:szCs w:val="32"/>
        </w:rPr>
        <w:t>3.投资强度：乙方上述项目固定资产投资强度不低于</w:t>
      </w:r>
      <w:r>
        <w:rPr>
          <w:rFonts w:hint="eastAsia" w:ascii="仿宋_GB2312" w:hAnsi="仿宋_GB2312" w:cs="仿宋_GB2312"/>
          <w:szCs w:val="32"/>
          <w:u w:val="single"/>
        </w:rPr>
        <w:t>9</w:t>
      </w:r>
      <w:r>
        <w:rPr>
          <w:rFonts w:ascii="仿宋_GB2312" w:hAnsi="仿宋_GB2312" w:cs="仿宋_GB2312"/>
          <w:szCs w:val="32"/>
          <w:u w:val="single"/>
        </w:rPr>
        <w:t>.45</w:t>
      </w:r>
      <w:r>
        <w:rPr>
          <w:rFonts w:hint="eastAsia" w:ascii="仿宋_GB2312" w:hAnsi="仿宋"/>
          <w:szCs w:val="32"/>
        </w:rPr>
        <w:t>亿元/公顷（单位土地面积上的固定资产投资额，不含地价）</w:t>
      </w:r>
      <w:r>
        <w:rPr>
          <w:rFonts w:hint="eastAsia" w:ascii="仿宋_GB2312" w:hAnsi="仿宋_GB2312" w:cs="仿宋_GB2312"/>
          <w:szCs w:val="32"/>
        </w:rPr>
        <w:t>。</w:t>
      </w:r>
    </w:p>
    <w:p>
      <w:pPr>
        <w:spacing w:line="560" w:lineRule="exact"/>
        <w:ind w:firstLine="624" w:firstLineChars="200"/>
        <w:rPr>
          <w:rFonts w:hint="eastAsia" w:ascii="仿宋_GB2312" w:hAnsi="仿宋_GB2312" w:cs="仿宋_GB2312"/>
          <w:szCs w:val="32"/>
        </w:rPr>
      </w:pPr>
      <w:r>
        <w:rPr>
          <w:rFonts w:hint="eastAsia" w:ascii="仿宋_GB2312" w:hAnsi="仿宋_GB2312" w:cs="仿宋_GB2312"/>
          <w:szCs w:val="32"/>
        </w:rPr>
        <w:t>4.</w:t>
      </w:r>
      <w:r>
        <w:rPr>
          <w:rFonts w:hint="eastAsia" w:ascii="仿宋_GB2312" w:hAnsi="仿宋_GB2312" w:cs="仿宋_GB2312"/>
          <w:szCs w:val="32"/>
          <w:lang w:eastAsia="zh-CN"/>
        </w:rPr>
        <w:t>节能环保</w:t>
      </w:r>
      <w:r>
        <w:rPr>
          <w:rFonts w:hint="eastAsia" w:ascii="仿宋_GB2312" w:hAnsi="仿宋_GB2312" w:cs="仿宋_GB2312"/>
          <w:szCs w:val="32"/>
        </w:rPr>
        <w:t>：该项目</w:t>
      </w:r>
      <w:r>
        <w:rPr>
          <w:rFonts w:hint="eastAsia" w:ascii="仿宋_GB2312" w:hAnsi="仿宋_GB2312" w:cs="仿宋_GB2312"/>
          <w:szCs w:val="32"/>
          <w:lang w:eastAsia="zh-CN"/>
        </w:rPr>
        <w:t>增加</w:t>
      </w:r>
      <w:r>
        <w:rPr>
          <w:rFonts w:hint="eastAsia" w:ascii="仿宋_GB2312" w:hAnsi="仿宋_GB2312" w:cs="仿宋_GB2312"/>
          <w:szCs w:val="32"/>
        </w:rPr>
        <w:t>值能耗不高于0.</w:t>
      </w:r>
      <w:r>
        <w:rPr>
          <w:rFonts w:hint="eastAsia" w:ascii="仿宋_GB2312" w:hAnsi="仿宋_GB2312" w:cs="仿宋_GB2312"/>
          <w:szCs w:val="32"/>
          <w:lang w:val="en-US" w:eastAsia="zh-CN"/>
        </w:rPr>
        <w:t>0118</w:t>
      </w:r>
      <w:r>
        <w:rPr>
          <w:rFonts w:hint="eastAsia" w:ascii="仿宋_GB2312" w:hAnsi="仿宋_GB2312" w:cs="仿宋_GB2312"/>
          <w:szCs w:val="32"/>
        </w:rPr>
        <w:t>吨标准煤/万元。</w:t>
      </w:r>
    </w:p>
    <w:p>
      <w:pPr>
        <w:spacing w:line="600" w:lineRule="exact"/>
        <w:ind w:firstLine="624" w:firstLineChars="200"/>
        <w:rPr>
          <w:rFonts w:hint="eastAsia" w:ascii="仿宋_GB2312" w:hAnsi="楷体"/>
          <w:szCs w:val="32"/>
        </w:rPr>
      </w:pPr>
      <w:r>
        <w:rPr>
          <w:rFonts w:hint="eastAsia" w:ascii="仿宋_GB2312" w:hAnsi="仿宋_GB2312" w:cs="仿宋_GB2312"/>
          <w:szCs w:val="32"/>
        </w:rPr>
        <w:t>5.</w:t>
      </w:r>
      <w:r>
        <w:rPr>
          <w:rFonts w:hint="eastAsia" w:ascii="仿宋_GB2312" w:hAnsi="楷体"/>
          <w:szCs w:val="32"/>
        </w:rPr>
        <w:t>产值规模：</w:t>
      </w:r>
    </w:p>
    <w:p>
      <w:pPr>
        <w:spacing w:line="600" w:lineRule="exact"/>
        <w:ind w:firstLine="624" w:firstLineChars="200"/>
        <w:rPr>
          <w:rFonts w:hint="eastAsia" w:ascii="仿宋_GB2312" w:hAnsi="楷体"/>
          <w:szCs w:val="32"/>
        </w:rPr>
      </w:pPr>
      <w:r>
        <w:rPr>
          <w:rFonts w:hint="eastAsia" w:ascii="仿宋_GB2312" w:hAnsi="楷体"/>
          <w:szCs w:val="32"/>
          <w:lang w:eastAsia="zh-CN"/>
        </w:rPr>
        <w:t>（</w:t>
      </w:r>
      <w:r>
        <w:rPr>
          <w:rFonts w:hint="eastAsia" w:ascii="仿宋_GB2312" w:hAnsi="楷体"/>
          <w:szCs w:val="32"/>
          <w:lang w:val="en-US" w:eastAsia="zh-CN"/>
        </w:rPr>
        <w:t>1</w:t>
      </w:r>
      <w:r>
        <w:rPr>
          <w:rFonts w:hint="eastAsia" w:ascii="仿宋_GB2312" w:hAnsi="楷体"/>
          <w:szCs w:val="32"/>
          <w:lang w:eastAsia="zh-CN"/>
        </w:rPr>
        <w:t>）</w:t>
      </w:r>
      <w:r>
        <w:rPr>
          <w:rFonts w:hint="eastAsia" w:ascii="仿宋_GB2312" w:hAnsi="楷体"/>
          <w:szCs w:val="32"/>
        </w:rPr>
        <w:t>自签订土地使用权出让合同书之日起，</w:t>
      </w:r>
      <w:r>
        <w:rPr>
          <w:rFonts w:hint="eastAsia" w:ascii="仿宋_GB2312" w:hAnsi="楷体"/>
          <w:kern w:val="0"/>
          <w:szCs w:val="32"/>
        </w:rPr>
        <w:t>乙方</w:t>
      </w:r>
      <w:r>
        <w:rPr>
          <w:rFonts w:hint="eastAsia" w:ascii="仿宋_GB2312" w:hAnsi="楷体"/>
          <w:szCs w:val="32"/>
        </w:rPr>
        <w:t>第1个完整会计年度纳入罗湖区统计的产值</w:t>
      </w:r>
      <w:r>
        <w:rPr>
          <w:rFonts w:hint="eastAsia" w:ascii="仿宋_GB2312" w:hAnsi="仿宋_GB2312" w:eastAsia="仿宋_GB2312" w:cs="仿宋_GB2312"/>
          <w:bCs/>
          <w:color w:val="000000"/>
          <w:kern w:val="0"/>
          <w:sz w:val="32"/>
          <w:szCs w:val="32"/>
          <w:highlight w:val="none"/>
          <w:lang w:val="en-US" w:eastAsia="zh-CN" w:bidi="ar-SA"/>
        </w:rPr>
        <w:t>（总产值）</w:t>
      </w:r>
      <w:r>
        <w:rPr>
          <w:rFonts w:hint="eastAsia" w:ascii="仿宋_GB2312" w:hAnsi="楷体"/>
          <w:szCs w:val="32"/>
        </w:rPr>
        <w:t>规模不低于</w:t>
      </w:r>
      <w:r>
        <w:rPr>
          <w:rFonts w:hint="eastAsia" w:ascii="仿宋_GB2312" w:hAnsi="仿宋"/>
          <w:kern w:val="0"/>
          <w:szCs w:val="32"/>
        </w:rPr>
        <w:t>50亿元（大写：伍拾亿元整）</w:t>
      </w:r>
      <w:r>
        <w:rPr>
          <w:rFonts w:hint="eastAsia" w:ascii="仿宋_GB2312" w:hAnsi="楷体"/>
          <w:szCs w:val="32"/>
        </w:rPr>
        <w:t>，前3个完整会计年度内累计纳入罗湖区统计的产值</w:t>
      </w:r>
      <w:r>
        <w:rPr>
          <w:rFonts w:hint="eastAsia" w:ascii="仿宋_GB2312" w:hAnsi="仿宋_GB2312" w:eastAsia="仿宋_GB2312" w:cs="仿宋_GB2312"/>
          <w:bCs/>
          <w:color w:val="000000"/>
          <w:kern w:val="0"/>
          <w:sz w:val="32"/>
          <w:szCs w:val="32"/>
          <w:highlight w:val="none"/>
          <w:lang w:val="en-US" w:eastAsia="zh-CN" w:bidi="ar-SA"/>
        </w:rPr>
        <w:t>（总产值）</w:t>
      </w:r>
      <w:r>
        <w:rPr>
          <w:rFonts w:hint="eastAsia" w:ascii="仿宋_GB2312" w:hAnsi="楷体"/>
          <w:szCs w:val="32"/>
        </w:rPr>
        <w:t>规模不低于</w:t>
      </w:r>
      <w:r>
        <w:rPr>
          <w:rFonts w:hint="eastAsia" w:ascii="仿宋_GB2312" w:hAnsi="仿宋"/>
          <w:kern w:val="0"/>
          <w:szCs w:val="32"/>
          <w:highlight w:val="none"/>
          <w:lang w:val="en-US" w:eastAsia="zh-CN"/>
        </w:rPr>
        <w:t>160</w:t>
      </w:r>
      <w:r>
        <w:rPr>
          <w:rFonts w:hint="eastAsia" w:ascii="仿宋_GB2312" w:hAnsi="仿宋"/>
          <w:kern w:val="0"/>
          <w:szCs w:val="32"/>
          <w:highlight w:val="none"/>
        </w:rPr>
        <w:t>亿元（</w:t>
      </w:r>
      <w:r>
        <w:rPr>
          <w:rFonts w:hint="eastAsia" w:ascii="仿宋_GB2312" w:hAnsi="仿宋"/>
          <w:kern w:val="0"/>
          <w:szCs w:val="32"/>
        </w:rPr>
        <w:t>大写：壹佰</w:t>
      </w:r>
      <w:r>
        <w:rPr>
          <w:rFonts w:hint="eastAsia" w:ascii="仿宋_GB2312" w:hAnsi="仿宋"/>
          <w:kern w:val="0"/>
          <w:szCs w:val="32"/>
          <w:lang w:eastAsia="zh-CN"/>
        </w:rPr>
        <w:t>陆</w:t>
      </w:r>
      <w:r>
        <w:rPr>
          <w:rFonts w:hint="eastAsia" w:ascii="仿宋_GB2312" w:hAnsi="仿宋"/>
          <w:kern w:val="0"/>
          <w:szCs w:val="32"/>
        </w:rPr>
        <w:t>拾亿元整）</w:t>
      </w:r>
      <w:r>
        <w:rPr>
          <w:rFonts w:hint="eastAsia" w:ascii="仿宋_GB2312" w:hAnsi="楷体"/>
          <w:szCs w:val="32"/>
        </w:rPr>
        <w:t>，前5个完整会计年度内累计纳入罗湖区统计的产值</w:t>
      </w:r>
      <w:r>
        <w:rPr>
          <w:rFonts w:hint="eastAsia" w:ascii="仿宋_GB2312" w:hAnsi="仿宋_GB2312" w:eastAsia="仿宋_GB2312" w:cs="仿宋_GB2312"/>
          <w:bCs/>
          <w:color w:val="000000"/>
          <w:kern w:val="0"/>
          <w:sz w:val="32"/>
          <w:szCs w:val="32"/>
          <w:highlight w:val="none"/>
          <w:lang w:val="en-US" w:eastAsia="zh-CN" w:bidi="ar-SA"/>
        </w:rPr>
        <w:t>（总产值）</w:t>
      </w:r>
      <w:r>
        <w:rPr>
          <w:rFonts w:hint="eastAsia" w:ascii="仿宋_GB2312" w:hAnsi="楷体"/>
          <w:szCs w:val="32"/>
        </w:rPr>
        <w:t>规模不低于</w:t>
      </w:r>
      <w:r>
        <w:rPr>
          <w:rFonts w:hint="eastAsia" w:ascii="仿宋_GB2312" w:hAnsi="仿宋"/>
          <w:kern w:val="0"/>
          <w:szCs w:val="32"/>
          <w:highlight w:val="none"/>
        </w:rPr>
        <w:t>3</w:t>
      </w:r>
      <w:r>
        <w:rPr>
          <w:rFonts w:hint="eastAsia" w:ascii="仿宋_GB2312" w:hAnsi="仿宋"/>
          <w:kern w:val="0"/>
          <w:szCs w:val="32"/>
          <w:highlight w:val="none"/>
          <w:lang w:val="en-US" w:eastAsia="zh-CN"/>
        </w:rPr>
        <w:t>2</w:t>
      </w:r>
      <w:r>
        <w:rPr>
          <w:rFonts w:hint="eastAsia" w:ascii="仿宋_GB2312" w:hAnsi="仿宋"/>
          <w:kern w:val="0"/>
          <w:szCs w:val="32"/>
          <w:highlight w:val="none"/>
        </w:rPr>
        <w:t>0亿元（大</w:t>
      </w:r>
      <w:r>
        <w:rPr>
          <w:rFonts w:hint="eastAsia" w:ascii="仿宋_GB2312" w:hAnsi="仿宋"/>
          <w:kern w:val="0"/>
          <w:szCs w:val="32"/>
        </w:rPr>
        <w:t>写：叁佰</w:t>
      </w:r>
      <w:r>
        <w:rPr>
          <w:rFonts w:hint="eastAsia" w:ascii="仿宋_GB2312" w:hAnsi="仿宋"/>
          <w:kern w:val="0"/>
          <w:szCs w:val="32"/>
          <w:lang w:eastAsia="zh-CN"/>
        </w:rPr>
        <w:t>贰</w:t>
      </w:r>
      <w:r>
        <w:rPr>
          <w:rFonts w:hint="eastAsia" w:ascii="仿宋_GB2312" w:hAnsi="仿宋"/>
          <w:kern w:val="0"/>
          <w:szCs w:val="32"/>
        </w:rPr>
        <w:t>拾亿元整）</w:t>
      </w:r>
      <w:r>
        <w:rPr>
          <w:rFonts w:hint="eastAsia" w:ascii="仿宋_GB2312" w:hAnsi="楷体"/>
          <w:szCs w:val="32"/>
        </w:rPr>
        <w:t>。</w:t>
      </w:r>
    </w:p>
    <w:p>
      <w:pPr>
        <w:spacing w:line="600" w:lineRule="exact"/>
        <w:ind w:firstLine="624" w:firstLineChars="200"/>
        <w:rPr>
          <w:rFonts w:hint="eastAsia" w:ascii="仿宋_GB2312" w:hAnsi="楷体"/>
          <w:szCs w:val="32"/>
          <w:lang w:eastAsia="zh-CN"/>
        </w:rPr>
      </w:pPr>
      <w:r>
        <w:rPr>
          <w:rFonts w:hint="eastAsia" w:ascii="仿宋_GB2312" w:hAnsi="楷体"/>
          <w:szCs w:val="32"/>
        </w:rPr>
        <w:t>（2）自签订土地使用权出让合同书之日起，乙方自第6个完整会计年度起至土地出让年期届满期间纳入罗湖区统计的产值</w:t>
      </w:r>
      <w:r>
        <w:rPr>
          <w:rFonts w:hint="eastAsia" w:ascii="仿宋_GB2312" w:hAnsi="楷体"/>
          <w:szCs w:val="32"/>
          <w:lang w:val="en-US" w:eastAsia="zh-CN"/>
        </w:rPr>
        <w:t>（总产值）</w:t>
      </w:r>
      <w:r>
        <w:rPr>
          <w:rFonts w:hint="eastAsia" w:ascii="仿宋_GB2312" w:hAnsi="楷体"/>
          <w:szCs w:val="32"/>
        </w:rPr>
        <w:t>规模不低于</w:t>
      </w:r>
      <w:r>
        <w:rPr>
          <w:rFonts w:hint="eastAsia" w:ascii="仿宋_GB2312" w:hAnsi="楷体"/>
          <w:szCs w:val="32"/>
          <w:lang w:val="en-US" w:eastAsia="zh-CN"/>
        </w:rPr>
        <w:t>90</w:t>
      </w:r>
      <w:r>
        <w:rPr>
          <w:rFonts w:hint="eastAsia" w:ascii="仿宋_GB2312" w:hAnsi="楷体"/>
          <w:szCs w:val="32"/>
        </w:rPr>
        <w:t>0亿元（大写：</w:t>
      </w:r>
      <w:r>
        <w:rPr>
          <w:rFonts w:hint="eastAsia" w:ascii="仿宋_GB2312" w:hAnsi="楷体"/>
          <w:szCs w:val="32"/>
          <w:lang w:eastAsia="zh-CN"/>
        </w:rPr>
        <w:t>玖佰</w:t>
      </w:r>
      <w:r>
        <w:rPr>
          <w:rFonts w:hint="eastAsia" w:ascii="仿宋_GB2312" w:hAnsi="楷体"/>
          <w:szCs w:val="32"/>
        </w:rPr>
        <w:t>亿元整）</w:t>
      </w:r>
      <w:r>
        <w:rPr>
          <w:rFonts w:hint="eastAsia" w:ascii="仿宋_GB2312" w:hAnsi="楷体"/>
          <w:szCs w:val="32"/>
          <w:lang w:eastAsia="zh-CN"/>
        </w:rPr>
        <w:t>，即年平均</w:t>
      </w:r>
      <w:r>
        <w:rPr>
          <w:rFonts w:hint="eastAsia" w:ascii="仿宋_GB2312" w:hAnsi="楷体"/>
          <w:szCs w:val="32"/>
        </w:rPr>
        <w:t>产值</w:t>
      </w:r>
      <w:r>
        <w:rPr>
          <w:rFonts w:hint="eastAsia" w:ascii="仿宋_GB2312" w:hAnsi="楷体"/>
          <w:szCs w:val="32"/>
          <w:lang w:val="en-US" w:eastAsia="zh-CN"/>
        </w:rPr>
        <w:t>（总产值）</w:t>
      </w:r>
      <w:r>
        <w:rPr>
          <w:rFonts w:hint="eastAsia" w:ascii="仿宋_GB2312" w:hAnsi="楷体"/>
          <w:szCs w:val="32"/>
        </w:rPr>
        <w:t>规模不低于</w:t>
      </w:r>
      <w:r>
        <w:rPr>
          <w:rFonts w:hint="eastAsia" w:ascii="仿宋_GB2312" w:hAnsi="楷体"/>
          <w:szCs w:val="32"/>
          <w:lang w:val="en-US" w:eastAsia="zh-CN"/>
        </w:rPr>
        <w:t>36</w:t>
      </w:r>
      <w:r>
        <w:rPr>
          <w:rFonts w:hint="eastAsia" w:ascii="仿宋_GB2312" w:hAnsi="楷体"/>
          <w:szCs w:val="32"/>
        </w:rPr>
        <w:t>亿元（大写：</w:t>
      </w:r>
      <w:r>
        <w:rPr>
          <w:rFonts w:hint="eastAsia" w:ascii="仿宋_GB2312" w:hAnsi="楷体"/>
          <w:szCs w:val="32"/>
          <w:lang w:eastAsia="zh-CN"/>
        </w:rPr>
        <w:t>叁</w:t>
      </w:r>
      <w:r>
        <w:rPr>
          <w:rFonts w:hint="eastAsia" w:ascii="仿宋_GB2312" w:hAnsi="楷体"/>
          <w:szCs w:val="32"/>
        </w:rPr>
        <w:t>拾</w:t>
      </w:r>
      <w:r>
        <w:rPr>
          <w:rFonts w:hint="eastAsia" w:ascii="仿宋_GB2312" w:hAnsi="楷体"/>
          <w:szCs w:val="32"/>
          <w:lang w:eastAsia="zh-CN"/>
        </w:rPr>
        <w:t>陆</w:t>
      </w:r>
      <w:r>
        <w:rPr>
          <w:rFonts w:hint="eastAsia" w:ascii="仿宋_GB2312" w:hAnsi="楷体"/>
          <w:szCs w:val="32"/>
        </w:rPr>
        <w:t>亿元整）</w:t>
      </w:r>
      <w:r>
        <w:rPr>
          <w:rFonts w:hint="eastAsia" w:ascii="仿宋_GB2312" w:hAnsi="楷体"/>
          <w:szCs w:val="32"/>
          <w:lang w:eastAsia="zh-CN"/>
        </w:rPr>
        <w:t>。</w:t>
      </w:r>
    </w:p>
    <w:p>
      <w:pPr>
        <w:spacing w:line="600" w:lineRule="exact"/>
        <w:ind w:firstLine="624" w:firstLineChars="200"/>
        <w:rPr>
          <w:rFonts w:hint="eastAsia" w:ascii="仿宋_GB2312" w:hAnsi="楷体"/>
          <w:szCs w:val="32"/>
        </w:rPr>
      </w:pPr>
      <w:r>
        <w:rPr>
          <w:rFonts w:hint="eastAsia" w:ascii="仿宋_GB2312" w:hAnsi="楷体"/>
          <w:szCs w:val="32"/>
        </w:rPr>
        <w:t>6.税收规模：（1）自签订土地使用权出让合同书之日起，乙方第1个完整会计年度在罗湖区纳税总额不低于2.</w:t>
      </w:r>
      <w:r>
        <w:rPr>
          <w:rFonts w:hint="default" w:ascii="仿宋_GB2312" w:hAnsi="楷体"/>
          <w:szCs w:val="32"/>
          <w:lang w:val="en"/>
        </w:rPr>
        <w:t>4</w:t>
      </w:r>
      <w:r>
        <w:rPr>
          <w:rFonts w:hint="eastAsia" w:ascii="仿宋_GB2312" w:hAnsi="楷体"/>
          <w:szCs w:val="32"/>
        </w:rPr>
        <w:t>亿元（大写：</w:t>
      </w:r>
      <w:r>
        <w:rPr>
          <w:rFonts w:hint="eastAsia" w:ascii="仿宋_GB2312" w:hAnsi="楷体"/>
          <w:szCs w:val="32"/>
          <w:lang w:eastAsia="zh-CN"/>
        </w:rPr>
        <w:t>贰</w:t>
      </w:r>
      <w:r>
        <w:rPr>
          <w:rFonts w:hint="eastAsia" w:ascii="仿宋_GB2312" w:hAnsi="楷体"/>
          <w:szCs w:val="32"/>
        </w:rPr>
        <w:t>亿</w:t>
      </w:r>
      <w:r>
        <w:rPr>
          <w:rFonts w:hint="eastAsia" w:ascii="仿宋_GB2312" w:hAnsi="楷体"/>
          <w:szCs w:val="32"/>
          <w:lang w:val="en-US" w:eastAsia="zh-CN"/>
        </w:rPr>
        <w:t>肆</w:t>
      </w:r>
      <w:r>
        <w:rPr>
          <w:rFonts w:hint="eastAsia" w:ascii="仿宋_GB2312" w:hAnsi="楷体"/>
          <w:szCs w:val="32"/>
          <w:lang w:eastAsia="zh-CN"/>
        </w:rPr>
        <w:t>仟万</w:t>
      </w:r>
      <w:r>
        <w:rPr>
          <w:rFonts w:hint="eastAsia" w:ascii="仿宋_GB2312" w:hAnsi="楷体"/>
          <w:szCs w:val="32"/>
        </w:rPr>
        <w:t>元整），3个完整会计年度内累计在罗湖区纳税总额不低于</w:t>
      </w:r>
      <w:r>
        <w:rPr>
          <w:rFonts w:hint="default" w:ascii="仿宋_GB2312" w:hAnsi="楷体"/>
          <w:szCs w:val="32"/>
          <w:lang w:val="en" w:eastAsia="zh-CN"/>
        </w:rPr>
        <w:t>7</w:t>
      </w:r>
      <w:r>
        <w:rPr>
          <w:rFonts w:hint="eastAsia" w:ascii="仿宋_GB2312" w:hAnsi="楷体"/>
          <w:szCs w:val="32"/>
          <w:lang w:val="en-US" w:eastAsia="zh-CN"/>
        </w:rPr>
        <w:t>.5</w:t>
      </w:r>
      <w:r>
        <w:rPr>
          <w:rFonts w:hint="eastAsia" w:ascii="仿宋_GB2312" w:hAnsi="楷体"/>
          <w:szCs w:val="32"/>
        </w:rPr>
        <w:t>亿元（大写：</w:t>
      </w:r>
      <w:r>
        <w:rPr>
          <w:rFonts w:hint="eastAsia" w:ascii="仿宋_GB2312" w:hAnsi="楷体"/>
          <w:szCs w:val="32"/>
          <w:lang w:val="en-US" w:eastAsia="zh-CN"/>
        </w:rPr>
        <w:t>柒</w:t>
      </w:r>
      <w:r>
        <w:rPr>
          <w:rFonts w:hint="eastAsia" w:ascii="仿宋_GB2312" w:hAnsi="楷体"/>
          <w:szCs w:val="32"/>
        </w:rPr>
        <w:t>亿</w:t>
      </w:r>
      <w:r>
        <w:rPr>
          <w:rFonts w:hint="eastAsia" w:ascii="仿宋_GB2312" w:hAnsi="楷体"/>
          <w:szCs w:val="32"/>
          <w:lang w:eastAsia="zh-CN"/>
        </w:rPr>
        <w:t>伍仟万</w:t>
      </w:r>
      <w:r>
        <w:rPr>
          <w:rFonts w:hint="eastAsia" w:ascii="仿宋_GB2312" w:hAnsi="楷体"/>
          <w:szCs w:val="32"/>
        </w:rPr>
        <w:t>元整），5个完整会计年度内累计在罗湖区纳税总额不低于</w:t>
      </w:r>
      <w:r>
        <w:rPr>
          <w:rFonts w:hint="eastAsia" w:ascii="仿宋_GB2312" w:hAnsi="楷体"/>
          <w:szCs w:val="32"/>
          <w:lang w:val="en-US" w:eastAsia="zh-CN"/>
        </w:rPr>
        <w:t>1</w:t>
      </w:r>
      <w:r>
        <w:rPr>
          <w:rFonts w:hint="default" w:ascii="仿宋_GB2312" w:hAnsi="楷体"/>
          <w:szCs w:val="32"/>
          <w:lang w:val="en" w:eastAsia="zh-CN"/>
        </w:rPr>
        <w:t>3</w:t>
      </w:r>
      <w:r>
        <w:rPr>
          <w:rFonts w:hint="eastAsia" w:ascii="仿宋_GB2312" w:hAnsi="楷体"/>
          <w:szCs w:val="32"/>
        </w:rPr>
        <w:t>亿元（大写：</w:t>
      </w:r>
      <w:r>
        <w:rPr>
          <w:rFonts w:hint="eastAsia" w:ascii="仿宋_GB2312" w:hAnsi="楷体"/>
          <w:szCs w:val="32"/>
          <w:lang w:eastAsia="zh-CN"/>
        </w:rPr>
        <w:t>壹拾</w:t>
      </w:r>
      <w:r>
        <w:rPr>
          <w:rFonts w:hint="eastAsia" w:ascii="仿宋_GB2312" w:hAnsi="楷体"/>
          <w:szCs w:val="32"/>
          <w:lang w:val="en-US" w:eastAsia="zh-CN"/>
        </w:rPr>
        <w:t>叁</w:t>
      </w:r>
      <w:r>
        <w:rPr>
          <w:rFonts w:hint="eastAsia" w:ascii="仿宋_GB2312" w:hAnsi="楷体"/>
          <w:szCs w:val="32"/>
        </w:rPr>
        <w:t>亿元整）。</w:t>
      </w:r>
    </w:p>
    <w:p>
      <w:pPr>
        <w:spacing w:line="600" w:lineRule="exact"/>
        <w:ind w:firstLine="624" w:firstLineChars="200"/>
        <w:rPr>
          <w:rFonts w:hint="eastAsia" w:ascii="仿宋_GB2312" w:hAnsi="楷体"/>
          <w:szCs w:val="32"/>
          <w:highlight w:val="yellow"/>
          <w:lang w:eastAsia="zh-CN"/>
        </w:rPr>
      </w:pPr>
      <w:r>
        <w:rPr>
          <w:rFonts w:hint="eastAsia" w:ascii="仿宋_GB2312" w:hAnsi="楷体"/>
          <w:szCs w:val="32"/>
        </w:rPr>
        <w:t>7.乙方控股50%（含）以上且在罗湖区外注册的一级、二级子公司</w:t>
      </w:r>
      <w:r>
        <w:rPr>
          <w:rFonts w:hint="eastAsia" w:ascii="仿宋_GB2312" w:hAnsi="楷体"/>
          <w:szCs w:val="32"/>
          <w:lang w:eastAsia="zh-CN"/>
        </w:rPr>
        <w:t>（通过并购方式控股的子公司除外）</w:t>
      </w:r>
      <w:r>
        <w:rPr>
          <w:rFonts w:hint="eastAsia" w:ascii="仿宋_GB2312" w:hAnsi="楷体"/>
          <w:szCs w:val="32"/>
        </w:rPr>
        <w:t>的产值规模和纳税总额不得大于乙方及乙方控股50%（含）以上且在罗湖内注册的一级、二级子公司的产值规模和纳税总额</w:t>
      </w:r>
      <w:r>
        <w:rPr>
          <w:rFonts w:hint="eastAsia" w:ascii="仿宋_GB2312" w:hAnsi="楷体"/>
          <w:szCs w:val="32"/>
          <w:lang w:eastAsia="zh-CN"/>
        </w:rPr>
        <w:t>的</w:t>
      </w:r>
      <w:r>
        <w:rPr>
          <w:rFonts w:hint="eastAsia" w:ascii="仿宋_GB2312" w:hAnsi="楷体"/>
          <w:szCs w:val="32"/>
          <w:lang w:val="en-US" w:eastAsia="zh-CN"/>
        </w:rPr>
        <w:t>50%</w:t>
      </w:r>
      <w:r>
        <w:rPr>
          <w:rFonts w:hint="eastAsia" w:ascii="仿宋_GB2312" w:hAnsi="楷体"/>
          <w:szCs w:val="32"/>
          <w:lang w:eastAsia="zh-CN"/>
        </w:rPr>
        <w:t>。</w:t>
      </w:r>
    </w:p>
    <w:p>
      <w:pPr>
        <w:spacing w:line="600" w:lineRule="exact"/>
        <w:ind w:firstLine="624" w:firstLineChars="200"/>
        <w:rPr>
          <w:rFonts w:hint="eastAsia" w:ascii="仿宋_GB2312" w:hAnsi="楷体"/>
          <w:szCs w:val="32"/>
        </w:rPr>
      </w:pPr>
      <w:r>
        <w:rPr>
          <w:rFonts w:hint="eastAsia" w:ascii="仿宋_GB2312" w:hAnsi="楷体"/>
          <w:szCs w:val="32"/>
          <w:lang w:val="en-US" w:eastAsia="zh-CN"/>
        </w:rPr>
        <w:t>8.</w:t>
      </w:r>
      <w:r>
        <w:rPr>
          <w:rFonts w:hint="eastAsia" w:ascii="仿宋_GB2312" w:hAnsi="楷体"/>
          <w:szCs w:val="32"/>
        </w:rPr>
        <w:t>实缴注册资本：乙方在土地出让年期内实缴注册资本不低于 3亿元</w:t>
      </w:r>
      <w:r>
        <w:rPr>
          <w:rFonts w:hint="eastAsia" w:ascii="仿宋_GB2312" w:hAnsi="楷体"/>
          <w:szCs w:val="32"/>
          <w:lang w:eastAsia="zh-CN"/>
        </w:rPr>
        <w:t>。</w:t>
      </w:r>
    </w:p>
    <w:p>
      <w:pPr>
        <w:spacing w:line="600" w:lineRule="exact"/>
        <w:ind w:firstLine="624" w:firstLineChars="200"/>
        <w:rPr>
          <w:rFonts w:hint="eastAsia" w:ascii="仿宋_GB2312" w:hAnsi="楷体"/>
          <w:szCs w:val="32"/>
        </w:rPr>
      </w:pPr>
      <w:r>
        <w:rPr>
          <w:rFonts w:hint="eastAsia" w:ascii="仿宋_GB2312" w:hAnsi="楷体"/>
          <w:szCs w:val="32"/>
          <w:lang w:val="en-US" w:eastAsia="zh-CN"/>
        </w:rPr>
        <w:t>9.其他</w:t>
      </w:r>
      <w:r>
        <w:rPr>
          <w:rFonts w:hint="eastAsia" w:ascii="仿宋_GB2312" w:hAnsi="楷体"/>
          <w:szCs w:val="32"/>
        </w:rPr>
        <w:t>。</w:t>
      </w:r>
    </w:p>
    <w:p>
      <w:pPr>
        <w:spacing w:line="600" w:lineRule="exact"/>
        <w:ind w:firstLine="624" w:firstLineChars="200"/>
        <w:rPr>
          <w:rFonts w:hint="eastAsia" w:ascii="仿宋_GB2312" w:hAnsi="楷体"/>
          <w:szCs w:val="32"/>
          <w:lang w:eastAsia="zh-CN"/>
        </w:rPr>
      </w:pPr>
      <w:r>
        <w:rPr>
          <w:rFonts w:hint="eastAsia" w:ascii="仿宋_GB2312" w:hAnsi="楷体"/>
          <w:szCs w:val="32"/>
          <w:lang w:eastAsia="zh-CN"/>
        </w:rPr>
        <w:t>（</w:t>
      </w:r>
      <w:r>
        <w:rPr>
          <w:rFonts w:hint="eastAsia" w:ascii="仿宋_GB2312" w:hAnsi="楷体"/>
          <w:szCs w:val="32"/>
          <w:lang w:val="en-US" w:eastAsia="zh-CN"/>
        </w:rPr>
        <w:t>1</w:t>
      </w:r>
      <w:r>
        <w:rPr>
          <w:rFonts w:hint="eastAsia" w:ascii="仿宋_GB2312" w:hAnsi="楷体"/>
          <w:szCs w:val="32"/>
          <w:lang w:eastAsia="zh-CN"/>
        </w:rPr>
        <w:t>）</w:t>
      </w:r>
      <w:r>
        <w:rPr>
          <w:rFonts w:hint="eastAsia" w:ascii="仿宋_GB2312" w:hAnsi="楷体"/>
          <w:szCs w:val="32"/>
        </w:rPr>
        <w:t>创新型产业用房建设出资责任：乙方须负责 H404-0089 宗地上无偿且无条件移交给罗湖区人民政府的 7200 平方米创新型产业用房的建设费用（以上面积均指建筑面积）及垫付建设费用的资金占用成本</w:t>
      </w:r>
      <w:r>
        <w:rPr>
          <w:rFonts w:hint="eastAsia" w:ascii="仿宋_GB2312" w:hAnsi="楷体"/>
          <w:szCs w:val="32"/>
          <w:lang w:eastAsia="zh-CN"/>
        </w:rPr>
        <w:t>。</w:t>
      </w:r>
      <w:r>
        <w:rPr>
          <w:rFonts w:hint="eastAsia" w:ascii="仿宋_GB2312" w:hAnsi="楷体"/>
          <w:szCs w:val="32"/>
        </w:rPr>
        <w:br w:type="textWrapping"/>
      </w:r>
      <w:r>
        <w:rPr>
          <w:rFonts w:hint="eastAsia" w:ascii="仿宋_GB2312" w:hAnsi="楷体"/>
          <w:szCs w:val="32"/>
          <w:lang w:val="en-US" w:eastAsia="zh-CN"/>
        </w:rPr>
        <w:t xml:space="preserve">    （2）</w:t>
      </w:r>
      <w:r>
        <w:rPr>
          <w:rFonts w:hint="eastAsia" w:ascii="仿宋_GB2312" w:hAnsi="楷体"/>
          <w:szCs w:val="32"/>
        </w:rPr>
        <w:t>费用计算标准：根据《深圳市各类物业建筑安装工程总造价标准》中规定，经营性办公用房造价标准为：6576元/平方米，</w:t>
      </w:r>
      <w:r>
        <w:rPr>
          <w:rFonts w:hint="eastAsia" w:ascii="仿宋_GB2312" w:hAnsi="楷体"/>
          <w:szCs w:val="32"/>
          <w:lang w:val="en-US" w:eastAsia="zh-CN"/>
        </w:rPr>
        <w:t>乙方按以上费用标准向深圳市罗湖投资控股有限公司缴纳建设费用及深圳市罗湖投资控股有限公司前期垫付的70%建设费用33,143,040元所产生的利息(按同期一年期贷款利率从垫资日起至返还日止)。</w:t>
      </w:r>
      <w:r>
        <w:rPr>
          <w:rFonts w:hint="eastAsia" w:ascii="仿宋_GB2312" w:hAnsi="楷体"/>
          <w:szCs w:val="32"/>
        </w:rPr>
        <w:br w:type="textWrapping"/>
      </w:r>
      <w:r>
        <w:rPr>
          <w:rFonts w:hint="eastAsia" w:ascii="仿宋_GB2312" w:hAnsi="楷体"/>
          <w:szCs w:val="32"/>
          <w:lang w:val="en-US" w:eastAsia="zh-CN"/>
        </w:rPr>
        <w:t xml:space="preserve">    （3）</w:t>
      </w:r>
      <w:r>
        <w:rPr>
          <w:rFonts w:hint="eastAsia" w:ascii="仿宋_GB2312" w:hAnsi="楷体"/>
          <w:szCs w:val="32"/>
        </w:rPr>
        <w:t>建设费用缴纳时间和流程：</w:t>
      </w:r>
      <w:r>
        <w:rPr>
          <w:rFonts w:hint="eastAsia" w:ascii="仿宋_GB2312" w:hAnsi="楷体"/>
          <w:szCs w:val="32"/>
        </w:rPr>
        <w:br w:type="textWrapping"/>
      </w:r>
      <w:r>
        <w:rPr>
          <w:rFonts w:hint="eastAsia" w:ascii="仿宋_GB2312" w:hAnsi="楷体"/>
          <w:szCs w:val="32"/>
          <w:lang w:val="en-US" w:eastAsia="zh-CN"/>
        </w:rPr>
        <w:t xml:space="preserve">    乙方自签订土地使用权出让合同的 15 个工作日内须向深圳市罗湖投资控股有限公司缴纳本地块所承担的创新性产业用房面积建设费用的 70%及深圳市罗湖投资控股有限公司垫付资金产生的利息作为建设费用一期款项</w:t>
      </w:r>
      <w:r>
        <w:rPr>
          <w:rFonts w:hint="eastAsia" w:ascii="仿宋_GB2312" w:hAnsi="楷体"/>
          <w:szCs w:val="32"/>
          <w:lang w:eastAsia="zh-CN"/>
        </w:rPr>
        <w:t>。创新性产业用房完成竣工验收后的30个工作日内，乙方须向</w:t>
      </w:r>
      <w:r>
        <w:rPr>
          <w:rFonts w:hint="eastAsia" w:ascii="仿宋_GB2312" w:hAnsi="楷体"/>
          <w:szCs w:val="32"/>
        </w:rPr>
        <w:t>深圳市罗湖投资控股有限公司</w:t>
      </w:r>
      <w:r>
        <w:rPr>
          <w:rFonts w:hint="eastAsia" w:ascii="仿宋_GB2312" w:hAnsi="楷体"/>
          <w:szCs w:val="32"/>
          <w:lang w:eastAsia="zh-CN"/>
        </w:rPr>
        <w:t>缴纳本地块所承担的创新性产业用房面积建设费用的30%作为建设费用二期款项。</w:t>
      </w:r>
    </w:p>
    <w:p>
      <w:pPr>
        <w:spacing w:line="600" w:lineRule="exact"/>
        <w:ind w:firstLine="624" w:firstLineChars="200"/>
        <w:rPr>
          <w:rFonts w:hint="eastAsia" w:ascii="仿宋_GB2312" w:hAnsi="楷体"/>
          <w:szCs w:val="32"/>
        </w:rPr>
      </w:pPr>
      <w:r>
        <w:rPr>
          <w:rFonts w:hint="eastAsia" w:ascii="仿宋_GB2312" w:hAnsi="楷体"/>
          <w:szCs w:val="32"/>
        </w:rPr>
        <w:t>在由第三方专业审计机构核算实际创新型产业用房建安成本费用并报区审计局审计后，按多退少补原则，在以书面函件告知乙方建安成本费用的30个工作日内，对该地块实际承担的创新型产业用房建设费用进行多退少补。在缴清创新型产业用房实际建设费用后，方允许该地块进行竣工验收。</w:t>
      </w:r>
    </w:p>
    <w:p>
      <w:pPr>
        <w:spacing w:line="600" w:lineRule="exact"/>
        <w:ind w:firstLine="624" w:firstLineChars="200"/>
        <w:rPr>
          <w:rFonts w:hint="eastAsia" w:ascii="仿宋_GB2312" w:hAnsi="楷体"/>
          <w:szCs w:val="32"/>
          <w:lang w:eastAsia="zh-CN"/>
        </w:rPr>
      </w:pPr>
      <w:r>
        <w:rPr>
          <w:rFonts w:hint="eastAsia" w:ascii="仿宋_GB2312" w:hAnsi="楷体"/>
          <w:szCs w:val="32"/>
          <w:lang w:eastAsia="zh-CN"/>
        </w:rPr>
        <w:t>（</w:t>
      </w:r>
      <w:r>
        <w:rPr>
          <w:rFonts w:hint="eastAsia" w:ascii="仿宋_GB2312" w:hAnsi="楷体"/>
          <w:szCs w:val="32"/>
          <w:lang w:val="en-US" w:eastAsia="zh-CN"/>
        </w:rPr>
        <w:t>4</w:t>
      </w:r>
      <w:r>
        <w:rPr>
          <w:rFonts w:hint="eastAsia" w:ascii="仿宋_GB2312" w:hAnsi="楷体"/>
          <w:szCs w:val="32"/>
          <w:lang w:eastAsia="zh-CN"/>
        </w:rPr>
        <w:t>）</w:t>
      </w:r>
      <w:r>
        <w:rPr>
          <w:rFonts w:hint="eastAsia" w:ascii="仿宋_GB2312" w:hAnsi="楷体"/>
          <w:szCs w:val="32"/>
        </w:rPr>
        <w:t>根据建标〔2013〕44号关于印发《建筑安装工程费用项目组成》的通知规定，建安成本费用包括分部分项费用、措施项目费用、其他项目费用、规费和税金等。最终以第三方专业审计机构核算标准及有关规定为准</w:t>
      </w:r>
      <w:r>
        <w:rPr>
          <w:rFonts w:hint="eastAsia" w:ascii="仿宋_GB2312" w:hAnsi="楷体"/>
          <w:szCs w:val="32"/>
          <w:lang w:eastAsia="zh-CN"/>
        </w:rPr>
        <w:t>。</w:t>
      </w:r>
    </w:p>
    <w:p>
      <w:pPr>
        <w:spacing w:line="560" w:lineRule="exact"/>
        <w:ind w:firstLine="624" w:firstLineChars="200"/>
        <w:rPr>
          <w:rFonts w:hint="eastAsia" w:ascii="仿宋_GB2312" w:hAnsi="仿宋_GB2312" w:cs="仿宋_GB2312"/>
          <w:szCs w:val="32"/>
        </w:rPr>
      </w:pPr>
      <w:r>
        <w:rPr>
          <w:rFonts w:hint="eastAsia" w:ascii="仿宋_GB2312" w:hAnsi="仿宋_GB2312" w:cs="仿宋_GB2312"/>
          <w:szCs w:val="32"/>
        </w:rPr>
        <w:t>（五）转让或出租限制：</w:t>
      </w:r>
    </w:p>
    <w:p>
      <w:pPr>
        <w:spacing w:line="560" w:lineRule="exact"/>
        <w:ind w:firstLine="624" w:firstLineChars="200"/>
        <w:rPr>
          <w:rFonts w:hint="eastAsia" w:ascii="仿宋_GB2312" w:hAnsi="仿宋_GB2312" w:cs="仿宋_GB2312"/>
          <w:szCs w:val="32"/>
        </w:rPr>
      </w:pPr>
      <w:r>
        <w:rPr>
          <w:rFonts w:hint="eastAsia" w:ascii="仿宋_GB2312" w:hAnsi="仿宋_GB2312" w:cs="仿宋_GB2312"/>
          <w:szCs w:val="32"/>
        </w:rPr>
        <w:t>项目建成后，该项目100%的建筑面积在全出让年期内不得转让；允许将不超过建筑面积20%的用房租赁给产业链上下游相关企业，且租赁价格不得超过租赁关系形成的上年度辖区同类型物业市场评估价格（由第三方专业机构出具租赁价格评估报告）的</w:t>
      </w:r>
      <w:r>
        <w:rPr>
          <w:rFonts w:hint="eastAsia" w:ascii="仿宋_GB2312" w:hAnsi="仿宋_GB2312" w:cs="仿宋_GB2312"/>
          <w:szCs w:val="32"/>
          <w:lang w:val="en-US" w:eastAsia="zh-CN"/>
        </w:rPr>
        <w:t>70</w:t>
      </w:r>
      <w:r>
        <w:rPr>
          <w:rFonts w:hint="eastAsia" w:ascii="仿宋_GB2312" w:hAnsi="仿宋_GB2312" w:cs="仿宋_GB2312"/>
          <w:szCs w:val="32"/>
        </w:rPr>
        <w:t>%，以支持产业链集聚。</w:t>
      </w:r>
    </w:p>
    <w:p>
      <w:pPr>
        <w:spacing w:line="560" w:lineRule="exact"/>
        <w:ind w:firstLine="624" w:firstLineChars="200"/>
        <w:rPr>
          <w:rFonts w:hint="eastAsia" w:ascii="仿宋_GB2312" w:hAnsi="仿宋_GB2312" w:cs="仿宋_GB2312"/>
          <w:szCs w:val="32"/>
        </w:rPr>
      </w:pPr>
      <w:r>
        <w:rPr>
          <w:rFonts w:hint="eastAsia" w:ascii="仿宋_GB2312" w:hAnsi="仿宋_GB2312" w:cs="仿宋_GB2312"/>
          <w:szCs w:val="32"/>
        </w:rPr>
        <w:t>（六）抵押限制：乙方取得的建设用地使用权及建筑物允许抵押，但抵押金额不得超出合同剩余年期地价与建筑物残值之和。</w:t>
      </w:r>
    </w:p>
    <w:p>
      <w:pPr>
        <w:spacing w:line="560" w:lineRule="exact"/>
        <w:ind w:firstLine="624" w:firstLineChars="200"/>
        <w:rPr>
          <w:rFonts w:hint="eastAsia" w:ascii="仿宋_GB2312" w:hAnsi="仿宋_GB2312" w:cs="仿宋_GB2312"/>
          <w:szCs w:val="32"/>
        </w:rPr>
      </w:pPr>
      <w:r>
        <w:rPr>
          <w:rFonts w:hint="eastAsia" w:ascii="仿宋_GB2312" w:hAnsi="仿宋_GB2312" w:cs="仿宋_GB2312"/>
          <w:szCs w:val="32"/>
        </w:rPr>
        <w:t>（七）股权变更限制：</w:t>
      </w:r>
      <w:r>
        <w:rPr>
          <w:rFonts w:hint="eastAsia" w:ascii="仿宋_GB2312" w:hAnsi="楷体"/>
          <w:kern w:val="0"/>
          <w:szCs w:val="32"/>
        </w:rPr>
        <w:t>乙方</w:t>
      </w:r>
      <w:r>
        <w:rPr>
          <w:rFonts w:hint="eastAsia" w:ascii="仿宋_GB2312" w:hAnsi="仿宋_GB2312" w:cs="仿宋_GB2312"/>
          <w:szCs w:val="32"/>
        </w:rPr>
        <w:t>在土地出让年期内均不得以股权转让或变更的方式变相转让建设用地使用权以及附着于该土地上的建（构）筑物及其附属设施。</w:t>
      </w:r>
    </w:p>
    <w:p>
      <w:pPr>
        <w:spacing w:line="560" w:lineRule="exact"/>
        <w:ind w:firstLine="624" w:firstLineChars="200"/>
        <w:rPr>
          <w:rFonts w:hint="eastAsia" w:ascii="仿宋_GB2312" w:hAnsi="仿宋_GB2312" w:cs="仿宋_GB2312"/>
          <w:szCs w:val="32"/>
        </w:rPr>
      </w:pPr>
      <w:r>
        <w:rPr>
          <w:rFonts w:hint="eastAsia" w:ascii="仿宋_GB2312" w:hAnsi="仿宋_GB2312" w:cs="仿宋_GB2312"/>
          <w:szCs w:val="32"/>
        </w:rPr>
        <w:t>上述所称股权转让是指导致企业控股权或实际控制权发生变更的转让。</w:t>
      </w:r>
    </w:p>
    <w:p>
      <w:pPr>
        <w:spacing w:line="560" w:lineRule="exact"/>
        <w:ind w:firstLine="624" w:firstLineChars="200"/>
        <w:rPr>
          <w:rFonts w:hint="eastAsia" w:ascii="仿宋_GB2312" w:hAnsi="仿宋_GB2312" w:cs="仿宋_GB2312"/>
          <w:szCs w:val="32"/>
        </w:rPr>
      </w:pPr>
      <w:r>
        <w:rPr>
          <w:rFonts w:hint="eastAsia" w:ascii="仿宋_GB2312" w:hAnsi="仿宋_GB2312" w:cs="仿宋_GB2312"/>
          <w:szCs w:val="32"/>
        </w:rPr>
        <w:t>（八）乙方在项目建设运营过程中，应满足法律法规、甲方及有关部门关于轨道规划建设、区域集中供冷、公共空间、慢行通道及立体连廊、建设内容与时序、建筑环保、节能减排等特殊要求。</w:t>
      </w:r>
    </w:p>
    <w:p>
      <w:pPr>
        <w:spacing w:line="560" w:lineRule="exact"/>
        <w:ind w:firstLine="624" w:firstLineChars="200"/>
        <w:rPr>
          <w:rFonts w:hint="eastAsia" w:ascii="仿宋_GB2312" w:hAnsi="仿宋_GB2312" w:cs="仿宋_GB2312"/>
          <w:szCs w:val="32"/>
        </w:rPr>
      </w:pPr>
      <w:r>
        <w:rPr>
          <w:rFonts w:hint="eastAsia" w:ascii="仿宋_GB2312" w:hAnsi="仿宋_GB2312" w:cs="仿宋_GB2312"/>
          <w:szCs w:val="32"/>
        </w:rPr>
        <w:t>（九）强制执行：</w:t>
      </w:r>
      <w:r>
        <w:rPr>
          <w:rFonts w:hint="eastAsia"/>
        </w:rPr>
        <w:t>乙方的建设用地使用权及附着于该土地上的建（构）筑物因司法程序被拍卖或者变卖的或者因人民法院其他生效裁判原因需转让的</w:t>
      </w:r>
      <w:r>
        <w:rPr>
          <w:rFonts w:hint="eastAsia" w:ascii="仿宋_GB2312" w:hAnsi="仿宋_GB2312" w:cs="仿宋_GB2312"/>
          <w:szCs w:val="32"/>
        </w:rPr>
        <w:t>，次受让人应当承接原国有建设用地使用权出让合同及产业发展监管协议规定的受让人责任及义务，原国有建设用地使用权出让合同约定的土地使用条件不变。人民法院强制执行又无符合条件的次受让人的，乙方建设用地使用权及地上建（构）筑物由政府回购，</w:t>
      </w:r>
      <w:r>
        <w:rPr>
          <w:rFonts w:hint="eastAsia" w:ascii="仿宋_GB2312" w:hAnsi="Calibri"/>
          <w:szCs w:val="32"/>
          <w:lang w:bidi="ar"/>
        </w:rPr>
        <w:t>回购价按照</w:t>
      </w:r>
      <w:r>
        <w:rPr>
          <w:rFonts w:hint="eastAsia" w:ascii="仿宋_GB2312" w:hAnsi="Calibri"/>
          <w:szCs w:val="32"/>
          <w:lang w:eastAsia="zh-CN" w:bidi="ar"/>
        </w:rPr>
        <w:t>甲方</w:t>
      </w:r>
      <w:r>
        <w:rPr>
          <w:rFonts w:hint="eastAsia" w:ascii="仿宋_GB2312" w:hAnsi="楷体"/>
          <w:szCs w:val="32"/>
        </w:rPr>
        <w:t>指定的审核机构</w:t>
      </w:r>
      <w:r>
        <w:rPr>
          <w:rFonts w:hint="eastAsia" w:ascii="仿宋_GB2312" w:hAnsi="楷体"/>
          <w:szCs w:val="32"/>
          <w:lang w:eastAsia="zh-CN"/>
        </w:rPr>
        <w:t>审核</w:t>
      </w:r>
      <w:r>
        <w:rPr>
          <w:rFonts w:hint="eastAsia" w:ascii="仿宋_GB2312" w:hAnsi="Calibri"/>
          <w:szCs w:val="32"/>
          <w:lang w:bidi="ar"/>
        </w:rPr>
        <w:t>的建安成本价确定。</w:t>
      </w:r>
    </w:p>
    <w:p>
      <w:pPr>
        <w:tabs>
          <w:tab w:val="left" w:pos="851"/>
        </w:tabs>
        <w:spacing w:line="560" w:lineRule="exact"/>
        <w:ind w:firstLine="624" w:firstLineChars="200"/>
        <w:rPr>
          <w:rFonts w:hint="eastAsia" w:ascii="仿宋_GB2312" w:hAnsi="仿宋_GB2312" w:cs="仿宋_GB2312"/>
          <w:szCs w:val="32"/>
        </w:rPr>
      </w:pPr>
      <w:r>
        <w:rPr>
          <w:rFonts w:hint="eastAsia" w:ascii="仿宋_GB2312" w:hAnsi="仿宋_GB2312" w:cs="仿宋_GB2312"/>
          <w:szCs w:val="32"/>
        </w:rPr>
        <w:t>（十）乙方应按甲方要求如实提供相关材料，主动配合甲方按照本协议约定及《管理办法》、《遴选办法》规定核查相应的投资强度、实缴注册资本、产值规模、税收规模、</w:t>
      </w:r>
      <w:r>
        <w:rPr>
          <w:rFonts w:hint="eastAsia" w:ascii="仿宋_GB2312" w:hAnsi="仿宋_GB2312" w:cs="仿宋_GB2312"/>
          <w:szCs w:val="32"/>
          <w:lang w:eastAsia="zh-CN"/>
        </w:rPr>
        <w:t>增加</w:t>
      </w:r>
      <w:r>
        <w:rPr>
          <w:rFonts w:hint="eastAsia" w:ascii="仿宋_GB2312" w:hAnsi="仿宋_GB2312" w:cs="仿宋_GB2312"/>
          <w:szCs w:val="32"/>
        </w:rPr>
        <w:t>值能耗、转让或出租、抵押限制、股权变更限制等情况。</w:t>
      </w:r>
    </w:p>
    <w:p>
      <w:pPr>
        <w:tabs>
          <w:tab w:val="left" w:pos="851"/>
        </w:tabs>
        <w:spacing w:line="560" w:lineRule="exact"/>
        <w:ind w:firstLine="624" w:firstLineChars="200"/>
        <w:rPr>
          <w:rFonts w:hint="eastAsia" w:ascii="仿宋_GB2312" w:hAnsi="仿宋_GB2312" w:cs="仿宋_GB2312"/>
          <w:szCs w:val="32"/>
        </w:rPr>
      </w:pPr>
      <w:r>
        <w:rPr>
          <w:rFonts w:hint="eastAsia" w:ascii="仿宋_GB2312" w:hAnsi="仿宋_GB2312" w:cs="仿宋_GB2312"/>
          <w:szCs w:val="32"/>
        </w:rPr>
        <w:t>（十一）项目建筑设计方案应经</w:t>
      </w:r>
      <w:r>
        <w:rPr>
          <w:rFonts w:hint="eastAsia" w:ascii="仿宋_GB2312" w:hAnsi="仿宋_GB2312" w:cs="仿宋_GB2312"/>
          <w:szCs w:val="32"/>
          <w:lang w:eastAsia="zh-CN"/>
        </w:rPr>
        <w:t>甲方</w:t>
      </w:r>
      <w:r>
        <w:rPr>
          <w:rFonts w:hint="eastAsia" w:ascii="仿宋_GB2312" w:hAnsi="仿宋_GB2312" w:cs="仿宋_GB2312"/>
          <w:szCs w:val="32"/>
        </w:rPr>
        <w:t>同意，建筑风格及建筑形态须符合清水河重点片区城市设计管控要求。</w:t>
      </w:r>
    </w:p>
    <w:p>
      <w:pPr>
        <w:spacing w:line="560" w:lineRule="exact"/>
        <w:ind w:right="-49" w:rightChars="-16" w:firstLine="624" w:firstLineChars="200"/>
        <w:rPr>
          <w:rFonts w:hint="eastAsia" w:ascii="黑体" w:hAnsi="黑体" w:eastAsia="黑体" w:cs="黑体"/>
          <w:szCs w:val="32"/>
        </w:rPr>
      </w:pPr>
      <w:r>
        <w:rPr>
          <w:rFonts w:hint="eastAsia" w:ascii="黑体" w:hAnsi="黑体" w:eastAsia="黑体" w:cs="黑体"/>
          <w:szCs w:val="32"/>
        </w:rPr>
        <w:t>四、履约核查内容及违约责任</w:t>
      </w:r>
    </w:p>
    <w:p>
      <w:pPr>
        <w:spacing w:line="560" w:lineRule="exact"/>
        <w:ind w:firstLine="624" w:firstLineChars="200"/>
        <w:rPr>
          <w:rFonts w:hint="eastAsia" w:ascii="仿宋_GB2312" w:hAnsi="仿宋_GB2312" w:cs="仿宋_GB2312"/>
          <w:szCs w:val="32"/>
        </w:rPr>
      </w:pPr>
      <w:r>
        <w:rPr>
          <w:rFonts w:hint="eastAsia" w:ascii="仿宋_GB2312" w:hAnsi="仿宋_GB2312" w:cs="仿宋_GB2312"/>
          <w:szCs w:val="32"/>
        </w:rPr>
        <w:t>（一）履约核查内容</w:t>
      </w:r>
    </w:p>
    <w:p>
      <w:pPr>
        <w:spacing w:line="560" w:lineRule="exact"/>
        <w:ind w:firstLine="600"/>
        <w:rPr>
          <w:rFonts w:ascii="仿宋_GB2312" w:hAnsi="宋体"/>
          <w:szCs w:val="32"/>
        </w:rPr>
      </w:pPr>
      <w:r>
        <w:rPr>
          <w:rFonts w:hint="eastAsia" w:ascii="仿宋_GB2312"/>
          <w:b/>
          <w:szCs w:val="32"/>
        </w:rPr>
        <w:t>1.</w:t>
      </w:r>
      <w:r>
        <w:rPr>
          <w:rFonts w:hint="eastAsia" w:ascii="仿宋_GB2312" w:hAnsi="宋体"/>
          <w:szCs w:val="32"/>
        </w:rPr>
        <w:t>产业项目与准入条件的符合性；</w:t>
      </w:r>
    </w:p>
    <w:p>
      <w:pPr>
        <w:spacing w:line="560" w:lineRule="exact"/>
        <w:ind w:firstLine="600"/>
        <w:rPr>
          <w:rFonts w:ascii="仿宋_GB2312" w:hAnsi="宋体"/>
          <w:szCs w:val="32"/>
        </w:rPr>
      </w:pPr>
      <w:r>
        <w:rPr>
          <w:rFonts w:hint="eastAsia" w:ascii="仿宋_GB2312"/>
          <w:b/>
          <w:szCs w:val="32"/>
        </w:rPr>
        <w:t>2.</w:t>
      </w:r>
      <w:r>
        <w:rPr>
          <w:rFonts w:hint="eastAsia" w:ascii="仿宋_GB2312" w:hAnsi="宋体"/>
          <w:szCs w:val="32"/>
        </w:rPr>
        <w:t>投资强度；</w:t>
      </w:r>
    </w:p>
    <w:p>
      <w:pPr>
        <w:spacing w:line="560" w:lineRule="exact"/>
        <w:ind w:firstLine="600"/>
        <w:rPr>
          <w:rFonts w:ascii="仿宋_GB2312" w:hAnsi="宋体"/>
          <w:szCs w:val="32"/>
        </w:rPr>
      </w:pPr>
      <w:r>
        <w:rPr>
          <w:rFonts w:hint="eastAsia" w:ascii="仿宋_GB2312"/>
          <w:b/>
          <w:szCs w:val="32"/>
        </w:rPr>
        <w:t>3.</w:t>
      </w:r>
      <w:r>
        <w:rPr>
          <w:rFonts w:hint="eastAsia" w:ascii="仿宋_GB2312" w:hAnsi="宋体"/>
          <w:szCs w:val="32"/>
          <w:lang w:eastAsia="zh-CN"/>
        </w:rPr>
        <w:t>增加</w:t>
      </w:r>
      <w:r>
        <w:rPr>
          <w:rFonts w:hint="eastAsia" w:ascii="仿宋_GB2312" w:hAnsi="宋体"/>
          <w:szCs w:val="32"/>
        </w:rPr>
        <w:t>值能耗；</w:t>
      </w:r>
    </w:p>
    <w:p>
      <w:pPr>
        <w:spacing w:line="560" w:lineRule="exact"/>
        <w:ind w:firstLine="600"/>
        <w:rPr>
          <w:rFonts w:ascii="仿宋_GB2312" w:hAnsi="宋体"/>
          <w:szCs w:val="32"/>
        </w:rPr>
      </w:pPr>
      <w:r>
        <w:rPr>
          <w:rFonts w:hint="eastAsia" w:ascii="仿宋_GB2312"/>
          <w:b/>
          <w:szCs w:val="32"/>
        </w:rPr>
        <w:t>4.</w:t>
      </w:r>
      <w:r>
        <w:rPr>
          <w:rFonts w:hint="eastAsia" w:ascii="仿宋_GB2312" w:hAnsi="宋体"/>
          <w:szCs w:val="32"/>
        </w:rPr>
        <w:t>纳税额和产值（总产值）；</w:t>
      </w:r>
    </w:p>
    <w:p>
      <w:pPr>
        <w:spacing w:line="560" w:lineRule="exact"/>
        <w:ind w:firstLine="600"/>
        <w:rPr>
          <w:rFonts w:ascii="仿宋_GB2312"/>
          <w:szCs w:val="32"/>
        </w:rPr>
      </w:pPr>
      <w:r>
        <w:rPr>
          <w:rFonts w:hint="eastAsia" w:ascii="仿宋_GB2312"/>
          <w:b/>
          <w:szCs w:val="32"/>
        </w:rPr>
        <w:t>5.</w:t>
      </w:r>
      <w:r>
        <w:rPr>
          <w:rFonts w:hint="eastAsia" w:ascii="仿宋_GB2312"/>
          <w:szCs w:val="32"/>
        </w:rPr>
        <w:t>地上建筑物使用情况；</w:t>
      </w:r>
    </w:p>
    <w:p>
      <w:pPr>
        <w:spacing w:line="560" w:lineRule="exact"/>
        <w:ind w:firstLine="600"/>
        <w:rPr>
          <w:rFonts w:ascii="仿宋_GB2312"/>
          <w:szCs w:val="32"/>
        </w:rPr>
      </w:pPr>
      <w:r>
        <w:rPr>
          <w:rFonts w:hint="eastAsia" w:ascii="仿宋_GB2312"/>
          <w:b/>
          <w:szCs w:val="32"/>
        </w:rPr>
        <w:t>6.</w:t>
      </w:r>
      <w:r>
        <w:rPr>
          <w:rFonts w:hint="eastAsia" w:ascii="仿宋_GB2312"/>
          <w:szCs w:val="32"/>
        </w:rPr>
        <w:t>股东出资及股权结构情况；</w:t>
      </w:r>
    </w:p>
    <w:p>
      <w:pPr>
        <w:spacing w:line="560" w:lineRule="exact"/>
        <w:ind w:firstLine="600"/>
        <w:rPr>
          <w:rFonts w:ascii="仿宋_GB2312"/>
          <w:szCs w:val="32"/>
        </w:rPr>
      </w:pPr>
      <w:r>
        <w:rPr>
          <w:rFonts w:hint="eastAsia" w:ascii="仿宋_GB2312"/>
          <w:b/>
          <w:szCs w:val="32"/>
        </w:rPr>
        <w:t>7.</w:t>
      </w:r>
      <w:r>
        <w:rPr>
          <w:rFonts w:hint="eastAsia" w:ascii="仿宋_GB2312"/>
          <w:szCs w:val="32"/>
        </w:rPr>
        <w:t>注册住所、工商税务登记地；</w:t>
      </w:r>
    </w:p>
    <w:p>
      <w:pPr>
        <w:spacing w:line="560" w:lineRule="exact"/>
        <w:ind w:firstLine="600"/>
        <w:rPr>
          <w:rFonts w:hint="eastAsia" w:ascii="仿宋_GB2312"/>
          <w:szCs w:val="32"/>
        </w:rPr>
      </w:pPr>
      <w:r>
        <w:rPr>
          <w:rFonts w:hint="eastAsia" w:ascii="仿宋_GB2312"/>
          <w:b/>
          <w:szCs w:val="32"/>
        </w:rPr>
        <w:t>8.</w:t>
      </w:r>
      <w:r>
        <w:rPr>
          <w:rFonts w:hint="eastAsia" w:ascii="仿宋_GB2312"/>
          <w:szCs w:val="32"/>
        </w:rPr>
        <w:t>自用面积及出租对象、出租面积、出租价格（如有出租情况）；</w:t>
      </w:r>
    </w:p>
    <w:p>
      <w:pPr>
        <w:spacing w:line="560" w:lineRule="exact"/>
        <w:ind w:firstLine="600"/>
        <w:rPr>
          <w:rFonts w:ascii="仿宋_GB2312"/>
          <w:szCs w:val="32"/>
        </w:rPr>
      </w:pPr>
      <w:r>
        <w:rPr>
          <w:rFonts w:hint="eastAsia" w:ascii="仿宋_GB2312"/>
          <w:b/>
          <w:bCs/>
          <w:szCs w:val="32"/>
        </w:rPr>
        <w:t>9.</w:t>
      </w:r>
      <w:r>
        <w:rPr>
          <w:rFonts w:hint="eastAsia" w:ascii="仿宋_GB2312"/>
          <w:szCs w:val="32"/>
        </w:rPr>
        <w:t>实缴注册资本</w:t>
      </w:r>
    </w:p>
    <w:p>
      <w:pPr>
        <w:spacing w:line="560" w:lineRule="exact"/>
        <w:ind w:firstLine="624" w:firstLineChars="200"/>
        <w:rPr>
          <w:rFonts w:hint="eastAsia" w:ascii="仿宋_GB2312"/>
          <w:szCs w:val="32"/>
        </w:rPr>
      </w:pPr>
      <w:r>
        <w:rPr>
          <w:rFonts w:hint="eastAsia" w:ascii="仿宋_GB2312"/>
          <w:b/>
          <w:szCs w:val="32"/>
        </w:rPr>
        <w:t>10.</w:t>
      </w:r>
      <w:r>
        <w:rPr>
          <w:rFonts w:hint="eastAsia"/>
        </w:rPr>
        <w:t>甲方依据相关法律法规、规范性文件和本协议认为需要核查的其他项目</w:t>
      </w:r>
      <w:r>
        <w:rPr>
          <w:rFonts w:hint="eastAsia" w:ascii="仿宋_GB2312"/>
          <w:szCs w:val="32"/>
        </w:rPr>
        <w:t>。</w:t>
      </w:r>
    </w:p>
    <w:p>
      <w:pPr>
        <w:spacing w:line="560" w:lineRule="exact"/>
        <w:ind w:firstLine="624" w:firstLineChars="200"/>
        <w:rPr>
          <w:rFonts w:hint="eastAsia" w:ascii="仿宋_GB2312"/>
          <w:szCs w:val="32"/>
        </w:rPr>
      </w:pPr>
      <w:r>
        <w:rPr>
          <w:rFonts w:hint="eastAsia" w:ascii="仿宋_GB2312"/>
          <w:szCs w:val="32"/>
        </w:rPr>
        <w:t>（二）违约责任</w:t>
      </w:r>
    </w:p>
    <w:p>
      <w:pPr>
        <w:spacing w:line="560" w:lineRule="exact"/>
        <w:ind w:firstLine="624" w:firstLineChars="200"/>
        <w:rPr>
          <w:rFonts w:hint="eastAsia" w:ascii="仿宋_GB2312" w:hAnsi="仿宋_GB2312" w:cs="仿宋_GB2312"/>
          <w:szCs w:val="32"/>
        </w:rPr>
      </w:pPr>
      <w:r>
        <w:rPr>
          <w:rFonts w:hint="eastAsia" w:ascii="仿宋_GB2312" w:hAnsi="仿宋_GB2312" w:cs="仿宋_GB2312"/>
          <w:szCs w:val="32"/>
        </w:rPr>
        <w:t>1.甲方应组织相关部门按照本协议约定及《管理办法》、《遴选办法》规定内容，对</w:t>
      </w:r>
      <w:r>
        <w:rPr>
          <w:rFonts w:hint="eastAsia" w:ascii="仿宋_GB2312" w:hAnsi="楷体"/>
          <w:kern w:val="0"/>
          <w:szCs w:val="32"/>
        </w:rPr>
        <w:t>乙方</w:t>
      </w:r>
      <w:r>
        <w:rPr>
          <w:rFonts w:hint="eastAsia" w:ascii="仿宋_GB2312" w:hAnsi="仿宋_GB2312" w:cs="仿宋_GB2312"/>
          <w:szCs w:val="32"/>
        </w:rPr>
        <w:t>实行全出让年期考核监督，进行履约情况核查。若经甲方核查，</w:t>
      </w:r>
      <w:r>
        <w:t>乙方</w:t>
      </w:r>
      <w:r>
        <w:rPr>
          <w:rFonts w:hint="eastAsia"/>
          <w:lang w:eastAsia="zh-CN"/>
        </w:rPr>
        <w:t>或乙方</w:t>
      </w:r>
      <w:r>
        <w:rPr>
          <w:rFonts w:hint="eastAsia"/>
        </w:rPr>
        <w:t>的</w:t>
      </w:r>
      <w:r>
        <w:t>法定代表人</w:t>
      </w:r>
      <w:r>
        <w:rPr>
          <w:rFonts w:hint="eastAsia"/>
        </w:rPr>
        <w:t>、实际控制人</w:t>
      </w:r>
      <w:r>
        <w:t>等责任主体存在严重失信行为的</w:t>
      </w:r>
      <w:r>
        <w:rPr>
          <w:rFonts w:hint="eastAsia"/>
        </w:rPr>
        <w:t>，或</w:t>
      </w:r>
      <w:r>
        <w:t>出现产业发展监管协议履约考核未通过的情形的</w:t>
      </w:r>
      <w:r>
        <w:rPr>
          <w:rFonts w:hint="eastAsia" w:ascii="仿宋_GB2312" w:hAnsi="仿宋_GB2312" w:cs="仿宋_GB2312"/>
          <w:szCs w:val="32"/>
        </w:rPr>
        <w:t>，甲方可将</w:t>
      </w:r>
      <w:r>
        <w:rPr>
          <w:rFonts w:hint="eastAsia" w:ascii="仿宋_GB2312" w:hAnsi="楷体"/>
          <w:kern w:val="0"/>
          <w:szCs w:val="32"/>
        </w:rPr>
        <w:t>其</w:t>
      </w:r>
      <w:r>
        <w:rPr>
          <w:rFonts w:hint="eastAsia" w:ascii="仿宋_GB2312" w:hAnsi="仿宋_GB2312" w:cs="仿宋_GB2312"/>
          <w:szCs w:val="32"/>
        </w:rPr>
        <w:t>列入失信“黑名单”，并报送至市公共信用信息管理系统，会同各相关职责部门依法依规实施联合惩戒。在联合惩戒期限内，重点在政府采购、建设工程招投标、政府资金扶持、城市更新、土地竞拍等方面对失信主体予以限制。</w:t>
      </w:r>
    </w:p>
    <w:p>
      <w:pPr>
        <w:spacing w:line="560" w:lineRule="exact"/>
        <w:ind w:firstLine="624" w:firstLineChars="200"/>
        <w:rPr>
          <w:rFonts w:hint="eastAsia" w:ascii="仿宋_GB2312" w:hAnsi="仿宋_GB2312" w:cs="仿宋_GB2312"/>
          <w:color w:val="0D0D0D"/>
          <w:szCs w:val="32"/>
        </w:rPr>
      </w:pPr>
      <w:r>
        <w:rPr>
          <w:rFonts w:hint="eastAsia" w:ascii="仿宋_GB2312" w:hAnsi="仿宋_GB2312" w:cs="仿宋_GB2312"/>
          <w:color w:val="0D0D0D"/>
          <w:szCs w:val="32"/>
        </w:rPr>
        <w:t>若乙方存在违反本协议项下权利义务的行为，如拒不配合提供相关材料供甲方核查的或不按约支付</w:t>
      </w:r>
      <w:r>
        <w:rPr>
          <w:rFonts w:hint="eastAsia" w:ascii="仿宋_GB2312" w:hAnsi="仿宋_GB2312" w:cs="仿宋_GB2312"/>
          <w:szCs w:val="32"/>
        </w:rPr>
        <w:t>创新型产业用房的建设费用</w:t>
      </w:r>
      <w:r>
        <w:rPr>
          <w:rFonts w:hint="eastAsia" w:ascii="仿宋_GB2312" w:hAnsi="仿宋_GB2312" w:cs="仿宋_GB2312"/>
          <w:color w:val="0D0D0D"/>
          <w:szCs w:val="32"/>
        </w:rPr>
        <w:t>，</w:t>
      </w:r>
      <w:r>
        <w:rPr>
          <w:rFonts w:hint="eastAsia" w:ascii="仿宋_GB2312"/>
          <w:color w:val="0D0D0D"/>
          <w:szCs w:val="32"/>
        </w:rPr>
        <w:t>甲方或甲方指定的机构有权以</w:t>
      </w:r>
      <w:r>
        <w:rPr>
          <w:rFonts w:hint="eastAsia" w:ascii="仿宋_GB2312" w:hAnsi="楷体"/>
          <w:szCs w:val="32"/>
        </w:rPr>
        <w:t>指定的审核机构</w:t>
      </w:r>
      <w:r>
        <w:rPr>
          <w:rFonts w:hint="eastAsia" w:ascii="仿宋_GB2312"/>
          <w:color w:val="0D0D0D"/>
          <w:szCs w:val="32"/>
        </w:rPr>
        <w:t>或甲乙双方协商一致指定的社会审核机构审定的建安成本价回购全部自持建筑，政府无偿收回建设用地使用权，同时甲方提请区政府批准后，土地主管部门有权解除土地使用权出让合同</w:t>
      </w:r>
      <w:r>
        <w:rPr>
          <w:rFonts w:hint="eastAsia" w:ascii="仿宋_GB2312" w:hAnsi="楷体"/>
          <w:color w:val="0D0D0D"/>
          <w:szCs w:val="32"/>
        </w:rPr>
        <w:t>。造成损失的，乙方承担全部赔偿责任。</w:t>
      </w:r>
    </w:p>
    <w:p>
      <w:pPr>
        <w:spacing w:line="560" w:lineRule="exact"/>
        <w:ind w:firstLine="624" w:firstLineChars="200"/>
        <w:rPr>
          <w:rFonts w:hint="eastAsia" w:ascii="仿宋_GB2312" w:hAnsi="仿宋_GB2312" w:cs="仿宋_GB2312"/>
          <w:szCs w:val="32"/>
        </w:rPr>
      </w:pPr>
      <w:r>
        <w:rPr>
          <w:rFonts w:hint="eastAsia" w:ascii="仿宋_GB2312" w:hAnsi="仿宋_GB2312" w:cs="仿宋_GB2312"/>
          <w:szCs w:val="32"/>
        </w:rPr>
        <w:t>2.违反投资强度的违约责任</w:t>
      </w:r>
    </w:p>
    <w:p>
      <w:pPr>
        <w:spacing w:line="560" w:lineRule="exact"/>
        <w:ind w:firstLine="624" w:firstLineChars="200"/>
        <w:rPr>
          <w:rFonts w:hint="eastAsia" w:ascii="仿宋_GB2312" w:hAnsi="仿宋_GB2312" w:cs="仿宋_GB2312"/>
          <w:szCs w:val="32"/>
        </w:rPr>
      </w:pPr>
      <w:r>
        <w:rPr>
          <w:rFonts w:hint="eastAsia" w:ascii="仿宋_GB2312" w:hAnsi="仿宋_GB2312" w:cs="仿宋_GB2312"/>
          <w:szCs w:val="32"/>
        </w:rPr>
        <w:t>（1）项目竣工后，经甲方核查，乙方投资强度未达到本协议</w:t>
      </w:r>
      <w:r>
        <w:rPr>
          <w:rFonts w:hint="eastAsia" w:ascii="仿宋_GB2312" w:hAnsi="宋体"/>
          <w:szCs w:val="32"/>
        </w:rPr>
        <w:t>第三（四）3款</w:t>
      </w:r>
      <w:r>
        <w:rPr>
          <w:rFonts w:hint="eastAsia" w:ascii="仿宋_GB2312" w:hAnsi="仿宋_GB2312" w:cs="仿宋_GB2312"/>
          <w:szCs w:val="32"/>
        </w:rPr>
        <w:t xml:space="preserve">要求的，甲方有权要求乙方支付固定资产投资不足部分的 </w:t>
      </w:r>
      <w:r>
        <w:rPr>
          <w:rFonts w:hint="eastAsia" w:ascii="仿宋_GB2312" w:hAnsi="仿宋_GB2312" w:cs="仿宋_GB2312"/>
          <w:szCs w:val="32"/>
          <w:lang w:val="en-US" w:eastAsia="zh-CN"/>
        </w:rPr>
        <w:t>5</w:t>
      </w:r>
      <w:r>
        <w:rPr>
          <w:rFonts w:hint="eastAsia" w:ascii="仿宋_GB2312" w:hAnsi="仿宋_GB2312" w:cs="仿宋_GB2312"/>
          <w:szCs w:val="32"/>
        </w:rPr>
        <w:t xml:space="preserve"> %作为违约金，即违约金=（乙方承诺固定资产投资强度-实际固定资产投资强度）×总用地面积×</w:t>
      </w:r>
      <w:r>
        <w:rPr>
          <w:rFonts w:hint="eastAsia" w:ascii="仿宋_GB2312" w:hAnsi="仿宋_GB2312" w:cs="仿宋_GB2312"/>
          <w:szCs w:val="32"/>
          <w:lang w:val="en-US" w:eastAsia="zh-CN"/>
        </w:rPr>
        <w:t>5</w:t>
      </w:r>
      <w:r>
        <w:rPr>
          <w:rFonts w:hint="eastAsia" w:ascii="仿宋_GB2312" w:hAnsi="仿宋_GB2312" w:cs="仿宋_GB2312"/>
          <w:szCs w:val="32"/>
        </w:rPr>
        <w:t>%，并限期改正。</w:t>
      </w:r>
    </w:p>
    <w:p>
      <w:pPr>
        <w:spacing w:line="560" w:lineRule="exact"/>
        <w:ind w:firstLine="624" w:firstLineChars="200"/>
        <w:rPr>
          <w:rFonts w:hint="eastAsia" w:ascii="仿宋_GB2312" w:hAnsi="仿宋_GB2312" w:cs="仿宋_GB2312"/>
          <w:szCs w:val="32"/>
        </w:rPr>
      </w:pPr>
      <w:r>
        <w:rPr>
          <w:rFonts w:hint="eastAsia" w:ascii="仿宋_GB2312" w:hAnsi="仿宋_GB2312" w:cs="仿宋_GB2312"/>
          <w:szCs w:val="32"/>
        </w:rPr>
        <w:t>（2）乙方未在限期内改正的，</w:t>
      </w:r>
      <w:r>
        <w:rPr>
          <w:rFonts w:hint="eastAsia" w:ascii="仿宋_GB2312" w:hAnsi="楷体"/>
          <w:szCs w:val="32"/>
        </w:rPr>
        <w:t>在任一土地出让年期考核阶段内，</w:t>
      </w:r>
      <w:r>
        <w:rPr>
          <w:rFonts w:hint="eastAsia" w:ascii="仿宋_GB2312" w:hAnsi="仿宋_GB2312" w:cs="仿宋_GB2312"/>
          <w:szCs w:val="32"/>
        </w:rPr>
        <w:t>乙方均应向甲方支付固定资产投资不足部分的</w:t>
      </w:r>
      <w:r>
        <w:rPr>
          <w:rFonts w:hint="eastAsia" w:ascii="仿宋_GB2312" w:hAnsi="仿宋_GB2312" w:cs="仿宋_GB2312"/>
          <w:szCs w:val="32"/>
          <w:lang w:val="en-US" w:eastAsia="zh-CN"/>
        </w:rPr>
        <w:t>5</w:t>
      </w:r>
      <w:r>
        <w:rPr>
          <w:rFonts w:hint="eastAsia" w:ascii="仿宋_GB2312" w:hAnsi="仿宋_GB2312" w:cs="仿宋_GB2312"/>
          <w:szCs w:val="32"/>
        </w:rPr>
        <w:t>%作为违约金，直至经核查投资强度达到约定要求为止。</w:t>
      </w:r>
    </w:p>
    <w:p>
      <w:pPr>
        <w:spacing w:line="560" w:lineRule="exact"/>
        <w:ind w:firstLine="624" w:firstLineChars="200"/>
        <w:rPr>
          <w:rFonts w:hint="eastAsia" w:ascii="仿宋_GB2312" w:hAnsi="仿宋_GB2312" w:cs="仿宋_GB2312"/>
          <w:szCs w:val="32"/>
        </w:rPr>
      </w:pPr>
      <w:r>
        <w:rPr>
          <w:rFonts w:hint="eastAsia" w:ascii="仿宋_GB2312" w:hAnsi="仿宋_GB2312" w:cs="仿宋_GB2312"/>
          <w:szCs w:val="32"/>
        </w:rPr>
        <w:t>（3）乙方应自甲方出具核查不合格通知书之日起20个自然日内缴纳违约金，未如期缴纳违约金的，违约金按全国银行间同业拆借中心公布的</w:t>
      </w:r>
      <w:r>
        <w:rPr>
          <w:rFonts w:hint="eastAsia" w:ascii="仿宋_GB2312" w:hAnsi="仿宋_GB2312" w:cs="仿宋_GB2312"/>
          <w:szCs w:val="32"/>
          <w:lang w:eastAsia="zh-CN"/>
        </w:rPr>
        <w:t>一年期</w:t>
      </w:r>
      <w:r>
        <w:rPr>
          <w:rFonts w:hint="eastAsia" w:ascii="仿宋_GB2312" w:hAnsi="仿宋_GB2312" w:cs="仿宋_GB2312"/>
          <w:szCs w:val="32"/>
        </w:rPr>
        <w:t>贷款市场报价利率计息，直至缴清全部违约金及利息为止。</w:t>
      </w:r>
    </w:p>
    <w:p>
      <w:pPr>
        <w:spacing w:line="560" w:lineRule="exact"/>
        <w:ind w:firstLine="624" w:firstLineChars="200"/>
        <w:rPr>
          <w:rFonts w:hint="eastAsia" w:ascii="仿宋_GB2312" w:hAnsi="仿宋_GB2312" w:cs="仿宋_GB2312"/>
          <w:szCs w:val="32"/>
        </w:rPr>
      </w:pPr>
      <w:r>
        <w:rPr>
          <w:rFonts w:hint="eastAsia" w:ascii="仿宋_GB2312" w:hAnsi="仿宋_GB2312" w:cs="仿宋_GB2312"/>
          <w:szCs w:val="32"/>
        </w:rPr>
        <w:t>3.违反</w:t>
      </w:r>
      <w:r>
        <w:rPr>
          <w:rFonts w:hint="eastAsia" w:ascii="仿宋_GB2312" w:hAnsi="仿宋_GB2312" w:cs="仿宋_GB2312"/>
          <w:szCs w:val="32"/>
          <w:lang w:eastAsia="zh-CN"/>
        </w:rPr>
        <w:t>增加</w:t>
      </w:r>
      <w:r>
        <w:rPr>
          <w:rFonts w:hint="eastAsia" w:ascii="仿宋_GB2312" w:hAnsi="仿宋_GB2312" w:cs="仿宋_GB2312"/>
          <w:szCs w:val="32"/>
        </w:rPr>
        <w:t>值能耗的违约责任</w:t>
      </w:r>
    </w:p>
    <w:p>
      <w:pPr>
        <w:spacing w:line="560" w:lineRule="exact"/>
        <w:ind w:firstLine="624" w:firstLineChars="200"/>
        <w:rPr>
          <w:rFonts w:hint="eastAsia" w:ascii="仿宋_GB2312" w:hAnsi="仿宋_GB2312" w:cs="仿宋_GB2312"/>
          <w:szCs w:val="32"/>
        </w:rPr>
      </w:pPr>
      <w:r>
        <w:rPr>
          <w:rFonts w:hint="eastAsia" w:ascii="仿宋_GB2312" w:hAnsi="仿宋_GB2312" w:cs="仿宋_GB2312"/>
          <w:szCs w:val="32"/>
        </w:rPr>
        <w:t>（1）项目竣工后，经甲方核查，该项目每年</w:t>
      </w:r>
      <w:r>
        <w:rPr>
          <w:rFonts w:hint="eastAsia" w:ascii="仿宋_GB2312" w:hAnsi="仿宋_GB2312" w:cs="仿宋_GB2312"/>
          <w:szCs w:val="32"/>
          <w:lang w:eastAsia="zh-CN"/>
        </w:rPr>
        <w:t>增加</w:t>
      </w:r>
      <w:r>
        <w:rPr>
          <w:rFonts w:hint="eastAsia" w:ascii="仿宋_GB2312" w:hAnsi="仿宋_GB2312" w:cs="仿宋_GB2312"/>
          <w:szCs w:val="32"/>
        </w:rPr>
        <w:t>值能耗高于本协议第三（四）4款承诺值要求的，甲方有权要求乙方支付</w:t>
      </w:r>
      <w:r>
        <w:rPr>
          <w:rFonts w:hint="eastAsia" w:ascii="仿宋_GB2312" w:hAnsi="仿宋_GB2312" w:cs="仿宋_GB2312"/>
          <w:szCs w:val="32"/>
          <w:lang w:eastAsia="zh-CN"/>
        </w:rPr>
        <w:t>增加</w:t>
      </w:r>
      <w:r>
        <w:rPr>
          <w:rFonts w:hint="eastAsia" w:ascii="仿宋_GB2312" w:hAnsi="仿宋_GB2312" w:cs="仿宋_GB2312"/>
          <w:szCs w:val="32"/>
        </w:rPr>
        <w:t>值能耗超标部分能耗费用的</w:t>
      </w:r>
      <w:r>
        <w:rPr>
          <w:rFonts w:hint="eastAsia" w:ascii="仿宋_GB2312" w:hAnsi="仿宋_GB2312" w:cs="仿宋_GB2312"/>
          <w:szCs w:val="32"/>
          <w:lang w:val="en-US" w:eastAsia="zh-CN"/>
        </w:rPr>
        <w:t>10</w:t>
      </w:r>
      <w:r>
        <w:rPr>
          <w:rFonts w:hint="eastAsia" w:ascii="仿宋_GB2312" w:hAnsi="仿宋_GB2312" w:cs="仿宋_GB2312"/>
          <w:szCs w:val="32"/>
        </w:rPr>
        <w:t>%作为违约金，即违约金=（实际</w:t>
      </w:r>
      <w:r>
        <w:rPr>
          <w:rFonts w:hint="eastAsia" w:ascii="仿宋_GB2312" w:hAnsi="仿宋_GB2312" w:cs="仿宋_GB2312"/>
          <w:szCs w:val="32"/>
          <w:lang w:eastAsia="zh-CN"/>
        </w:rPr>
        <w:t>增加</w:t>
      </w:r>
      <w:r>
        <w:rPr>
          <w:rFonts w:hint="eastAsia" w:ascii="仿宋_GB2312" w:hAnsi="仿宋_GB2312" w:cs="仿宋_GB2312"/>
          <w:szCs w:val="32"/>
        </w:rPr>
        <w:t>值能耗-乙方承诺</w:t>
      </w:r>
      <w:r>
        <w:rPr>
          <w:rFonts w:hint="eastAsia" w:ascii="仿宋_GB2312" w:hAnsi="仿宋_GB2312" w:cs="仿宋_GB2312"/>
          <w:szCs w:val="32"/>
          <w:lang w:eastAsia="zh-CN"/>
        </w:rPr>
        <w:t>增加</w:t>
      </w:r>
      <w:r>
        <w:rPr>
          <w:rFonts w:hint="eastAsia" w:ascii="仿宋_GB2312" w:hAnsi="仿宋_GB2312" w:cs="仿宋_GB2312"/>
          <w:szCs w:val="32"/>
        </w:rPr>
        <w:t>值能耗）×</w:t>
      </w:r>
      <w:r>
        <w:rPr>
          <w:rFonts w:hint="eastAsia" w:ascii="仿宋_GB2312" w:hAnsi="仿宋_GB2312" w:cs="仿宋_GB2312"/>
          <w:szCs w:val="32"/>
          <w:lang w:eastAsia="zh-CN"/>
        </w:rPr>
        <w:t>增加</w:t>
      </w:r>
      <w:r>
        <w:rPr>
          <w:rFonts w:hint="eastAsia" w:ascii="仿宋_GB2312" w:hAnsi="仿宋_GB2312" w:cs="仿宋_GB2312"/>
          <w:szCs w:val="32"/>
        </w:rPr>
        <w:t>值×折电系数×</w:t>
      </w:r>
      <w:r>
        <w:rPr>
          <w:rFonts w:hint="eastAsia" w:ascii="仿宋_GB2312" w:hAnsi="仿宋_GB2312" w:cs="仿宋_GB2312"/>
          <w:szCs w:val="32"/>
          <w:lang w:val="en-US" w:eastAsia="zh-CN"/>
        </w:rPr>
        <w:t>10</w:t>
      </w:r>
      <w:r>
        <w:rPr>
          <w:rFonts w:hint="eastAsia" w:ascii="仿宋_GB2312" w:hAnsi="仿宋_GB2312" w:cs="仿宋_GB2312"/>
          <w:szCs w:val="32"/>
        </w:rPr>
        <w:t>%，并限期改正。</w:t>
      </w:r>
    </w:p>
    <w:p>
      <w:pPr>
        <w:spacing w:line="560" w:lineRule="exact"/>
        <w:ind w:firstLine="624" w:firstLineChars="200"/>
        <w:rPr>
          <w:rFonts w:hint="eastAsia" w:ascii="仿宋_GB2312" w:hAnsi="仿宋_GB2312" w:cs="仿宋_GB2312"/>
          <w:szCs w:val="32"/>
        </w:rPr>
      </w:pPr>
      <w:r>
        <w:rPr>
          <w:rFonts w:hint="eastAsia" w:ascii="仿宋_GB2312" w:hAnsi="仿宋_GB2312" w:cs="仿宋_GB2312"/>
          <w:szCs w:val="32"/>
        </w:rPr>
        <w:t>（2）乙方未在限期内改正的，</w:t>
      </w:r>
      <w:r>
        <w:rPr>
          <w:rFonts w:hint="eastAsia" w:ascii="仿宋_GB2312" w:hAnsi="楷体"/>
          <w:szCs w:val="32"/>
        </w:rPr>
        <w:t>在任一土地出让年期考核阶段内，</w:t>
      </w:r>
      <w:r>
        <w:rPr>
          <w:rFonts w:hint="eastAsia" w:ascii="仿宋_GB2312" w:hAnsi="仿宋_GB2312" w:cs="仿宋_GB2312"/>
          <w:szCs w:val="32"/>
        </w:rPr>
        <w:t>乙方均应向甲方支付</w:t>
      </w:r>
      <w:r>
        <w:rPr>
          <w:rFonts w:hint="eastAsia" w:ascii="仿宋_GB2312" w:hAnsi="仿宋_GB2312" w:cs="仿宋_GB2312"/>
          <w:szCs w:val="32"/>
          <w:lang w:eastAsia="zh-CN"/>
        </w:rPr>
        <w:t>增加</w:t>
      </w:r>
      <w:r>
        <w:rPr>
          <w:rFonts w:hint="eastAsia" w:ascii="仿宋_GB2312" w:hAnsi="仿宋_GB2312" w:cs="仿宋_GB2312"/>
          <w:szCs w:val="32"/>
        </w:rPr>
        <w:t>值能耗超标部分能耗费用的</w:t>
      </w:r>
      <w:r>
        <w:rPr>
          <w:rFonts w:hint="eastAsia" w:ascii="仿宋_GB2312" w:hAnsi="仿宋_GB2312" w:cs="仿宋_GB2312"/>
          <w:szCs w:val="32"/>
          <w:lang w:val="en-US" w:eastAsia="zh-CN"/>
        </w:rPr>
        <w:t>10</w:t>
      </w:r>
      <w:r>
        <w:rPr>
          <w:rFonts w:hint="eastAsia" w:ascii="仿宋_GB2312" w:hAnsi="仿宋_GB2312" w:cs="仿宋_GB2312"/>
          <w:szCs w:val="32"/>
        </w:rPr>
        <w:t>%作为违约金，直至经核查</w:t>
      </w:r>
      <w:r>
        <w:rPr>
          <w:rFonts w:hint="eastAsia" w:ascii="仿宋_GB2312" w:hAnsi="仿宋_GB2312" w:cs="仿宋_GB2312"/>
          <w:szCs w:val="32"/>
          <w:lang w:eastAsia="zh-CN"/>
        </w:rPr>
        <w:t>增加</w:t>
      </w:r>
      <w:r>
        <w:rPr>
          <w:rFonts w:hint="eastAsia" w:ascii="仿宋_GB2312" w:hAnsi="仿宋_GB2312" w:cs="仿宋_GB2312"/>
          <w:szCs w:val="32"/>
        </w:rPr>
        <w:t>值能耗达到约定要求为止。</w:t>
      </w:r>
    </w:p>
    <w:p>
      <w:pPr>
        <w:spacing w:line="560" w:lineRule="exact"/>
        <w:ind w:firstLine="624" w:firstLineChars="200"/>
        <w:rPr>
          <w:rFonts w:hint="eastAsia" w:ascii="仿宋_GB2312" w:hAnsi="仿宋_GB2312" w:cs="仿宋_GB2312"/>
          <w:szCs w:val="32"/>
        </w:rPr>
      </w:pPr>
      <w:r>
        <w:rPr>
          <w:rFonts w:hint="eastAsia" w:ascii="仿宋_GB2312" w:hAnsi="仿宋_GB2312" w:cs="仿宋_GB2312"/>
          <w:szCs w:val="32"/>
        </w:rPr>
        <w:t>（3）乙方应自甲方出具核查不合格通知书之日起20个自然日内缴纳违约金，未如期缴纳违约金的，违约金按全国银行间同业拆借中心公布的</w:t>
      </w:r>
      <w:r>
        <w:rPr>
          <w:rFonts w:hint="eastAsia" w:ascii="仿宋_GB2312" w:hAnsi="仿宋_GB2312" w:cs="仿宋_GB2312"/>
          <w:szCs w:val="32"/>
          <w:lang w:eastAsia="zh-CN"/>
        </w:rPr>
        <w:t>一年期</w:t>
      </w:r>
      <w:r>
        <w:rPr>
          <w:rFonts w:hint="eastAsia" w:ascii="仿宋_GB2312" w:hAnsi="仿宋_GB2312" w:cs="仿宋_GB2312"/>
          <w:szCs w:val="32"/>
        </w:rPr>
        <w:t>贷款市场报价利率计息，直至缴清违约金及利息为止。</w:t>
      </w:r>
    </w:p>
    <w:p>
      <w:pPr>
        <w:spacing w:line="560" w:lineRule="exact"/>
        <w:ind w:firstLine="624" w:firstLineChars="200"/>
        <w:rPr>
          <w:rFonts w:hint="eastAsia" w:ascii="仿宋_GB2312" w:hAnsi="仿宋_GB2312" w:cs="仿宋_GB2312"/>
          <w:color w:val="auto"/>
          <w:szCs w:val="32"/>
        </w:rPr>
      </w:pPr>
      <w:r>
        <w:rPr>
          <w:rFonts w:hint="eastAsia" w:ascii="仿宋_GB2312" w:hAnsi="仿宋_GB2312" w:cs="仿宋_GB2312"/>
          <w:szCs w:val="32"/>
        </w:rPr>
        <w:t>4.</w:t>
      </w:r>
      <w:r>
        <w:rPr>
          <w:rFonts w:hint="eastAsia" w:ascii="仿宋_GB2312" w:hAnsi="仿宋_GB2312" w:cs="仿宋_GB2312"/>
          <w:color w:val="auto"/>
          <w:szCs w:val="32"/>
        </w:rPr>
        <w:t>违反产值规模的违约责任</w:t>
      </w:r>
    </w:p>
    <w:p>
      <w:pPr>
        <w:spacing w:line="560" w:lineRule="exact"/>
        <w:ind w:firstLine="624" w:firstLineChars="200"/>
        <w:rPr>
          <w:rFonts w:hint="eastAsia" w:ascii="仿宋_GB2312" w:hAnsi="楷体"/>
          <w:szCs w:val="32"/>
        </w:rPr>
      </w:pPr>
      <w:r>
        <w:rPr>
          <w:rFonts w:hint="eastAsia" w:ascii="仿宋_GB2312" w:hAnsi="楷体"/>
          <w:szCs w:val="32"/>
        </w:rPr>
        <w:t>经甲方核查，乙方未达到本协议</w:t>
      </w:r>
      <w:r>
        <w:rPr>
          <w:rFonts w:hint="eastAsia" w:ascii="仿宋_GB2312" w:hAnsi="宋体"/>
          <w:szCs w:val="32"/>
        </w:rPr>
        <w:t>第三（四）5款</w:t>
      </w:r>
      <w:r>
        <w:rPr>
          <w:rFonts w:hint="eastAsia" w:ascii="仿宋_GB2312" w:hAnsi="楷体"/>
          <w:szCs w:val="32"/>
        </w:rPr>
        <w:t>承诺的产值规模，自甲方出具核验不合格通知书之日起20个自然日内，乙方应向甲方缴纳违约金，</w:t>
      </w:r>
      <w:r>
        <w:rPr>
          <w:rFonts w:hint="eastAsia" w:ascii="仿宋_GB2312" w:hAnsi="楷体"/>
          <w:szCs w:val="32"/>
          <w:lang w:eastAsia="zh-CN"/>
        </w:rPr>
        <w:t>乙</w:t>
      </w:r>
      <w:r>
        <w:rPr>
          <w:rFonts w:hint="eastAsia" w:ascii="仿宋_GB2312" w:hAnsi="楷体"/>
          <w:szCs w:val="32"/>
        </w:rPr>
        <w:t>方应缴纳的违约金金额=（承诺产值规模-实际产值规模）×5%。</w:t>
      </w:r>
      <w:r>
        <w:rPr>
          <w:rFonts w:hint="eastAsia" w:ascii="仿宋_GB2312" w:hAnsi="仿宋_GB2312" w:cs="仿宋_GB2312"/>
          <w:szCs w:val="32"/>
        </w:rPr>
        <w:t>未如期缴纳违约金的，违约金按全国银行间同业拆借中心公布的</w:t>
      </w:r>
      <w:r>
        <w:rPr>
          <w:rFonts w:hint="eastAsia" w:ascii="仿宋_GB2312" w:hAnsi="仿宋_GB2312" w:cs="仿宋_GB2312"/>
          <w:szCs w:val="32"/>
          <w:lang w:eastAsia="zh-CN"/>
        </w:rPr>
        <w:t>一年期</w:t>
      </w:r>
      <w:r>
        <w:rPr>
          <w:rFonts w:hint="eastAsia" w:ascii="仿宋_GB2312" w:hAnsi="仿宋_GB2312" w:cs="仿宋_GB2312"/>
          <w:szCs w:val="32"/>
        </w:rPr>
        <w:t>贷款市场报价利率计息，直至缴清违约金及利息为止。</w:t>
      </w:r>
      <w:r>
        <w:rPr>
          <w:rFonts w:hint="eastAsia" w:ascii="仿宋_GB2312" w:hAnsi="楷体"/>
          <w:szCs w:val="32"/>
        </w:rPr>
        <w:t>若第三（四）5款（1）约定的五年承诺期届满后，乙方未达到承诺数据的</w:t>
      </w:r>
      <w:r>
        <w:rPr>
          <w:rFonts w:hint="eastAsia" w:ascii="仿宋_GB2312" w:hAnsi="楷体"/>
          <w:szCs w:val="32"/>
          <w:highlight w:val="none"/>
          <w:lang w:val="en-US" w:eastAsia="zh-CN"/>
        </w:rPr>
        <w:t>50</w:t>
      </w:r>
      <w:r>
        <w:rPr>
          <w:rFonts w:hint="eastAsia" w:ascii="仿宋_GB2312" w:hAnsi="楷体"/>
          <w:szCs w:val="32"/>
        </w:rPr>
        <w:t>%的，除按照上述要求支付违约金外，</w:t>
      </w:r>
      <w:r>
        <w:rPr>
          <w:rFonts w:hint="eastAsia" w:ascii="仿宋_GB2312"/>
          <w:szCs w:val="32"/>
        </w:rPr>
        <w:t>甲方或甲方指定的机构</w:t>
      </w:r>
      <w:r>
        <w:rPr>
          <w:rFonts w:hint="eastAsia" w:ascii="仿宋_GB2312" w:hAnsi="楷体"/>
          <w:szCs w:val="32"/>
        </w:rPr>
        <w:t>有权以指定的审核机构审定的建安成本价回购不少于</w:t>
      </w:r>
      <w:r>
        <w:rPr>
          <w:rFonts w:hint="eastAsia" w:ascii="仿宋_GB2312" w:hAnsi="楷体"/>
          <w:szCs w:val="32"/>
          <w:highlight w:val="none"/>
          <w:lang w:val="en-US" w:eastAsia="zh-CN"/>
        </w:rPr>
        <w:t>50</w:t>
      </w:r>
      <w:r>
        <w:rPr>
          <w:rFonts w:hint="eastAsia" w:ascii="仿宋_GB2312" w:hAnsi="楷体"/>
          <w:szCs w:val="32"/>
        </w:rPr>
        <w:t>%自持建筑；未达到承诺数据的</w:t>
      </w:r>
      <w:r>
        <w:rPr>
          <w:rFonts w:hint="eastAsia" w:ascii="仿宋_GB2312" w:hAnsi="楷体"/>
          <w:szCs w:val="32"/>
          <w:highlight w:val="none"/>
          <w:lang w:val="en-US" w:eastAsia="zh-CN"/>
        </w:rPr>
        <w:t>20</w:t>
      </w:r>
      <w:r>
        <w:rPr>
          <w:rFonts w:hint="eastAsia" w:ascii="仿宋_GB2312" w:hAnsi="楷体"/>
          <w:szCs w:val="32"/>
        </w:rPr>
        <w:t>%的，除按照上述要求支付违约金外，</w:t>
      </w:r>
      <w:r>
        <w:rPr>
          <w:rFonts w:hint="eastAsia" w:ascii="仿宋_GB2312"/>
          <w:szCs w:val="32"/>
        </w:rPr>
        <w:t>甲方或甲方指定的机构有权以</w:t>
      </w:r>
      <w:r>
        <w:rPr>
          <w:rFonts w:hint="eastAsia" w:ascii="仿宋_GB2312" w:hAnsi="楷体"/>
          <w:szCs w:val="32"/>
        </w:rPr>
        <w:t>指定的审核机构</w:t>
      </w:r>
      <w:r>
        <w:rPr>
          <w:rFonts w:hint="eastAsia" w:ascii="仿宋_GB2312"/>
          <w:szCs w:val="32"/>
        </w:rPr>
        <w:t>审定的建安成本价回购全部自持建筑，政府无偿收回建设用地使用权，同时甲方提请区政府批准后，土地主管部门有权解除土地使用权出让合同</w:t>
      </w:r>
      <w:r>
        <w:rPr>
          <w:rFonts w:hint="eastAsia" w:ascii="仿宋_GB2312" w:hAnsi="楷体"/>
          <w:szCs w:val="32"/>
        </w:rPr>
        <w:t>。</w:t>
      </w:r>
    </w:p>
    <w:p>
      <w:pPr>
        <w:spacing w:line="600" w:lineRule="exact"/>
        <w:ind w:firstLine="570"/>
        <w:rPr>
          <w:rFonts w:hint="eastAsia" w:ascii="仿宋_GB2312" w:hAnsi="楷体"/>
          <w:szCs w:val="32"/>
        </w:rPr>
      </w:pPr>
      <w:r>
        <w:rPr>
          <w:rFonts w:hint="eastAsia" w:ascii="仿宋_GB2312" w:hAnsi="仿宋_GB2312" w:cs="仿宋_GB2312"/>
          <w:color w:val="auto"/>
          <w:szCs w:val="32"/>
          <w:lang w:val="en-US" w:eastAsia="zh-CN"/>
        </w:rPr>
        <w:t>5.</w:t>
      </w:r>
      <w:r>
        <w:rPr>
          <w:rFonts w:hint="eastAsia" w:ascii="仿宋_GB2312" w:hAnsi="宋体"/>
          <w:color w:val="auto"/>
          <w:szCs w:val="32"/>
        </w:rPr>
        <w:t>违反</w:t>
      </w:r>
      <w:r>
        <w:rPr>
          <w:rFonts w:hint="eastAsia" w:ascii="仿宋_GB2312" w:hAnsi="仿宋_GB2312" w:cs="仿宋_GB2312"/>
          <w:color w:val="auto"/>
          <w:szCs w:val="32"/>
        </w:rPr>
        <w:t>纳税规模的违约责任</w:t>
      </w:r>
    </w:p>
    <w:p>
      <w:pPr>
        <w:spacing w:line="560" w:lineRule="exact"/>
        <w:ind w:firstLine="624" w:firstLineChars="200"/>
        <w:rPr>
          <w:rFonts w:hint="eastAsia" w:ascii="仿宋_GB2312" w:hAnsi="楷体" w:eastAsia="仿宋_GB2312"/>
          <w:szCs w:val="32"/>
          <w:lang w:val="en-US" w:eastAsia="zh-CN"/>
        </w:rPr>
      </w:pPr>
      <w:r>
        <w:rPr>
          <w:rFonts w:hint="eastAsia" w:ascii="仿宋_GB2312" w:hAnsi="楷体"/>
          <w:szCs w:val="32"/>
        </w:rPr>
        <w:t>经甲方核查，乙方未达到本协议</w:t>
      </w:r>
      <w:r>
        <w:rPr>
          <w:rFonts w:hint="eastAsia" w:ascii="仿宋_GB2312" w:hAnsi="宋体"/>
          <w:szCs w:val="32"/>
        </w:rPr>
        <w:t>第三（四）6款</w:t>
      </w:r>
      <w:r>
        <w:rPr>
          <w:rFonts w:hint="eastAsia" w:ascii="仿宋_GB2312" w:hAnsi="楷体"/>
          <w:szCs w:val="32"/>
        </w:rPr>
        <w:t>承诺的纳税规模，自甲方出具核验不合格通知书之日起20个自然日内，乙方应向甲方缴纳违约金，</w:t>
      </w:r>
      <w:r>
        <w:rPr>
          <w:rFonts w:hint="eastAsia" w:ascii="仿宋_GB2312" w:hAnsi="楷体"/>
          <w:szCs w:val="32"/>
          <w:lang w:eastAsia="zh-CN"/>
        </w:rPr>
        <w:t>乙</w:t>
      </w:r>
      <w:r>
        <w:rPr>
          <w:rFonts w:hint="eastAsia" w:ascii="仿宋_GB2312" w:hAnsi="楷体"/>
          <w:szCs w:val="32"/>
        </w:rPr>
        <w:t>方应缴纳的总违约金金额=（承诺纳税总额-实际纳税总额）</w:t>
      </w:r>
      <w:r>
        <w:rPr>
          <w:rFonts w:hint="eastAsia" w:ascii="仿宋_GB2312" w:hAnsi="楷体"/>
          <w:szCs w:val="32"/>
          <w:lang w:eastAsia="zh-CN"/>
        </w:rPr>
        <w:t>。</w:t>
      </w:r>
      <w:r>
        <w:rPr>
          <w:rFonts w:hint="eastAsia" w:ascii="仿宋_GB2312" w:hAnsi="仿宋_GB2312" w:cs="仿宋_GB2312"/>
          <w:szCs w:val="32"/>
        </w:rPr>
        <w:t>未如期缴纳违约金的，违约金按全国银行间同业拆借中心公布的</w:t>
      </w:r>
      <w:r>
        <w:rPr>
          <w:rFonts w:hint="eastAsia" w:ascii="仿宋_GB2312" w:hAnsi="仿宋_GB2312" w:cs="仿宋_GB2312"/>
          <w:szCs w:val="32"/>
          <w:lang w:eastAsia="zh-CN"/>
        </w:rPr>
        <w:t>一年期</w:t>
      </w:r>
      <w:r>
        <w:rPr>
          <w:rFonts w:hint="eastAsia" w:ascii="仿宋_GB2312" w:hAnsi="仿宋_GB2312" w:cs="仿宋_GB2312"/>
          <w:szCs w:val="32"/>
        </w:rPr>
        <w:t>贷款市场报价利率计息，直至缴清违约金及利息为止。</w:t>
      </w:r>
      <w:r>
        <w:rPr>
          <w:rFonts w:hint="eastAsia" w:ascii="仿宋_GB2312" w:hAnsi="楷体"/>
          <w:szCs w:val="32"/>
        </w:rPr>
        <w:t>若任一承诺期届满后，乙方未达到承诺数据的</w:t>
      </w:r>
      <w:r>
        <w:rPr>
          <w:rFonts w:hint="eastAsia" w:ascii="仿宋_GB2312" w:hAnsi="楷体"/>
          <w:szCs w:val="32"/>
          <w:highlight w:val="none"/>
          <w:lang w:val="en-US" w:eastAsia="zh-CN"/>
        </w:rPr>
        <w:t>50</w:t>
      </w:r>
      <w:r>
        <w:rPr>
          <w:rFonts w:hint="eastAsia" w:ascii="仿宋_GB2312" w:hAnsi="楷体"/>
          <w:szCs w:val="32"/>
        </w:rPr>
        <w:t>%的，除按照上述要求支付违约金外，</w:t>
      </w:r>
      <w:r>
        <w:rPr>
          <w:rFonts w:hint="eastAsia" w:ascii="仿宋_GB2312"/>
          <w:szCs w:val="32"/>
        </w:rPr>
        <w:t>甲方或甲方指定的机构</w:t>
      </w:r>
      <w:r>
        <w:rPr>
          <w:rFonts w:hint="eastAsia" w:ascii="仿宋_GB2312" w:hAnsi="楷体"/>
          <w:szCs w:val="32"/>
        </w:rPr>
        <w:t>有权以指定的审核机构审定的建安成本价回购不少于</w:t>
      </w:r>
      <w:r>
        <w:rPr>
          <w:rFonts w:hint="eastAsia" w:ascii="仿宋_GB2312" w:hAnsi="楷体"/>
          <w:szCs w:val="32"/>
          <w:highlight w:val="none"/>
          <w:lang w:val="en-US" w:eastAsia="zh-CN"/>
        </w:rPr>
        <w:t>50</w:t>
      </w:r>
      <w:r>
        <w:rPr>
          <w:rFonts w:hint="eastAsia" w:ascii="仿宋_GB2312" w:hAnsi="楷体"/>
          <w:szCs w:val="32"/>
        </w:rPr>
        <w:t>%自持建筑；未达到承诺数据的</w:t>
      </w:r>
      <w:r>
        <w:rPr>
          <w:rFonts w:hint="eastAsia" w:ascii="仿宋_GB2312" w:hAnsi="楷体"/>
          <w:szCs w:val="32"/>
          <w:highlight w:val="none"/>
          <w:lang w:val="en-US" w:eastAsia="zh-CN"/>
        </w:rPr>
        <w:t>20</w:t>
      </w:r>
      <w:r>
        <w:rPr>
          <w:rFonts w:hint="eastAsia" w:ascii="仿宋_GB2312" w:hAnsi="楷体"/>
          <w:szCs w:val="32"/>
        </w:rPr>
        <w:t>%的，除按照上述要求支付违约金外，</w:t>
      </w:r>
      <w:r>
        <w:rPr>
          <w:rFonts w:hint="eastAsia" w:ascii="仿宋_GB2312"/>
          <w:szCs w:val="32"/>
        </w:rPr>
        <w:t>甲方或甲方指定的机构有权以</w:t>
      </w:r>
      <w:r>
        <w:rPr>
          <w:rFonts w:hint="eastAsia" w:ascii="仿宋_GB2312" w:hAnsi="楷体"/>
          <w:szCs w:val="32"/>
        </w:rPr>
        <w:t>指定的审核机构</w:t>
      </w:r>
      <w:r>
        <w:rPr>
          <w:rFonts w:hint="eastAsia" w:ascii="仿宋_GB2312"/>
          <w:szCs w:val="32"/>
        </w:rPr>
        <w:t>审定的建安成本价回购全部自持建筑，政府无偿收回建设用地使用权，同时甲方提请区政府批准后，土地主管部门有权解除土地使用权出让合同。</w:t>
      </w:r>
    </w:p>
    <w:p>
      <w:pPr>
        <w:spacing w:line="560" w:lineRule="exact"/>
        <w:ind w:firstLine="624" w:firstLineChars="200"/>
        <w:rPr>
          <w:rFonts w:hint="eastAsia" w:ascii="仿宋_GB2312" w:hAnsi="仿宋_GB2312" w:cs="仿宋_GB2312"/>
          <w:szCs w:val="32"/>
        </w:rPr>
      </w:pPr>
      <w:r>
        <w:rPr>
          <w:rFonts w:hint="eastAsia" w:ascii="仿宋_GB2312" w:hAnsi="仿宋_GB2312" w:cs="仿宋_GB2312"/>
          <w:szCs w:val="32"/>
          <w:lang w:val="en-US" w:eastAsia="zh-CN"/>
        </w:rPr>
        <w:t>6</w:t>
      </w:r>
      <w:r>
        <w:rPr>
          <w:rFonts w:hint="eastAsia" w:ascii="仿宋_GB2312" w:hAnsi="仿宋_GB2312" w:cs="仿宋_GB2312"/>
          <w:szCs w:val="32"/>
        </w:rPr>
        <w:t>.违反转让、出租物业约定的违约责任</w:t>
      </w:r>
    </w:p>
    <w:p>
      <w:pPr>
        <w:spacing w:line="560" w:lineRule="exact"/>
        <w:ind w:firstLine="624" w:firstLineChars="200"/>
        <w:rPr>
          <w:rFonts w:hint="eastAsia" w:ascii="仿宋_GB2312" w:hAnsi="仿宋_GB2312" w:cs="仿宋_GB2312"/>
          <w:szCs w:val="32"/>
        </w:rPr>
      </w:pPr>
      <w:r>
        <w:rPr>
          <w:rFonts w:hint="eastAsia" w:ascii="仿宋_GB2312" w:hAnsi="仿宋_GB2312" w:cs="仿宋_GB2312"/>
          <w:szCs w:val="32"/>
        </w:rPr>
        <w:t>在土地出让年期内，经甲方核查，乙方违反本协议第三（五）项约定出租物业的，甲方有权要求乙方退还违规出租物业实际收取的租金（无法核实实际收取的租金的，按市场租金水平计算），并按乙方违规出租物业实际收取的租金或按市场租金水平的</w:t>
      </w:r>
      <w:r>
        <w:rPr>
          <w:rFonts w:ascii="仿宋_GB2312" w:hAnsi="仿宋_GB2312" w:cs="仿宋_GB2312"/>
          <w:szCs w:val="32"/>
        </w:rPr>
        <w:t>2倍</w:t>
      </w:r>
      <w:r>
        <w:rPr>
          <w:rFonts w:hint="eastAsia" w:ascii="仿宋_GB2312" w:hAnsi="仿宋_GB2312" w:cs="仿宋_GB2312"/>
          <w:szCs w:val="32"/>
        </w:rPr>
        <w:t>收取违约金，即违约金=乙方违规出租物业租金/月×违规出租物业时间月数（以实际租赁时间为准）×</w:t>
      </w:r>
      <w:r>
        <w:rPr>
          <w:rFonts w:hint="eastAsia" w:ascii="仿宋_GB2312" w:hAnsi="仿宋_GB2312" w:cs="仿宋_GB2312"/>
          <w:szCs w:val="32"/>
          <w:highlight w:val="none"/>
          <w:lang w:val="en-US" w:eastAsia="zh-CN"/>
        </w:rPr>
        <w:t>2</w:t>
      </w:r>
      <w:r>
        <w:rPr>
          <w:rFonts w:hint="eastAsia" w:ascii="仿宋_GB2312" w:hAnsi="仿宋_GB2312" w:cs="仿宋_GB2312"/>
          <w:szCs w:val="32"/>
        </w:rPr>
        <w:t>，</w:t>
      </w:r>
      <w:r>
        <w:rPr>
          <w:rFonts w:hint="eastAsia"/>
        </w:rPr>
        <w:t>不足一个月的按一个月计。</w:t>
      </w:r>
      <w:r>
        <w:rPr>
          <w:rFonts w:hint="eastAsia" w:ascii="仿宋_GB2312" w:hAnsi="仿宋_GB2312" w:cs="仿宋_GB2312"/>
          <w:szCs w:val="32"/>
        </w:rPr>
        <w:t>违反本协议第三（五）</w:t>
      </w:r>
      <w:r>
        <w:rPr>
          <w:rFonts w:hint="eastAsia" w:ascii="仿宋_GB2312" w:hAnsi="仿宋_GB2312" w:cs="仿宋_GB2312"/>
          <w:szCs w:val="32"/>
          <w:lang w:eastAsia="zh-CN"/>
        </w:rPr>
        <w:t>（七）</w:t>
      </w:r>
      <w:r>
        <w:rPr>
          <w:rFonts w:hint="eastAsia" w:ascii="仿宋_GB2312" w:hAnsi="仿宋_GB2312" w:cs="仿宋_GB2312"/>
          <w:szCs w:val="32"/>
        </w:rPr>
        <w:t>项约定转让本项目物业</w:t>
      </w:r>
      <w:r>
        <w:rPr>
          <w:rFonts w:hint="eastAsia" w:ascii="仿宋_GB2312" w:hAnsi="仿宋_GB2312" w:cs="仿宋_GB2312"/>
          <w:szCs w:val="32"/>
          <w:lang w:eastAsia="zh-CN"/>
        </w:rPr>
        <w:t>或股权</w:t>
      </w:r>
      <w:r>
        <w:rPr>
          <w:rFonts w:hint="eastAsia" w:ascii="仿宋_GB2312" w:hAnsi="仿宋_GB2312" w:cs="仿宋_GB2312"/>
          <w:szCs w:val="32"/>
        </w:rPr>
        <w:t>的，甲方提请区政府批准后，土地主管部门有权解除土地使用权出让合同，无偿收回土地使用权，地上建（构）筑物及其附属设施</w:t>
      </w:r>
      <w:r>
        <w:rPr>
          <w:rFonts w:hint="eastAsia"/>
        </w:rPr>
        <w:t>按残值方式以</w:t>
      </w:r>
      <w:r>
        <w:rPr>
          <w:rFonts w:hint="eastAsia" w:ascii="仿宋_GB2312" w:hAnsi="楷体"/>
          <w:szCs w:val="32"/>
        </w:rPr>
        <w:t>指定的审核机构</w:t>
      </w:r>
      <w:r>
        <w:rPr>
          <w:rFonts w:hint="eastAsia"/>
        </w:rPr>
        <w:t>审定的建安成本价补偿</w:t>
      </w:r>
      <w:r>
        <w:rPr>
          <w:rFonts w:hint="eastAsia" w:ascii="仿宋_GB2312" w:hAnsi="仿宋_GB2312" w:cs="仿宋_GB2312"/>
          <w:szCs w:val="32"/>
        </w:rPr>
        <w:t>。</w:t>
      </w:r>
    </w:p>
    <w:p>
      <w:pPr>
        <w:spacing w:line="560" w:lineRule="exact"/>
        <w:ind w:firstLine="624" w:firstLineChars="200"/>
        <w:rPr>
          <w:rFonts w:hint="eastAsia" w:ascii="仿宋_GB2312" w:hAnsi="仿宋_GB2312" w:cs="仿宋_GB2312"/>
          <w:szCs w:val="32"/>
        </w:rPr>
      </w:pPr>
      <w:r>
        <w:rPr>
          <w:rFonts w:hint="eastAsia" w:ascii="仿宋_GB2312" w:hAnsi="仿宋_GB2312" w:cs="仿宋_GB2312"/>
          <w:szCs w:val="32"/>
          <w:lang w:val="en-US" w:eastAsia="zh-CN"/>
        </w:rPr>
        <w:t>7</w:t>
      </w:r>
      <w:r>
        <w:rPr>
          <w:rFonts w:hint="eastAsia" w:ascii="仿宋_GB2312" w:hAnsi="仿宋_GB2312" w:cs="仿宋_GB2312"/>
          <w:szCs w:val="32"/>
        </w:rPr>
        <w:t>.违反投产时间的违约责任</w:t>
      </w:r>
    </w:p>
    <w:p>
      <w:pPr>
        <w:spacing w:line="560" w:lineRule="exact"/>
        <w:ind w:firstLine="624" w:firstLineChars="200"/>
        <w:rPr>
          <w:rFonts w:hint="eastAsia" w:ascii="仿宋_GB2312" w:hAnsi="仿宋_GB2312" w:cs="仿宋_GB2312"/>
          <w:szCs w:val="32"/>
        </w:rPr>
      </w:pPr>
      <w:r>
        <w:rPr>
          <w:rFonts w:hint="eastAsia" w:ascii="仿宋_GB2312" w:hAnsi="仿宋_GB2312" w:cs="仿宋_GB2312"/>
          <w:szCs w:val="32"/>
        </w:rPr>
        <w:t>违反本协议第三（四）2款约定的，乙方应按照土地使用权出让合同书的相关约定承担义务及违约责任。</w:t>
      </w:r>
    </w:p>
    <w:p>
      <w:pPr>
        <w:overflowPunct w:val="0"/>
        <w:spacing w:line="600" w:lineRule="exact"/>
        <w:ind w:firstLine="624" w:firstLineChars="200"/>
        <w:rPr>
          <w:rFonts w:hint="eastAsia" w:ascii="仿宋_GB2312" w:cs="仿宋_GB2312"/>
          <w:szCs w:val="32"/>
        </w:rPr>
      </w:pPr>
      <w:r>
        <w:rPr>
          <w:rFonts w:hint="eastAsia" w:ascii="仿宋_GB2312" w:hAnsi="Calibri" w:cs="仿宋_GB2312"/>
          <w:szCs w:val="32"/>
          <w:lang w:val="en-US" w:eastAsia="zh-CN" w:bidi="ar"/>
        </w:rPr>
        <w:t>8</w:t>
      </w:r>
      <w:r>
        <w:rPr>
          <w:rFonts w:hint="eastAsia" w:ascii="仿宋_GB2312" w:hAnsi="Calibri" w:cs="仿宋_GB2312"/>
          <w:szCs w:val="32"/>
          <w:lang w:bidi="ar"/>
        </w:rPr>
        <w:t>.违反实缴注册资本的违约责任</w:t>
      </w:r>
    </w:p>
    <w:p>
      <w:pPr>
        <w:overflowPunct w:val="0"/>
        <w:spacing w:line="600" w:lineRule="exact"/>
        <w:ind w:firstLine="624" w:firstLineChars="200"/>
        <w:rPr>
          <w:rFonts w:hint="eastAsia" w:ascii="仿宋_GB2312" w:hAnsi="Calibri" w:cs="仿宋_GB2312"/>
          <w:szCs w:val="32"/>
          <w:lang w:bidi="ar"/>
        </w:rPr>
      </w:pPr>
      <w:r>
        <w:rPr>
          <w:rFonts w:hint="eastAsia" w:ascii="仿宋_GB2312" w:hAnsi="Calibri" w:cs="仿宋_GB2312"/>
          <w:szCs w:val="32"/>
          <w:lang w:bidi="ar"/>
        </w:rPr>
        <w:t>在土地出让年期内，经甲方核查，乙方实缴注册资本未达到本协议第三（四）8款约定的，甲方有权要求乙方限期补足；限期内拒不补足的，甲方有权按照该地块</w:t>
      </w:r>
      <w:r>
        <w:rPr>
          <w:rFonts w:hint="eastAsia" w:ascii="仿宋_GB2312" w:hAnsi="Calibri" w:cs="新宋体"/>
          <w:szCs w:val="32"/>
          <w:lang w:bidi="ar"/>
        </w:rPr>
        <w:t>土地成交价的</w:t>
      </w:r>
      <w:r>
        <w:rPr>
          <w:rFonts w:hint="eastAsia" w:ascii="仿宋_GB2312" w:hAnsi="Calibri" w:cs="新宋体"/>
          <w:kern w:val="2"/>
          <w:sz w:val="32"/>
          <w:szCs w:val="32"/>
          <w:highlight w:val="none"/>
          <w:lang w:val="en-US" w:eastAsia="zh-CN" w:bidi="ar"/>
        </w:rPr>
        <w:t>1</w:t>
      </w:r>
      <w:r>
        <w:rPr>
          <w:rFonts w:hint="eastAsia" w:ascii="仿宋_GB2312" w:hAnsi="Calibri" w:cs="新宋体"/>
          <w:szCs w:val="32"/>
          <w:lang w:bidi="ar"/>
        </w:rPr>
        <w:t>‰</w:t>
      </w:r>
      <w:r>
        <w:rPr>
          <w:rFonts w:hint="eastAsia" w:ascii="仿宋_GB2312" w:hAnsi="Calibri" w:cs="仿宋_GB2312"/>
          <w:szCs w:val="32"/>
          <w:lang w:bidi="ar"/>
        </w:rPr>
        <w:t>向乙方收取违约金。</w:t>
      </w:r>
    </w:p>
    <w:p>
      <w:pPr>
        <w:spacing w:line="560" w:lineRule="exact"/>
        <w:ind w:firstLine="624" w:firstLineChars="200"/>
        <w:rPr>
          <w:rFonts w:hint="eastAsia" w:ascii="仿宋_GB2312" w:hAnsi="仿宋_GB2312" w:cs="仿宋_GB2312"/>
          <w:szCs w:val="32"/>
        </w:rPr>
      </w:pPr>
      <w:r>
        <w:rPr>
          <w:rFonts w:hint="eastAsia" w:ascii="仿宋_GB2312"/>
          <w:szCs w:val="32"/>
          <w:lang w:val="en-US" w:eastAsia="zh-CN"/>
        </w:rPr>
        <w:t>9</w:t>
      </w:r>
      <w:r>
        <w:rPr>
          <w:rFonts w:hint="eastAsia" w:ascii="仿宋_GB2312" w:hAnsi="仿宋_GB2312" w:cs="仿宋_GB2312"/>
          <w:szCs w:val="32"/>
        </w:rPr>
        <w:t>.违反权利限制的违约责任</w:t>
      </w:r>
    </w:p>
    <w:p>
      <w:pPr>
        <w:spacing w:line="600" w:lineRule="exact"/>
        <w:ind w:firstLine="570"/>
        <w:rPr>
          <w:rFonts w:hint="eastAsia" w:ascii="仿宋_GB2312" w:hAnsi="楷体"/>
          <w:szCs w:val="32"/>
        </w:rPr>
      </w:pPr>
      <w:r>
        <w:rPr>
          <w:rFonts w:hint="eastAsia" w:ascii="仿宋_GB2312" w:hAnsi="楷体"/>
          <w:szCs w:val="32"/>
        </w:rPr>
        <w:t>（1）</w:t>
      </w:r>
      <w:r>
        <w:rPr>
          <w:rFonts w:hint="eastAsia" w:ascii="仿宋_GB2312" w:hAnsi="仿宋_GB2312" w:cs="仿宋_GB2312"/>
          <w:szCs w:val="32"/>
        </w:rPr>
        <w:t>违反本协议第三（四）1款约定</w:t>
      </w:r>
      <w:r>
        <w:rPr>
          <w:rFonts w:hint="eastAsia" w:ascii="仿宋_GB2312" w:hAnsi="楷体"/>
          <w:szCs w:val="32"/>
        </w:rPr>
        <w:t>的，提请区政府批准后，土地主管部门有权解除土地使用权出让合同，无偿收回建设用地，附着于土地上的建（构）筑物不予补偿。</w:t>
      </w:r>
    </w:p>
    <w:p>
      <w:pPr>
        <w:spacing w:line="600" w:lineRule="exact"/>
        <w:ind w:firstLine="624" w:firstLineChars="200"/>
        <w:rPr>
          <w:rFonts w:hint="eastAsia" w:ascii="仿宋_GB2312" w:hAnsi="楷体"/>
          <w:szCs w:val="32"/>
        </w:rPr>
      </w:pPr>
      <w:r>
        <w:rPr>
          <w:rFonts w:hint="eastAsia" w:ascii="仿宋_GB2312" w:hAnsi="楷体"/>
          <w:szCs w:val="32"/>
        </w:rPr>
        <w:t>（2）若经甲方核查，在土地出让年期内，乙方存在以下情形之一的，甲方有权责令乙方在60个自然日内改正，同时乙方应在收到甲方的通知之日起20个自然日内按该地块土地成交价的20%向甲方缴纳违约金。超过60个自然日仍未完成改正的，乙方除缴纳违约金外，还应自第61日起以本项应缴违约金为基数，</w:t>
      </w:r>
      <w:r>
        <w:rPr>
          <w:rFonts w:hint="eastAsia"/>
        </w:rPr>
        <w:t>按全国银行间同业拆借中心公布的一年期贷款市场报价利率支付相应的利息，直至完成改正之日为止</w:t>
      </w:r>
      <w:r>
        <w:rPr>
          <w:rFonts w:hint="eastAsia" w:ascii="仿宋_GB2312" w:hAnsi="楷体"/>
          <w:szCs w:val="32"/>
        </w:rPr>
        <w:t>。乙方拒不改正的，甲方有权提请土地主管部门解除土地使用权出让合同，无偿收回建设用地，附着于土地上建（构）筑物不予补偿。</w:t>
      </w:r>
    </w:p>
    <w:p>
      <w:pPr>
        <w:spacing w:line="560" w:lineRule="exact"/>
        <w:ind w:firstLine="615" w:firstLineChars="197"/>
        <w:rPr>
          <w:rFonts w:ascii="仿宋_GB2312" w:hAnsi="楷体"/>
          <w:szCs w:val="32"/>
        </w:rPr>
      </w:pPr>
      <w:r>
        <w:rPr>
          <w:rFonts w:hint="eastAsia" w:ascii="仿宋_GB2312" w:hAnsi="楷体"/>
          <w:szCs w:val="32"/>
        </w:rPr>
        <w:sym w:font="Wingdings 2" w:char="0052"/>
      </w:r>
      <w:r>
        <w:rPr>
          <w:rFonts w:hint="eastAsia" w:ascii="仿宋_GB2312" w:hAnsi="楷体"/>
          <w:szCs w:val="32"/>
        </w:rPr>
        <w:t>乙方未按本协议约定，擅自变更该地块准入产业类别导致产业发展方向偏离项目准入产业的；</w:t>
      </w:r>
    </w:p>
    <w:p>
      <w:pPr>
        <w:spacing w:line="560" w:lineRule="exact"/>
        <w:ind w:firstLine="615" w:firstLineChars="197"/>
        <w:rPr>
          <w:rFonts w:ascii="仿宋_GB2312" w:hAnsi="楷体"/>
          <w:szCs w:val="32"/>
        </w:rPr>
      </w:pPr>
      <w:r>
        <w:rPr>
          <w:rFonts w:hint="eastAsia" w:ascii="仿宋_GB2312" w:hAnsi="楷体"/>
          <w:szCs w:val="32"/>
        </w:rPr>
        <w:sym w:font="Wingdings 2" w:char="0052"/>
      </w:r>
      <w:r>
        <w:rPr>
          <w:rFonts w:hint="eastAsia" w:ascii="仿宋_GB2312" w:hAnsi="楷体"/>
          <w:szCs w:val="32"/>
        </w:rPr>
        <w:t>乙方违反本协议约定抵押限制要求的；</w:t>
      </w:r>
    </w:p>
    <w:p>
      <w:pPr>
        <w:spacing w:line="560" w:lineRule="exact"/>
        <w:ind w:firstLine="615" w:firstLineChars="197"/>
        <w:rPr>
          <w:rFonts w:hint="eastAsia" w:ascii="仿宋_GB2312"/>
          <w:szCs w:val="32"/>
        </w:rPr>
      </w:pPr>
      <w:r>
        <w:rPr>
          <w:rFonts w:hint="eastAsia" w:ascii="仿宋_GB2312" w:hAnsi="楷体"/>
          <w:szCs w:val="32"/>
        </w:rPr>
        <w:sym w:font="Wingdings 2" w:char="0052"/>
      </w:r>
      <w:r>
        <w:rPr>
          <w:rFonts w:hint="eastAsia" w:ascii="仿宋_GB2312"/>
          <w:szCs w:val="32"/>
        </w:rPr>
        <w:t>乙方擅自改变上述产业用地的土地用途或建筑用途的；</w:t>
      </w:r>
    </w:p>
    <w:p>
      <w:pPr>
        <w:numPr>
          <w:ilvl w:val="0"/>
          <w:numId w:val="0"/>
        </w:numPr>
        <w:spacing w:line="600" w:lineRule="exact"/>
        <w:ind w:firstLine="624" w:firstLineChars="200"/>
        <w:rPr>
          <w:rFonts w:hint="eastAsia" w:ascii="仿宋_GB2312" w:hAnsi="楷体"/>
          <w:szCs w:val="32"/>
        </w:rPr>
      </w:pPr>
      <w:r>
        <w:rPr>
          <w:rFonts w:hint="eastAsia" w:ascii="仿宋_GB2312" w:hAnsi="楷体"/>
          <w:szCs w:val="32"/>
          <w:lang w:val="en-US" w:eastAsia="zh-CN"/>
        </w:rPr>
        <w:t>10.</w:t>
      </w:r>
      <w:r>
        <w:rPr>
          <w:rFonts w:hint="eastAsia" w:ascii="仿宋_GB2312" w:hAnsi="楷体"/>
          <w:szCs w:val="32"/>
        </w:rPr>
        <w:t>乙方违反本协议第三条“乙方的权利和义务”约定要求的，甲方有权依法依规采取停止对乙方有关优惠政策等措施。</w:t>
      </w:r>
    </w:p>
    <w:p>
      <w:pPr>
        <w:spacing w:line="600" w:lineRule="exact"/>
        <w:ind w:firstLine="624" w:firstLineChars="200"/>
        <w:rPr>
          <w:rFonts w:hint="eastAsia" w:ascii="仿宋_GB2312" w:hAnsi="楷体" w:eastAsia="仿宋_GB2312"/>
          <w:color w:val="auto"/>
          <w:szCs w:val="32"/>
          <w:lang w:eastAsia="zh-CN"/>
        </w:rPr>
      </w:pPr>
      <w:r>
        <w:rPr>
          <w:rFonts w:hint="eastAsia" w:ascii="仿宋_GB2312" w:hAnsi="楷体"/>
          <w:color w:val="auto"/>
          <w:szCs w:val="32"/>
        </w:rPr>
        <w:t>1</w:t>
      </w:r>
      <w:r>
        <w:rPr>
          <w:rFonts w:hint="eastAsia" w:ascii="仿宋_GB2312" w:hAnsi="楷体"/>
          <w:color w:val="auto"/>
          <w:szCs w:val="32"/>
          <w:lang w:val="en-US" w:eastAsia="zh-CN"/>
        </w:rPr>
        <w:t>1</w:t>
      </w:r>
      <w:r>
        <w:rPr>
          <w:rFonts w:hint="eastAsia" w:ascii="仿宋_GB2312" w:hAnsi="楷体"/>
          <w:color w:val="auto"/>
          <w:szCs w:val="32"/>
        </w:rPr>
        <w:t>.政府收回建设用地使用权时，由乙方自行理清与其他法律主体的债权债务关系</w:t>
      </w:r>
      <w:r>
        <w:rPr>
          <w:rFonts w:hint="eastAsia" w:ascii="仿宋_GB2312" w:hAnsi="楷体"/>
          <w:color w:val="auto"/>
          <w:szCs w:val="32"/>
          <w:lang w:eastAsia="zh-CN"/>
        </w:rPr>
        <w:t>。</w:t>
      </w:r>
    </w:p>
    <w:p>
      <w:pPr>
        <w:spacing w:line="560" w:lineRule="exact"/>
        <w:ind w:right="-49" w:rightChars="-16" w:firstLine="624" w:firstLineChars="200"/>
        <w:rPr>
          <w:rFonts w:hint="eastAsia" w:ascii="仿宋_GB2312" w:hAnsi="仿宋_GB2312" w:cs="仿宋_GB2312"/>
          <w:szCs w:val="32"/>
        </w:rPr>
      </w:pPr>
      <w:r>
        <w:rPr>
          <w:rFonts w:hint="eastAsia" w:ascii="黑体" w:hAnsi="黑体" w:eastAsia="黑体" w:cs="黑体"/>
          <w:szCs w:val="32"/>
        </w:rPr>
        <w:t>五、退出机制</w:t>
      </w:r>
    </w:p>
    <w:p>
      <w:pPr>
        <w:spacing w:line="600" w:lineRule="exact"/>
        <w:ind w:firstLine="624" w:firstLineChars="200"/>
        <w:rPr>
          <w:rFonts w:hint="eastAsia" w:ascii="仿宋_GB2312" w:hAnsi="楷体"/>
          <w:szCs w:val="32"/>
          <w:highlight w:val="none"/>
        </w:rPr>
      </w:pPr>
      <w:r>
        <w:rPr>
          <w:rFonts w:hint="eastAsia" w:ascii="仿宋_GB2312" w:hAnsi="楷体"/>
          <w:szCs w:val="32"/>
          <w:highlight w:val="none"/>
        </w:rPr>
        <w:t>（一）主动退出。乙方因自身原因终止项目投资建设，提出终止履行土地使用权出让合同并</w:t>
      </w:r>
      <w:r>
        <w:rPr>
          <w:rFonts w:hint="eastAsia" w:ascii="仿宋_GB2312" w:hAnsi="楷体"/>
          <w:szCs w:val="32"/>
          <w:highlight w:val="none"/>
          <w:lang w:eastAsia="zh-CN"/>
        </w:rPr>
        <w:t>申</w:t>
      </w:r>
      <w:r>
        <w:rPr>
          <w:rFonts w:hint="eastAsia" w:ascii="仿宋_GB2312" w:hAnsi="楷体"/>
          <w:szCs w:val="32"/>
          <w:highlight w:val="none"/>
        </w:rPr>
        <w:t>请退还土地的，在报经罗湖区人民政府批准后，分别按以下约定，退还部分建设用地使用权出让价款（不计利息），甲方可提请土地主管部门解除土地使用权出让合同</w:t>
      </w:r>
      <w:r>
        <w:rPr>
          <w:rFonts w:hint="eastAsia" w:ascii="仿宋_GB2312" w:hAnsi="楷体"/>
          <w:szCs w:val="32"/>
          <w:highlight w:val="none"/>
          <w:lang w:val="en-US" w:eastAsia="zh-CN"/>
        </w:rPr>
        <w:t>书</w:t>
      </w:r>
      <w:r>
        <w:rPr>
          <w:rFonts w:hint="eastAsia" w:ascii="仿宋_GB2312" w:hAnsi="楷体"/>
          <w:szCs w:val="32"/>
          <w:highlight w:val="none"/>
        </w:rPr>
        <w:t>，</w:t>
      </w:r>
      <w:r>
        <w:rPr>
          <w:rFonts w:hint="eastAsia" w:ascii="仿宋_GB2312" w:hAnsi="楷体"/>
          <w:szCs w:val="32"/>
          <w:highlight w:val="none"/>
          <w:lang w:val="en-US" w:eastAsia="zh-CN"/>
        </w:rPr>
        <w:t>由政府</w:t>
      </w:r>
      <w:r>
        <w:rPr>
          <w:rFonts w:hint="eastAsia" w:ascii="仿宋_GB2312" w:hAnsi="楷体"/>
          <w:szCs w:val="32"/>
          <w:highlight w:val="none"/>
        </w:rPr>
        <w:t>无偿收回建设用地，附着于土地上的建（构）筑物的补偿方式在土地使用权出让合同书中予以明确：</w:t>
      </w:r>
    </w:p>
    <w:p>
      <w:pPr>
        <w:spacing w:line="600" w:lineRule="exact"/>
        <w:ind w:firstLine="624" w:firstLineChars="200"/>
        <w:rPr>
          <w:rFonts w:hint="eastAsia" w:ascii="仿宋_GB2312" w:hAnsi="楷体"/>
          <w:szCs w:val="32"/>
          <w:highlight w:val="none"/>
        </w:rPr>
      </w:pPr>
      <w:r>
        <w:rPr>
          <w:rFonts w:hint="eastAsia" w:ascii="仿宋_GB2312" w:hAnsi="楷体"/>
          <w:szCs w:val="32"/>
          <w:highlight w:val="none"/>
        </w:rPr>
        <w:t>1.超过土地使用权出让合同书约定的开工建设日期但未满1年向出让人提出申请的，将</w:t>
      </w:r>
      <w:r>
        <w:rPr>
          <w:rFonts w:hint="eastAsia"/>
          <w:highlight w:val="none"/>
        </w:rPr>
        <w:t>已缴纳合同剩余年期的土地价款</w:t>
      </w:r>
      <w:r>
        <w:rPr>
          <w:rFonts w:hint="eastAsia" w:ascii="仿宋_GB2312" w:hAnsi="楷体"/>
          <w:szCs w:val="32"/>
          <w:highlight w:val="none"/>
        </w:rPr>
        <w:t>退还乙方；</w:t>
      </w:r>
    </w:p>
    <w:p>
      <w:pPr>
        <w:spacing w:line="600" w:lineRule="exact"/>
        <w:ind w:firstLine="624" w:firstLineChars="200"/>
        <w:rPr>
          <w:rFonts w:hint="eastAsia" w:ascii="仿宋_GB2312" w:hAnsi="楷体"/>
          <w:szCs w:val="32"/>
          <w:highlight w:val="none"/>
        </w:rPr>
      </w:pPr>
      <w:r>
        <w:rPr>
          <w:rFonts w:hint="eastAsia" w:ascii="仿宋_GB2312" w:hAnsi="楷体"/>
          <w:szCs w:val="32"/>
          <w:highlight w:val="none"/>
        </w:rPr>
        <w:t>2.超过土地使用权出让合同书约定的开工建设日期1年但未满2年向出让人提出申请的，按照规定征收土地闲置费后，将</w:t>
      </w:r>
      <w:r>
        <w:rPr>
          <w:rFonts w:hint="eastAsia"/>
          <w:highlight w:val="none"/>
        </w:rPr>
        <w:t>已缴纳合同剩余年期的土地价款</w:t>
      </w:r>
      <w:r>
        <w:rPr>
          <w:rFonts w:hint="eastAsia" w:ascii="仿宋_GB2312" w:hAnsi="楷体"/>
          <w:szCs w:val="32"/>
          <w:highlight w:val="none"/>
        </w:rPr>
        <w:t>退还乙方。</w:t>
      </w:r>
    </w:p>
    <w:p>
      <w:pPr>
        <w:spacing w:line="600" w:lineRule="exact"/>
        <w:ind w:firstLine="624" w:firstLineChars="200"/>
        <w:rPr>
          <w:rFonts w:hint="eastAsia" w:ascii="仿宋_GB2312" w:hAnsi="楷体"/>
          <w:szCs w:val="32"/>
          <w:highlight w:val="none"/>
        </w:rPr>
      </w:pPr>
      <w:r>
        <w:rPr>
          <w:rFonts w:hint="eastAsia" w:ascii="仿宋_GB2312" w:hAnsi="楷体"/>
          <w:szCs w:val="32"/>
          <w:highlight w:val="none"/>
        </w:rPr>
        <w:t>报经</w:t>
      </w:r>
      <w:r>
        <w:rPr>
          <w:rFonts w:hint="eastAsia" w:ascii="仿宋_GB2312" w:hAnsi="楷体"/>
          <w:szCs w:val="32"/>
          <w:highlight w:val="none"/>
          <w:lang w:eastAsia="zh-CN"/>
        </w:rPr>
        <w:t>罗湖区人民政府</w:t>
      </w:r>
      <w:r>
        <w:rPr>
          <w:rFonts w:hint="eastAsia" w:ascii="仿宋_GB2312" w:hAnsi="楷体"/>
          <w:szCs w:val="32"/>
          <w:highlight w:val="none"/>
        </w:rPr>
        <w:t>后未获批准的，乙方应继续履行土地使用权出让合同</w:t>
      </w:r>
      <w:r>
        <w:rPr>
          <w:rFonts w:hint="eastAsia" w:ascii="仿宋_GB2312" w:hAnsi="楷体"/>
          <w:szCs w:val="32"/>
          <w:highlight w:val="none"/>
          <w:lang w:val="en-US" w:eastAsia="zh-CN"/>
        </w:rPr>
        <w:t>书</w:t>
      </w:r>
      <w:r>
        <w:rPr>
          <w:rFonts w:hint="eastAsia" w:ascii="仿宋_GB2312" w:hAnsi="楷体"/>
          <w:szCs w:val="32"/>
          <w:highlight w:val="none"/>
        </w:rPr>
        <w:t>；拒不履行的，建设用地和附着于土地上的建（构）筑物</w:t>
      </w:r>
      <w:r>
        <w:rPr>
          <w:rFonts w:hint="eastAsia" w:ascii="仿宋_GB2312" w:hAnsi="楷体" w:eastAsia="仿宋_GB2312" w:cs="Times New Roman"/>
          <w:i w:val="0"/>
          <w:caps w:val="0"/>
          <w:spacing w:val="0"/>
          <w:sz w:val="32"/>
          <w:szCs w:val="32"/>
          <w:highlight w:val="none"/>
          <w:shd w:val="clear" w:color="auto" w:fill="auto"/>
        </w:rPr>
        <w:t>及其附属设施</w:t>
      </w:r>
      <w:r>
        <w:rPr>
          <w:rFonts w:hint="eastAsia" w:ascii="仿宋_GB2312" w:hAnsi="楷体"/>
          <w:szCs w:val="32"/>
          <w:highlight w:val="none"/>
        </w:rPr>
        <w:t>由甲方</w:t>
      </w:r>
      <w:r>
        <w:rPr>
          <w:rFonts w:hint="eastAsia" w:ascii="仿宋_GB2312" w:hAnsi="楷体" w:eastAsia="仿宋_GB2312" w:cs="Times New Roman"/>
          <w:i w:val="0"/>
          <w:caps w:val="0"/>
          <w:spacing w:val="0"/>
          <w:sz w:val="32"/>
          <w:szCs w:val="32"/>
          <w:highlight w:val="none"/>
          <w:shd w:val="clear" w:color="auto" w:fill="auto"/>
        </w:rPr>
        <w:t>按照约定</w:t>
      </w:r>
      <w:r>
        <w:rPr>
          <w:rFonts w:hint="eastAsia" w:ascii="仿宋_GB2312" w:hAnsi="楷体"/>
          <w:szCs w:val="32"/>
          <w:highlight w:val="none"/>
        </w:rPr>
        <w:t>无偿收回。</w:t>
      </w:r>
      <w:r>
        <w:rPr>
          <w:rFonts w:hint="eastAsia" w:ascii="仿宋_GB2312" w:hAnsi="楷体" w:eastAsia="仿宋_GB2312" w:cs="Times New Roman"/>
          <w:i w:val="0"/>
          <w:caps w:val="0"/>
          <w:spacing w:val="0"/>
          <w:sz w:val="32"/>
          <w:szCs w:val="32"/>
          <w:highlight w:val="none"/>
          <w:shd w:val="clear" w:color="auto" w:fill="auto"/>
        </w:rPr>
        <w:t>涉嫌闲置的，应当依法依规依约处置。</w:t>
      </w:r>
    </w:p>
    <w:p>
      <w:pPr>
        <w:widowControl/>
        <w:numPr>
          <w:ilvl w:val="0"/>
          <w:numId w:val="2"/>
        </w:numPr>
        <w:spacing w:line="600" w:lineRule="exact"/>
        <w:ind w:firstLine="624" w:firstLineChars="200"/>
        <w:jc w:val="left"/>
        <w:rPr>
          <w:highlight w:val="none"/>
        </w:rPr>
      </w:pPr>
      <w:r>
        <w:rPr>
          <w:rFonts w:hint="eastAsia" w:ascii="仿宋_GB2312" w:hAnsi="楷体"/>
          <w:szCs w:val="32"/>
          <w:highlight w:val="none"/>
        </w:rPr>
        <w:t>强制退出。符合本协议签订时的法律法规、规范性文件规定、土地使用权出让合同书和本协议约定的解除土地使用权出让合同情形的，甲方可提请土地主管部门解除土地使用权出让合同，无偿收回建设用地，附着于土地上的建（构）筑物</w:t>
      </w:r>
      <w:r>
        <w:rPr>
          <w:rFonts w:hint="eastAsia" w:ascii="仿宋_GB2312" w:hAnsi="楷体" w:eastAsia="仿宋_GB2312" w:cs="Times New Roman"/>
          <w:i w:val="0"/>
          <w:caps w:val="0"/>
          <w:spacing w:val="0"/>
          <w:sz w:val="32"/>
          <w:szCs w:val="32"/>
          <w:highlight w:val="none"/>
          <w:shd w:val="clear" w:color="auto" w:fill="auto"/>
        </w:rPr>
        <w:t>及其附属设施</w:t>
      </w:r>
      <w:r>
        <w:rPr>
          <w:rFonts w:hint="eastAsia" w:ascii="仿宋_GB2312" w:hAnsi="楷体" w:cs="Times New Roman"/>
          <w:i w:val="0"/>
          <w:caps w:val="0"/>
          <w:spacing w:val="0"/>
          <w:sz w:val="32"/>
          <w:szCs w:val="32"/>
          <w:highlight w:val="none"/>
          <w:shd w:val="clear" w:color="auto" w:fill="auto"/>
          <w:lang w:eastAsia="zh-CN"/>
        </w:rPr>
        <w:t>的</w:t>
      </w:r>
      <w:r>
        <w:rPr>
          <w:rFonts w:hint="eastAsia" w:ascii="仿宋_GB2312" w:hAnsi="楷体"/>
          <w:szCs w:val="32"/>
          <w:highlight w:val="none"/>
        </w:rPr>
        <w:t>补偿方式在土地使用权出让合同书中约定。</w:t>
      </w:r>
    </w:p>
    <w:p>
      <w:pPr>
        <w:widowControl/>
        <w:numPr>
          <w:ilvl w:val="0"/>
          <w:numId w:val="2"/>
        </w:numPr>
        <w:spacing w:line="600" w:lineRule="exact"/>
        <w:ind w:right="0" w:rightChars="0" w:firstLine="624" w:firstLineChars="200"/>
        <w:jc w:val="left"/>
        <w:rPr>
          <w:rFonts w:hint="eastAsia" w:ascii="仿宋_GB2312" w:hAnsi="仿宋_GB2312" w:cs="仿宋_GB2312"/>
          <w:szCs w:val="32"/>
          <w:highlight w:val="none"/>
        </w:rPr>
      </w:pPr>
      <w:r>
        <w:rPr>
          <w:rFonts w:hint="eastAsia" w:ascii="仿宋_GB2312" w:hAnsi="楷体" w:eastAsia="仿宋_GB2312" w:cs="Times New Roman"/>
          <w:i w:val="0"/>
          <w:caps w:val="0"/>
          <w:spacing w:val="0"/>
          <w:sz w:val="32"/>
          <w:szCs w:val="32"/>
          <w:highlight w:val="none"/>
          <w:shd w:val="clear" w:color="auto" w:fill="auto"/>
        </w:rPr>
        <w:t>在</w:t>
      </w:r>
      <w:r>
        <w:rPr>
          <w:rFonts w:hint="eastAsia" w:ascii="仿宋_GB2312" w:hAnsi="楷体"/>
          <w:szCs w:val="32"/>
          <w:highlight w:val="none"/>
        </w:rPr>
        <w:t>土地使用权出让合同</w:t>
      </w:r>
      <w:r>
        <w:rPr>
          <w:rFonts w:hint="eastAsia" w:ascii="仿宋_GB2312" w:hAnsi="楷体" w:eastAsia="仿宋_GB2312" w:cs="Times New Roman"/>
          <w:i w:val="0"/>
          <w:caps w:val="0"/>
          <w:spacing w:val="0"/>
          <w:sz w:val="32"/>
          <w:szCs w:val="32"/>
          <w:highlight w:val="none"/>
          <w:shd w:val="clear" w:color="auto" w:fill="auto"/>
        </w:rPr>
        <w:t>约定的达产之后，</w:t>
      </w:r>
      <w:r>
        <w:rPr>
          <w:rFonts w:hint="eastAsia" w:ascii="仿宋_GB2312" w:hAnsi="楷体" w:cs="Times New Roman"/>
          <w:i w:val="0"/>
          <w:caps w:val="0"/>
          <w:spacing w:val="0"/>
          <w:sz w:val="32"/>
          <w:szCs w:val="32"/>
          <w:highlight w:val="none"/>
          <w:shd w:val="clear" w:color="auto" w:fill="auto"/>
          <w:lang w:eastAsia="zh-CN"/>
        </w:rPr>
        <w:t>乙方</w:t>
      </w:r>
      <w:r>
        <w:rPr>
          <w:rFonts w:hint="eastAsia" w:ascii="仿宋_GB2312" w:hAnsi="楷体" w:eastAsia="仿宋_GB2312" w:cs="Times New Roman"/>
          <w:i w:val="0"/>
          <w:caps w:val="0"/>
          <w:spacing w:val="0"/>
          <w:sz w:val="32"/>
          <w:szCs w:val="32"/>
          <w:highlight w:val="none"/>
          <w:shd w:val="clear" w:color="auto" w:fill="auto"/>
        </w:rPr>
        <w:t>因自身原因无法运营，可以申请解除</w:t>
      </w:r>
      <w:r>
        <w:rPr>
          <w:rFonts w:hint="eastAsia" w:ascii="仿宋_GB2312" w:hAnsi="楷体"/>
          <w:szCs w:val="32"/>
          <w:highlight w:val="none"/>
        </w:rPr>
        <w:t>土地使用权出让合同</w:t>
      </w:r>
      <w:r>
        <w:rPr>
          <w:rFonts w:hint="eastAsia" w:ascii="仿宋_GB2312" w:hAnsi="楷体" w:eastAsia="仿宋_GB2312" w:cs="Times New Roman"/>
          <w:i w:val="0"/>
          <w:caps w:val="0"/>
          <w:spacing w:val="0"/>
          <w:sz w:val="32"/>
          <w:szCs w:val="32"/>
          <w:highlight w:val="none"/>
          <w:shd w:val="clear" w:color="auto" w:fill="auto"/>
        </w:rPr>
        <w:t>。</w:t>
      </w:r>
      <w:r>
        <w:rPr>
          <w:rFonts w:hint="eastAsia" w:ascii="仿宋_GB2312" w:hAnsi="楷体" w:cs="Times New Roman"/>
          <w:i w:val="0"/>
          <w:caps w:val="0"/>
          <w:spacing w:val="0"/>
          <w:sz w:val="32"/>
          <w:szCs w:val="32"/>
          <w:highlight w:val="none"/>
          <w:shd w:val="clear" w:color="auto" w:fill="auto"/>
          <w:lang w:eastAsia="zh-CN"/>
        </w:rPr>
        <w:t>土地主管</w:t>
      </w:r>
      <w:r>
        <w:rPr>
          <w:rFonts w:hint="eastAsia" w:ascii="仿宋_GB2312" w:hAnsi="楷体" w:eastAsia="仿宋_GB2312" w:cs="Times New Roman"/>
          <w:i w:val="0"/>
          <w:caps w:val="0"/>
          <w:spacing w:val="0"/>
          <w:sz w:val="32"/>
          <w:szCs w:val="32"/>
          <w:highlight w:val="none"/>
          <w:shd w:val="clear" w:color="auto" w:fill="auto"/>
        </w:rPr>
        <w:t>部门可以按照约定终止</w:t>
      </w:r>
      <w:r>
        <w:rPr>
          <w:rFonts w:hint="eastAsia" w:ascii="仿宋_GB2312" w:hAnsi="楷体"/>
          <w:szCs w:val="32"/>
          <w:highlight w:val="none"/>
        </w:rPr>
        <w:t>土地使用权出让合同</w:t>
      </w:r>
      <w:r>
        <w:rPr>
          <w:rFonts w:hint="eastAsia" w:ascii="仿宋_GB2312" w:hAnsi="楷体" w:eastAsia="仿宋_GB2312" w:cs="Times New Roman"/>
          <w:i w:val="0"/>
          <w:caps w:val="0"/>
          <w:spacing w:val="0"/>
          <w:sz w:val="32"/>
          <w:szCs w:val="32"/>
          <w:highlight w:val="none"/>
          <w:shd w:val="clear" w:color="auto" w:fill="auto"/>
        </w:rPr>
        <w:t>，收回建设用地，返还剩余年期土地出让价款；对地上建（构）筑物及其附属设施由出让人按照建造成本折旧后对</w:t>
      </w:r>
      <w:r>
        <w:rPr>
          <w:rFonts w:hint="eastAsia" w:ascii="仿宋_GB2312" w:hAnsi="楷体" w:cs="Times New Roman"/>
          <w:i w:val="0"/>
          <w:caps w:val="0"/>
          <w:spacing w:val="0"/>
          <w:sz w:val="32"/>
          <w:szCs w:val="32"/>
          <w:highlight w:val="none"/>
          <w:shd w:val="clear" w:color="auto" w:fill="auto"/>
          <w:lang w:eastAsia="zh-CN"/>
        </w:rPr>
        <w:t>乙方</w:t>
      </w:r>
      <w:r>
        <w:rPr>
          <w:rFonts w:hint="eastAsia" w:ascii="仿宋_GB2312" w:hAnsi="楷体" w:eastAsia="仿宋_GB2312" w:cs="Times New Roman"/>
          <w:i w:val="0"/>
          <w:caps w:val="0"/>
          <w:spacing w:val="0"/>
          <w:sz w:val="32"/>
          <w:szCs w:val="32"/>
          <w:highlight w:val="none"/>
          <w:shd w:val="clear" w:color="auto" w:fill="auto"/>
        </w:rPr>
        <w:t>进行补偿。</w:t>
      </w:r>
    </w:p>
    <w:p>
      <w:pPr>
        <w:widowControl/>
        <w:numPr>
          <w:ilvl w:val="0"/>
          <w:numId w:val="2"/>
        </w:numPr>
        <w:spacing w:line="600" w:lineRule="exact"/>
        <w:ind w:right="0" w:rightChars="0" w:firstLine="624" w:firstLineChars="200"/>
        <w:jc w:val="left"/>
        <w:rPr>
          <w:rFonts w:hint="eastAsia" w:ascii="仿宋_GB2312" w:hAnsi="仿宋_GB2312" w:cs="仿宋_GB2312"/>
          <w:szCs w:val="32"/>
          <w:highlight w:val="none"/>
        </w:rPr>
      </w:pPr>
      <w:r>
        <w:rPr>
          <w:rFonts w:hint="eastAsia" w:ascii="仿宋_GB2312" w:hAnsi="楷体" w:eastAsia="仿宋_GB2312" w:cs="Times New Roman"/>
          <w:i w:val="0"/>
          <w:caps w:val="0"/>
          <w:spacing w:val="0"/>
          <w:sz w:val="32"/>
          <w:szCs w:val="32"/>
          <w:highlight w:val="none"/>
          <w:shd w:val="clear" w:color="auto" w:fill="auto"/>
        </w:rPr>
        <w:t>乙方自签订土地使用权出让合同之日起</w:t>
      </w:r>
      <w:r>
        <w:rPr>
          <w:rFonts w:hint="eastAsia" w:ascii="仿宋_GB2312" w:hAnsi="楷体" w:cs="Times New Roman"/>
          <w:i w:val="0"/>
          <w:caps w:val="0"/>
          <w:spacing w:val="0"/>
          <w:sz w:val="32"/>
          <w:szCs w:val="32"/>
          <w:highlight w:val="none"/>
          <w:shd w:val="clear" w:color="auto" w:fill="auto"/>
          <w:lang w:val="en-US" w:eastAsia="zh-CN"/>
        </w:rPr>
        <w:t>2.5</w:t>
      </w:r>
      <w:r>
        <w:rPr>
          <w:rFonts w:hint="eastAsia" w:ascii="仿宋_GB2312" w:hAnsi="楷体" w:eastAsia="仿宋_GB2312" w:cs="Times New Roman"/>
          <w:i w:val="0"/>
          <w:caps w:val="0"/>
          <w:spacing w:val="0"/>
          <w:sz w:val="32"/>
          <w:szCs w:val="32"/>
          <w:highlight w:val="none"/>
          <w:shd w:val="clear" w:color="auto" w:fill="auto"/>
        </w:rPr>
        <w:t>年内未完成建筑物投资的25%的，政府方有权解除土地出让合同，退回已缴纳合同剩余年期土地价款，无偿收回土地使用权及地上建筑物和附着物。</w:t>
      </w:r>
    </w:p>
    <w:p>
      <w:pPr>
        <w:widowControl/>
        <w:numPr>
          <w:ilvl w:val="0"/>
          <w:numId w:val="2"/>
        </w:numPr>
        <w:spacing w:line="600" w:lineRule="exact"/>
        <w:ind w:firstLine="624" w:firstLineChars="200"/>
        <w:jc w:val="left"/>
        <w:rPr>
          <w:rFonts w:hint="eastAsia" w:ascii="仿宋_GB2312" w:hAnsi="楷体" w:cs="Times New Roman"/>
          <w:szCs w:val="32"/>
          <w:highlight w:val="none"/>
        </w:rPr>
      </w:pPr>
      <w:r>
        <w:rPr>
          <w:rFonts w:hint="eastAsia" w:ascii="仿宋_GB2312" w:hAnsi="楷体" w:eastAsia="仿宋_GB2312" w:cs="Times New Roman"/>
          <w:i w:val="0"/>
          <w:caps w:val="0"/>
          <w:spacing w:val="0"/>
          <w:sz w:val="32"/>
          <w:szCs w:val="32"/>
          <w:highlight w:val="none"/>
          <w:shd w:val="clear" w:color="auto" w:fill="auto"/>
        </w:rPr>
        <w:t>乙方未能按照土地使用权出让合同中规定的竣工日期竣工且逾期一年以上的，政府方有权解除土地出让合同，退回已缴纳合同剩余年期土地价款，无偿收回土地使用权及地上建筑物和附着物。</w:t>
      </w:r>
      <w:r>
        <w:rPr>
          <w:rFonts w:hint="eastAsia" w:ascii="仿宋_GB2312" w:hAnsi="楷体" w:cs="Times New Roman"/>
          <w:i w:val="0"/>
          <w:caps w:val="0"/>
          <w:spacing w:val="0"/>
          <w:sz w:val="32"/>
          <w:szCs w:val="32"/>
          <w:highlight w:val="none"/>
          <w:shd w:val="clear" w:color="auto" w:fill="auto"/>
          <w:lang w:eastAsia="zh-CN"/>
        </w:rPr>
        <w:t>地上债权债务关系由乙方自行理清，必要时政府方可以依债权人要求将拟退回的土地价款径行支付给债权人以清偿乙方对外债务，乙方无条件认可。</w:t>
      </w:r>
    </w:p>
    <w:p>
      <w:pPr>
        <w:spacing w:line="560" w:lineRule="exact"/>
        <w:ind w:right="-49" w:rightChars="-16" w:firstLine="624" w:firstLineChars="200"/>
        <w:rPr>
          <w:rFonts w:hint="eastAsia" w:ascii="仿宋_GB2312" w:hAnsi="仿宋_GB2312" w:cs="仿宋_GB2312"/>
          <w:szCs w:val="32"/>
        </w:rPr>
      </w:pPr>
      <w:r>
        <w:rPr>
          <w:rFonts w:hint="eastAsia" w:ascii="黑体" w:hAnsi="黑体" w:eastAsia="黑体" w:cs="黑体"/>
          <w:szCs w:val="32"/>
        </w:rPr>
        <w:t>六、其他事项</w:t>
      </w:r>
    </w:p>
    <w:p>
      <w:pPr>
        <w:spacing w:line="600" w:lineRule="exact"/>
        <w:ind w:firstLine="570"/>
        <w:rPr>
          <w:rFonts w:hint="eastAsia" w:ascii="仿宋_GB2312" w:hAnsi="楷体"/>
          <w:szCs w:val="32"/>
        </w:rPr>
      </w:pPr>
      <w:r>
        <w:rPr>
          <w:rFonts w:hint="eastAsia" w:ascii="仿宋_GB2312" w:hAnsi="楷体"/>
          <w:szCs w:val="32"/>
        </w:rPr>
        <w:t>（一）本协议履行过程中，对协议中部分名词含义的理解存在不同意见的，双方同意以甲方的解释为准。</w:t>
      </w:r>
    </w:p>
    <w:p>
      <w:pPr>
        <w:spacing w:line="600" w:lineRule="exact"/>
        <w:ind w:firstLine="570"/>
        <w:rPr>
          <w:rFonts w:hint="eastAsia" w:ascii="仿宋_GB2312" w:hAnsi="楷体"/>
          <w:szCs w:val="32"/>
        </w:rPr>
      </w:pPr>
      <w:r>
        <w:rPr>
          <w:rFonts w:hint="eastAsia" w:ascii="仿宋_GB2312" w:hAnsi="楷体"/>
          <w:szCs w:val="32"/>
        </w:rPr>
        <w:t>（二）本协议所称产值规模和纳税总额以乙方及乙方控股50%（含）以上在罗湖区注册的一级、二级子公司作为统计核算口径。如乙方将控股50%（含）以上在罗湖区注册的一级、二级子公司作为统计核算口径的，乙方应督促上述子公司出具连带责任承诺函，承诺由子公司对本协议的各项约定承担连带责任，如不出具承诺函，则不纳入统计核算。乙方的下属公司已取得产业项目用地或提出申请产业项目用地的，乙方下属公司在本区统计的产值规模和纳税总额不再重复计入统计范围。乙方各年度股权关系以当年12月31日股权登记状况为准。</w:t>
      </w:r>
    </w:p>
    <w:p>
      <w:pPr>
        <w:spacing w:line="600" w:lineRule="exact"/>
        <w:ind w:firstLine="570"/>
        <w:rPr>
          <w:rFonts w:hint="eastAsia" w:ascii="仿宋_GB2312" w:hAnsi="楷体"/>
          <w:szCs w:val="32"/>
        </w:rPr>
      </w:pPr>
      <w:r>
        <w:rPr>
          <w:rFonts w:hint="eastAsia" w:ascii="仿宋_GB2312" w:hAnsi="楷体"/>
          <w:szCs w:val="32"/>
        </w:rPr>
        <w:t>（三）本协议所称纳税总额是指企业在罗湖区缴纳的纳税总额，包括企业所得税、增值税、</w:t>
      </w:r>
      <w:r>
        <w:rPr>
          <w:rFonts w:hint="eastAsia" w:ascii="仿宋_GB2312" w:hAnsi="楷体"/>
          <w:szCs w:val="32"/>
          <w:lang w:eastAsia="zh-CN"/>
        </w:rPr>
        <w:t>消费税、</w:t>
      </w:r>
      <w:r>
        <w:rPr>
          <w:rFonts w:hint="eastAsia" w:ascii="仿宋_GB2312" w:hAnsi="楷体"/>
          <w:szCs w:val="32"/>
        </w:rPr>
        <w:t>营业税、城市维护建设税、印花税、房产税、城镇土地使用税、个人所得税、车船税等，不包括货物进出口产生的关税和海关代征税以及地方教育费附加。</w:t>
      </w:r>
    </w:p>
    <w:p>
      <w:pPr>
        <w:spacing w:line="600" w:lineRule="exact"/>
        <w:ind w:firstLine="570"/>
        <w:rPr>
          <w:rFonts w:hint="eastAsia" w:ascii="仿宋_GB2312" w:hAnsi="楷体"/>
          <w:szCs w:val="32"/>
        </w:rPr>
      </w:pPr>
      <w:r>
        <w:rPr>
          <w:rFonts w:hint="eastAsia" w:ascii="仿宋_GB2312" w:hAnsi="楷体"/>
          <w:szCs w:val="32"/>
        </w:rPr>
        <w:t>（四）本协议所称产值规模</w:t>
      </w:r>
      <w:r>
        <w:rPr>
          <w:rFonts w:hint="eastAsia" w:ascii="仿宋_GB2312" w:hAnsi="仿宋_GB2312" w:cs="仿宋_GB2312"/>
          <w:szCs w:val="32"/>
        </w:rPr>
        <w:t>（总产值）</w:t>
      </w:r>
      <w:r>
        <w:rPr>
          <w:rFonts w:hint="eastAsia" w:ascii="仿宋_GB2312" w:hAnsi="楷体"/>
          <w:szCs w:val="32"/>
        </w:rPr>
        <w:t>、纳税总额的统计数据以罗湖区统计部门、税务主管部门核算的数据为准。</w:t>
      </w:r>
    </w:p>
    <w:p>
      <w:pPr>
        <w:spacing w:line="600" w:lineRule="exact"/>
        <w:ind w:firstLine="570"/>
        <w:rPr>
          <w:rFonts w:hint="eastAsia" w:ascii="仿宋_GB2312" w:hAnsi="楷体"/>
          <w:szCs w:val="32"/>
        </w:rPr>
      </w:pPr>
      <w:r>
        <w:rPr>
          <w:rFonts w:hint="eastAsia" w:ascii="仿宋_GB2312" w:hAnsi="楷体"/>
          <w:szCs w:val="32"/>
        </w:rPr>
        <w:t>（五）本协议所称</w:t>
      </w:r>
      <w:r>
        <w:rPr>
          <w:rFonts w:hint="eastAsia" w:ascii="仿宋_GB2312" w:hAnsi="仿宋_GB2312" w:cs="仿宋_GB2312"/>
          <w:szCs w:val="32"/>
        </w:rPr>
        <w:t>开工及竣工标准参照《深圳市建设用地开工竣工管理办法（试行）》的相关规定执行。</w:t>
      </w:r>
    </w:p>
    <w:p>
      <w:pPr>
        <w:spacing w:line="600" w:lineRule="exact"/>
        <w:ind w:firstLine="570"/>
        <w:rPr>
          <w:rFonts w:hint="eastAsia" w:ascii="仿宋_GB2312" w:hAnsi="楷体"/>
          <w:szCs w:val="32"/>
        </w:rPr>
      </w:pPr>
      <w:r>
        <w:rPr>
          <w:rFonts w:hint="eastAsia" w:ascii="仿宋_GB2312" w:hAnsi="楷体"/>
          <w:szCs w:val="32"/>
        </w:rPr>
        <w:t>（六）各方对本协议及关联材料、信息（以下统称保密信息）负有保密义务。除依法律规定外，非经本协议其他签约各方事前书面允许，任何一方不得将保密信息提供或泄露给任何除本协议签约方之外的其他方，双方可仅为本协议目的向其确有知悉必要的雇员披露对方提供的资料，但同时须指示其雇员遵守本条规定的保密及不披露义务，否则视为违约，违约方应向守约方赔偿由此遭受的全部实际损失（包括向违约方或因第三方索赔而支付的诉讼费、律师费、财产保全费、调查费、执行费、公告费、公证费等）。</w:t>
      </w:r>
    </w:p>
    <w:p>
      <w:pPr>
        <w:spacing w:line="600" w:lineRule="exact"/>
        <w:ind w:firstLine="570"/>
        <w:rPr>
          <w:rFonts w:hint="eastAsia" w:ascii="仿宋_GB2312" w:hAnsi="楷体"/>
          <w:szCs w:val="32"/>
        </w:rPr>
      </w:pPr>
      <w:r>
        <w:rPr>
          <w:rFonts w:hint="eastAsia" w:ascii="仿宋_GB2312" w:hAnsi="楷体"/>
          <w:szCs w:val="32"/>
        </w:rPr>
        <w:t>（七）如因职能变更等因素导致甲方不再承担产业监管职能，本协议项下甲方的权利义务由新的产业监管职能部门承接，甲方主体的变更不影响本协议以及相关补充协议等文件的效力。</w:t>
      </w:r>
    </w:p>
    <w:p>
      <w:pPr>
        <w:spacing w:line="560" w:lineRule="exact"/>
        <w:ind w:right="-49" w:rightChars="-16" w:firstLine="624" w:firstLineChars="200"/>
        <w:rPr>
          <w:rFonts w:hint="eastAsia" w:ascii="仿宋_GB2312" w:hAnsi="楷体"/>
          <w:szCs w:val="32"/>
        </w:rPr>
      </w:pPr>
      <w:r>
        <w:rPr>
          <w:rFonts w:hint="eastAsia" w:ascii="仿宋_GB2312" w:hAnsi="楷体"/>
          <w:szCs w:val="32"/>
        </w:rPr>
        <w:t>（八）本协议约定的各种费用均以人民币计算。</w:t>
      </w:r>
    </w:p>
    <w:p>
      <w:pPr>
        <w:spacing w:line="560" w:lineRule="exact"/>
        <w:ind w:right="-49" w:rightChars="-16" w:firstLine="624" w:firstLineChars="200"/>
        <w:rPr>
          <w:rFonts w:hint="eastAsia" w:ascii="黑体" w:hAnsi="黑体" w:eastAsia="黑体" w:cs="黑体"/>
          <w:szCs w:val="32"/>
        </w:rPr>
      </w:pPr>
      <w:r>
        <w:rPr>
          <w:rFonts w:hint="eastAsia" w:ascii="仿宋_GB2312" w:hAnsi="楷体"/>
          <w:szCs w:val="32"/>
        </w:rPr>
        <w:t>（九）除非本协议另有明确约定，本协议项下所允许或要求的一切通知、请求、要求或其他通讯，应以书面形式，并由专人递交，或由EMS、顺丰等双方认可的特快专递或电子邮件传送。通知在下述情况下视为送达：邮件经本协议首部约定的各方联系人或联系部门中的其他收件人签收，或联系人、联系部门无正当理由拒不签收导致邮件被退回的，或者电子邮件发送自联系人邮箱显示投递成功的。发出邮件的一方应在邮件发出时通过电话或双方认可的其他方式提醒收件方邮件已发出。通知应发往本协议首部列明的地址。任何一方可以书面形式通知另一方/其他方更改其合同首部约定的联系信息（含联系部门、联系部门地址、联系人、联系人电话、联系人邮箱），在通知未送达另一方/其他方之前，该更改对收件方不发生效力。</w:t>
      </w:r>
    </w:p>
    <w:p>
      <w:pPr>
        <w:spacing w:line="560" w:lineRule="exact"/>
        <w:ind w:right="-49" w:rightChars="-16" w:firstLine="624" w:firstLineChars="200"/>
        <w:rPr>
          <w:rFonts w:hint="eastAsia" w:ascii="黑体" w:hAnsi="黑体" w:eastAsia="黑体" w:cs="黑体"/>
          <w:szCs w:val="32"/>
        </w:rPr>
      </w:pPr>
      <w:r>
        <w:rPr>
          <w:rFonts w:hint="eastAsia" w:ascii="黑体" w:hAnsi="黑体" w:eastAsia="黑体" w:cs="黑体"/>
          <w:szCs w:val="32"/>
        </w:rPr>
        <w:t>七、不可抗力条款</w:t>
      </w:r>
    </w:p>
    <w:p>
      <w:pPr>
        <w:spacing w:line="600" w:lineRule="exact"/>
        <w:ind w:firstLine="624" w:firstLineChars="200"/>
        <w:rPr>
          <w:rFonts w:hint="eastAsia" w:ascii="楷体" w:hAnsi="楷体" w:eastAsia="楷体" w:cs="楷体"/>
          <w:szCs w:val="32"/>
        </w:rPr>
      </w:pPr>
      <w:r>
        <w:rPr>
          <w:rFonts w:hint="eastAsia" w:ascii="楷体" w:hAnsi="楷体" w:eastAsia="楷体" w:cs="楷体"/>
          <w:szCs w:val="32"/>
        </w:rPr>
        <w:t>（一）不可抗力范围</w:t>
      </w:r>
    </w:p>
    <w:p>
      <w:pPr>
        <w:spacing w:line="600" w:lineRule="exact"/>
        <w:ind w:firstLine="624" w:firstLineChars="200"/>
        <w:rPr>
          <w:rFonts w:hint="eastAsia" w:ascii="仿宋_GB2312"/>
          <w:szCs w:val="32"/>
        </w:rPr>
      </w:pPr>
      <w:r>
        <w:rPr>
          <w:rFonts w:hint="eastAsia" w:ascii="仿宋_GB2312"/>
          <w:szCs w:val="32"/>
        </w:rPr>
        <w:t>不可抗力是指合同当事人在签订合同时不可预见，在合同履行过程中不可避免且不能克服的自然灾害和社会性突发事件，如地震、海啸、重大突发公共卫生事件、骚乱、戒严、暴动、战争等情形。</w:t>
      </w:r>
    </w:p>
    <w:p>
      <w:pPr>
        <w:spacing w:line="600" w:lineRule="exact"/>
        <w:ind w:firstLine="624" w:firstLineChars="200"/>
        <w:rPr>
          <w:rFonts w:hint="eastAsia" w:ascii="楷体" w:hAnsi="楷体" w:eastAsia="楷体" w:cs="楷体"/>
          <w:szCs w:val="32"/>
        </w:rPr>
      </w:pPr>
      <w:r>
        <w:rPr>
          <w:rFonts w:hint="eastAsia" w:ascii="楷体" w:hAnsi="楷体" w:eastAsia="楷体" w:cs="楷体"/>
          <w:szCs w:val="32"/>
        </w:rPr>
        <w:t>（二）不可抗力确认</w:t>
      </w:r>
    </w:p>
    <w:p>
      <w:pPr>
        <w:spacing w:line="600" w:lineRule="exact"/>
        <w:ind w:firstLine="624" w:firstLineChars="200"/>
        <w:rPr>
          <w:rFonts w:hint="eastAsia" w:ascii="仿宋_GB2312"/>
          <w:szCs w:val="32"/>
        </w:rPr>
      </w:pPr>
      <w:r>
        <w:rPr>
          <w:rFonts w:hint="eastAsia" w:ascii="仿宋_GB2312"/>
          <w:szCs w:val="32"/>
        </w:rPr>
        <w:t>不可抗力发生后，当事人应收集证明不可抗力发生及不可抗力造成损失的证据。</w:t>
      </w:r>
    </w:p>
    <w:p>
      <w:pPr>
        <w:spacing w:line="600" w:lineRule="exact"/>
        <w:ind w:firstLine="624" w:firstLineChars="200"/>
        <w:rPr>
          <w:rFonts w:hint="eastAsia" w:ascii="仿宋_GB2312"/>
          <w:szCs w:val="32"/>
        </w:rPr>
      </w:pPr>
      <w:r>
        <w:rPr>
          <w:rFonts w:hint="eastAsia" w:ascii="仿宋_GB2312"/>
          <w:szCs w:val="32"/>
        </w:rPr>
        <w:t>当事人对是否属于不可抗力或损失意见不一致的，由双方协商确认。一方不愿协商或协商达不成一致意见的，</w:t>
      </w:r>
      <w:r>
        <w:rPr>
          <w:rFonts w:hint="eastAsia" w:ascii="仿宋_GB2312"/>
          <w:color w:val="0D0D0D"/>
          <w:szCs w:val="32"/>
        </w:rPr>
        <w:t>均应向甲方所在地</w:t>
      </w:r>
      <w:r>
        <w:rPr>
          <w:rFonts w:hint="eastAsia" w:ascii="仿宋_GB2312"/>
          <w:color w:val="0D0D0D"/>
          <w:szCs w:val="32"/>
          <w:lang w:eastAsia="zh-CN"/>
        </w:rPr>
        <w:t>人民</w:t>
      </w:r>
      <w:r>
        <w:rPr>
          <w:rFonts w:hint="eastAsia" w:ascii="仿宋_GB2312"/>
          <w:szCs w:val="32"/>
        </w:rPr>
        <w:t>法院提起诉讼。</w:t>
      </w:r>
    </w:p>
    <w:p>
      <w:pPr>
        <w:spacing w:line="600" w:lineRule="exact"/>
        <w:ind w:firstLine="624" w:firstLineChars="200"/>
        <w:rPr>
          <w:rFonts w:hint="eastAsia" w:ascii="楷体" w:hAnsi="楷体" w:eastAsia="楷体" w:cs="楷体"/>
          <w:szCs w:val="32"/>
        </w:rPr>
      </w:pPr>
      <w:r>
        <w:rPr>
          <w:rFonts w:hint="eastAsia" w:ascii="楷体" w:hAnsi="楷体" w:eastAsia="楷体" w:cs="楷体"/>
          <w:szCs w:val="32"/>
        </w:rPr>
        <w:t>（三）不可抗力处理程序</w:t>
      </w:r>
    </w:p>
    <w:p>
      <w:pPr>
        <w:spacing w:line="600" w:lineRule="exact"/>
        <w:ind w:firstLine="624" w:firstLineChars="200"/>
        <w:rPr>
          <w:rFonts w:hint="eastAsia" w:ascii="黑体" w:hAnsi="黑体" w:eastAsia="黑体" w:cs="黑体"/>
          <w:szCs w:val="32"/>
        </w:rPr>
      </w:pPr>
      <w:r>
        <w:rPr>
          <w:rFonts w:hint="eastAsia" w:ascii="仿宋_GB2312"/>
          <w:szCs w:val="32"/>
        </w:rPr>
        <w:t>合同当事人因不可抗力不能履行合同的，根据不可抗力的影响，部分或者全部免除责任。但一方迟延履行合同后发生不可抗力的，不能免除迟延履行方的迟延履行责任。</w:t>
      </w:r>
    </w:p>
    <w:p>
      <w:pPr>
        <w:spacing w:line="560" w:lineRule="exact"/>
        <w:ind w:right="-49" w:rightChars="-16" w:firstLine="624" w:firstLineChars="200"/>
        <w:rPr>
          <w:rFonts w:hint="eastAsia" w:ascii="黑体" w:hAnsi="黑体" w:eastAsia="黑体" w:cs="黑体"/>
          <w:szCs w:val="32"/>
        </w:rPr>
      </w:pPr>
      <w:r>
        <w:rPr>
          <w:rFonts w:hint="eastAsia" w:ascii="黑体" w:hAnsi="黑体" w:eastAsia="黑体" w:cs="黑体"/>
          <w:szCs w:val="32"/>
        </w:rPr>
        <w:t>八、争议解决方式</w:t>
      </w:r>
    </w:p>
    <w:p>
      <w:pPr>
        <w:spacing w:line="560" w:lineRule="exact"/>
        <w:ind w:firstLine="624" w:firstLineChars="200"/>
        <w:rPr>
          <w:rFonts w:hint="eastAsia" w:ascii="仿宋_GB2312" w:hAnsi="仿宋_GB2312" w:cs="仿宋_GB2312"/>
          <w:szCs w:val="32"/>
        </w:rPr>
      </w:pPr>
      <w:r>
        <w:rPr>
          <w:rFonts w:hint="eastAsia" w:ascii="仿宋_GB2312" w:hAnsi="仿宋_GB2312" w:cs="仿宋_GB2312"/>
          <w:szCs w:val="32"/>
        </w:rPr>
        <w:t>因履行本协议引起争议的，由</w:t>
      </w:r>
      <w:r>
        <w:rPr>
          <w:rFonts w:hint="eastAsia" w:ascii="仿宋_GB2312" w:hAnsi="仿宋_GB2312" w:cs="仿宋_GB2312"/>
          <w:szCs w:val="32"/>
          <w:lang w:eastAsia="zh-CN"/>
        </w:rPr>
        <w:t>双方</w:t>
      </w:r>
      <w:r>
        <w:rPr>
          <w:rFonts w:hint="eastAsia" w:ascii="仿宋_GB2312" w:hAnsi="仿宋_GB2312" w:cs="仿宋_GB2312"/>
          <w:szCs w:val="32"/>
        </w:rPr>
        <w:t>协商解决；若协商不成，均应向甲方所在地人民法院提起诉讼。</w:t>
      </w:r>
    </w:p>
    <w:p>
      <w:pPr>
        <w:spacing w:line="560" w:lineRule="exact"/>
        <w:ind w:right="-49" w:rightChars="-16" w:firstLine="624" w:firstLineChars="200"/>
        <w:rPr>
          <w:rFonts w:hint="eastAsia" w:ascii="仿宋_GB2312" w:hAnsi="仿宋_GB2312" w:cs="仿宋_GB2312"/>
          <w:szCs w:val="32"/>
        </w:rPr>
      </w:pPr>
      <w:r>
        <w:rPr>
          <w:rFonts w:hint="eastAsia" w:ascii="黑体" w:hAnsi="黑体" w:eastAsia="黑体" w:cs="黑体"/>
          <w:szCs w:val="32"/>
        </w:rPr>
        <w:t>九、协议效力</w:t>
      </w:r>
    </w:p>
    <w:p>
      <w:pPr>
        <w:spacing w:line="600" w:lineRule="exact"/>
        <w:ind w:firstLine="570"/>
        <w:rPr>
          <w:rFonts w:hint="eastAsia" w:ascii="仿宋_GB2312" w:hAnsi="楷体"/>
          <w:szCs w:val="32"/>
        </w:rPr>
      </w:pPr>
      <w:r>
        <w:rPr>
          <w:rFonts w:hint="eastAsia" w:ascii="仿宋_GB2312" w:hAnsi="楷体"/>
          <w:szCs w:val="32"/>
        </w:rPr>
        <w:t>本协议书</w:t>
      </w:r>
      <w:r>
        <w:rPr>
          <w:rFonts w:ascii="仿宋_GB2312" w:hAnsi="楷体"/>
          <w:szCs w:val="32"/>
        </w:rPr>
        <w:t>壹</w:t>
      </w:r>
      <w:r>
        <w:rPr>
          <w:rFonts w:hint="eastAsia" w:ascii="仿宋_GB2312" w:hAnsi="楷体"/>
          <w:szCs w:val="32"/>
        </w:rPr>
        <w:t>式</w:t>
      </w:r>
      <w:r>
        <w:rPr>
          <w:rFonts w:ascii="仿宋_GB2312" w:hAnsi="楷体"/>
          <w:szCs w:val="32"/>
          <w:u w:val="single"/>
        </w:rPr>
        <w:t>壹</w:t>
      </w:r>
      <w:r>
        <w:rPr>
          <w:rFonts w:hint="eastAsia" w:ascii="仿宋_GB2312" w:hAnsi="楷体"/>
          <w:szCs w:val="32"/>
          <w:u w:val="single"/>
        </w:rPr>
        <w:t>拾贰</w:t>
      </w:r>
      <w:r>
        <w:rPr>
          <w:rFonts w:hint="eastAsia" w:ascii="仿宋_GB2312" w:hAnsi="楷体"/>
          <w:szCs w:val="32"/>
        </w:rPr>
        <w:t>份，具同等法律效力，甲方执</w:t>
      </w:r>
      <w:r>
        <w:rPr>
          <w:rFonts w:hint="eastAsia" w:ascii="仿宋_GB2312" w:hAnsi="楷体"/>
          <w:szCs w:val="32"/>
          <w:lang w:eastAsia="zh-CN"/>
        </w:rPr>
        <w:t>陆</w:t>
      </w:r>
      <w:r>
        <w:rPr>
          <w:rFonts w:hint="eastAsia" w:ascii="仿宋_GB2312" w:hAnsi="楷体"/>
          <w:szCs w:val="32"/>
        </w:rPr>
        <w:t>份，乙方执</w:t>
      </w:r>
      <w:r>
        <w:rPr>
          <w:rFonts w:hint="eastAsia" w:ascii="仿宋_GB2312" w:hAnsi="楷体"/>
          <w:szCs w:val="32"/>
          <w:lang w:eastAsia="zh-CN"/>
        </w:rPr>
        <w:t>陆</w:t>
      </w:r>
      <w:r>
        <w:rPr>
          <w:rFonts w:hint="eastAsia" w:ascii="仿宋_GB2312" w:hAnsi="楷体"/>
          <w:szCs w:val="32"/>
        </w:rPr>
        <w:t>份。</w:t>
      </w:r>
    </w:p>
    <w:p>
      <w:pPr>
        <w:spacing w:line="600" w:lineRule="exact"/>
        <w:ind w:firstLine="570"/>
        <w:rPr>
          <w:rFonts w:hint="eastAsia" w:ascii="仿宋_GB2312" w:hAnsi="楷体"/>
          <w:szCs w:val="32"/>
        </w:rPr>
      </w:pPr>
      <w:r>
        <w:rPr>
          <w:rFonts w:hint="eastAsia" w:ascii="仿宋_GB2312" w:hAnsi="楷体"/>
          <w:szCs w:val="32"/>
        </w:rPr>
        <w:t>本协议书自甲乙双方法定代表人或授权代表签字并盖章之日起生效。</w:t>
      </w:r>
    </w:p>
    <w:p>
      <w:pPr>
        <w:spacing w:line="600" w:lineRule="exact"/>
        <w:ind w:firstLine="570"/>
        <w:rPr>
          <w:rFonts w:hint="eastAsia" w:ascii="仿宋_GB2312" w:hAnsi="楷体"/>
          <w:szCs w:val="32"/>
        </w:rPr>
      </w:pPr>
      <w:r>
        <w:rPr>
          <w:rFonts w:hint="eastAsia" w:ascii="仿宋_GB2312" w:hAnsi="楷体"/>
          <w:szCs w:val="32"/>
        </w:rPr>
        <w:t>本协议书未尽事宜，经甲乙三方协商一致，并按程序报批后，可另行签订补充协议，本协议的补充协议、附件同为本协议不可分割的组成部分，与本协议书具同等法律效力。</w:t>
      </w:r>
    </w:p>
    <w:p>
      <w:pPr>
        <w:autoSpaceDE w:val="0"/>
        <w:autoSpaceDN w:val="0"/>
        <w:adjustRightInd w:val="0"/>
        <w:spacing w:line="560" w:lineRule="exact"/>
        <w:rPr>
          <w:rFonts w:hint="eastAsia" w:ascii="仿宋_GB2312" w:hAnsi="仿宋_GB2312" w:cs="T22"/>
          <w:b/>
          <w:bCs/>
          <w:kern w:val="0"/>
          <w:szCs w:val="32"/>
        </w:rPr>
      </w:pPr>
      <w:r>
        <w:rPr>
          <w:rFonts w:hint="eastAsia" w:ascii="仿宋_GB2312" w:hAnsi="仿宋_GB2312" w:cs="T22"/>
          <w:b/>
          <w:bCs/>
          <w:kern w:val="0"/>
          <w:szCs w:val="32"/>
        </w:rPr>
        <w:t>（以下无正文）</w:t>
      </w:r>
    </w:p>
    <w:p>
      <w:pPr>
        <w:autoSpaceDE w:val="0"/>
        <w:autoSpaceDN w:val="0"/>
        <w:adjustRightInd w:val="0"/>
        <w:spacing w:line="560" w:lineRule="exact"/>
        <w:rPr>
          <w:rFonts w:hint="eastAsia" w:ascii="仿宋_GB2312" w:hAnsi="仿宋_GB2312" w:cs="T22"/>
          <w:kern w:val="0"/>
          <w:szCs w:val="32"/>
        </w:rPr>
      </w:pPr>
      <w:r>
        <w:rPr>
          <w:rFonts w:hint="eastAsia" w:ascii="仿宋_GB2312" w:hAnsi="仿宋_GB2312" w:cs="T22"/>
          <w:b/>
          <w:bCs/>
          <w:kern w:val="0"/>
          <w:szCs w:val="32"/>
        </w:rPr>
        <w:t xml:space="preserve"> （以下为签署页）</w:t>
      </w:r>
    </w:p>
    <w:p>
      <w:pPr>
        <w:autoSpaceDE w:val="0"/>
        <w:autoSpaceDN w:val="0"/>
        <w:adjustRightInd w:val="0"/>
        <w:spacing w:line="560" w:lineRule="exact"/>
        <w:rPr>
          <w:rFonts w:hint="eastAsia" w:ascii="仿宋_GB2312" w:hAnsi="仿宋_GB2312" w:cs="T22"/>
          <w:kern w:val="0"/>
          <w:szCs w:val="32"/>
        </w:rPr>
      </w:pPr>
      <w:r>
        <w:rPr>
          <w:rFonts w:hint="eastAsia" w:ascii="仿宋_GB2312" w:hAnsi="仿宋_GB2312" w:cs="T22"/>
          <w:kern w:val="0"/>
          <w:szCs w:val="32"/>
        </w:rPr>
        <w:t>甲方</w:t>
      </w:r>
      <w:r>
        <w:rPr>
          <w:rFonts w:hint="eastAsia" w:ascii="仿宋_GB2312" w:hAnsi="仿宋_GB2312" w:cs="T23"/>
          <w:kern w:val="0"/>
          <w:szCs w:val="32"/>
        </w:rPr>
        <w:t>（公</w:t>
      </w:r>
      <w:r>
        <w:rPr>
          <w:rFonts w:hint="eastAsia" w:ascii="仿宋_GB2312" w:hAnsi="仿宋_GB2312" w:cs="T24"/>
          <w:kern w:val="0"/>
          <w:szCs w:val="32"/>
        </w:rPr>
        <w:t>章</w:t>
      </w:r>
      <w:r>
        <w:rPr>
          <w:rFonts w:hint="eastAsia" w:ascii="仿宋_GB2312" w:hAnsi="仿宋_GB2312" w:cs="T23"/>
          <w:kern w:val="0"/>
          <w:szCs w:val="32"/>
        </w:rPr>
        <w:t>）</w:t>
      </w:r>
      <w:r>
        <w:rPr>
          <w:rFonts w:hint="eastAsia" w:ascii="仿宋_GB2312" w:hAnsi="仿宋_GB2312" w:cs="T22"/>
          <w:kern w:val="0"/>
          <w:szCs w:val="32"/>
        </w:rPr>
        <w:t>：</w:t>
      </w:r>
    </w:p>
    <w:p>
      <w:pPr>
        <w:autoSpaceDE w:val="0"/>
        <w:autoSpaceDN w:val="0"/>
        <w:adjustRightInd w:val="0"/>
        <w:spacing w:line="560" w:lineRule="exact"/>
        <w:rPr>
          <w:rFonts w:hint="eastAsia" w:ascii="仿宋_GB2312" w:hAnsi="仿宋_GB2312" w:cs="T22"/>
          <w:kern w:val="0"/>
          <w:szCs w:val="32"/>
        </w:rPr>
      </w:pPr>
    </w:p>
    <w:p>
      <w:pPr>
        <w:autoSpaceDE w:val="0"/>
        <w:autoSpaceDN w:val="0"/>
        <w:adjustRightInd w:val="0"/>
        <w:spacing w:line="560" w:lineRule="exact"/>
        <w:rPr>
          <w:rFonts w:hint="eastAsia" w:ascii="仿宋_GB2312" w:hAnsi="仿宋_GB2312" w:cs="仿宋_GB2312"/>
          <w:kern w:val="0"/>
          <w:szCs w:val="32"/>
        </w:rPr>
      </w:pPr>
      <w:r>
        <w:rPr>
          <w:rFonts w:hint="eastAsia" w:ascii="仿宋_GB2312" w:hAnsi="仿宋_GB2312" w:cs="T22"/>
          <w:kern w:val="0"/>
          <w:szCs w:val="32"/>
        </w:rPr>
        <w:t>法定代表人</w:t>
      </w:r>
      <w:r>
        <w:rPr>
          <w:rFonts w:hint="eastAsia" w:ascii="仿宋_GB2312" w:hAnsi="仿宋_GB2312" w:cs="仿宋_GB2312"/>
          <w:kern w:val="0"/>
          <w:szCs w:val="32"/>
        </w:rPr>
        <w:t>（或授权代表）</w:t>
      </w:r>
    </w:p>
    <w:p>
      <w:pPr>
        <w:autoSpaceDE w:val="0"/>
        <w:autoSpaceDN w:val="0"/>
        <w:adjustRightInd w:val="0"/>
        <w:spacing w:line="560" w:lineRule="exact"/>
        <w:rPr>
          <w:rFonts w:hint="eastAsia" w:ascii="仿宋_GB2312" w:hAnsi="仿宋_GB2312" w:cs="T22"/>
          <w:kern w:val="0"/>
          <w:szCs w:val="32"/>
        </w:rPr>
      </w:pPr>
      <w:r>
        <w:rPr>
          <w:rFonts w:hint="eastAsia" w:ascii="仿宋_GB2312" w:hAnsi="仿宋_GB2312" w:cs="T22"/>
          <w:kern w:val="0"/>
          <w:szCs w:val="32"/>
        </w:rPr>
        <w:t>签字：</w:t>
      </w:r>
    </w:p>
    <w:p>
      <w:pPr>
        <w:autoSpaceDE w:val="0"/>
        <w:autoSpaceDN w:val="0"/>
        <w:adjustRightInd w:val="0"/>
        <w:spacing w:line="560" w:lineRule="exact"/>
        <w:rPr>
          <w:rFonts w:hint="eastAsia" w:ascii="仿宋_GB2312" w:hAnsi="仿宋_GB2312" w:cs="T22"/>
          <w:kern w:val="0"/>
          <w:szCs w:val="32"/>
        </w:rPr>
      </w:pPr>
      <w:r>
        <w:rPr>
          <w:rFonts w:hint="eastAsia" w:ascii="仿宋_GB2312" w:hAnsi="仿宋_GB2312" w:cs="T22"/>
          <w:kern w:val="0"/>
          <w:szCs w:val="32"/>
        </w:rPr>
        <w:t xml:space="preserve">   </w:t>
      </w:r>
    </w:p>
    <w:p>
      <w:pPr>
        <w:autoSpaceDE w:val="0"/>
        <w:autoSpaceDN w:val="0"/>
        <w:adjustRightInd w:val="0"/>
        <w:spacing w:line="560" w:lineRule="exact"/>
        <w:rPr>
          <w:rFonts w:hint="eastAsia" w:ascii="仿宋_GB2312" w:hAnsi="仿宋_GB2312" w:cs="T22"/>
          <w:kern w:val="0"/>
          <w:szCs w:val="32"/>
        </w:rPr>
      </w:pPr>
      <w:r>
        <w:rPr>
          <w:rFonts w:hint="eastAsia" w:ascii="仿宋_GB2312" w:hAnsi="仿宋_GB2312" w:cs="T22"/>
          <w:kern w:val="0"/>
          <w:szCs w:val="32"/>
        </w:rPr>
        <w:t xml:space="preserve">                </w:t>
      </w:r>
    </w:p>
    <w:p>
      <w:pPr>
        <w:autoSpaceDE w:val="0"/>
        <w:autoSpaceDN w:val="0"/>
        <w:adjustRightInd w:val="0"/>
        <w:spacing w:line="560" w:lineRule="exact"/>
        <w:rPr>
          <w:rFonts w:hint="eastAsia" w:ascii="仿宋_GB2312" w:hAnsi="仿宋_GB2312" w:cs="T22"/>
          <w:kern w:val="0"/>
          <w:szCs w:val="32"/>
        </w:rPr>
      </w:pPr>
      <w:r>
        <w:rPr>
          <w:rFonts w:hint="eastAsia" w:ascii="仿宋_GB2312" w:hAnsi="仿宋_GB2312" w:cs="T22"/>
          <w:kern w:val="0"/>
          <w:szCs w:val="32"/>
        </w:rPr>
        <w:t>乙方</w:t>
      </w:r>
      <w:r>
        <w:rPr>
          <w:rFonts w:hint="eastAsia" w:ascii="仿宋_GB2312" w:hAnsi="仿宋_GB2312" w:cs="T23"/>
          <w:kern w:val="0"/>
          <w:szCs w:val="32"/>
        </w:rPr>
        <w:t>（公</w:t>
      </w:r>
      <w:r>
        <w:rPr>
          <w:rFonts w:hint="eastAsia" w:ascii="仿宋_GB2312" w:hAnsi="仿宋_GB2312" w:cs="T24"/>
          <w:kern w:val="0"/>
          <w:szCs w:val="32"/>
        </w:rPr>
        <w:t>章</w:t>
      </w:r>
      <w:r>
        <w:rPr>
          <w:rFonts w:hint="eastAsia" w:ascii="仿宋_GB2312" w:hAnsi="仿宋_GB2312" w:cs="T23"/>
          <w:kern w:val="0"/>
          <w:szCs w:val="32"/>
        </w:rPr>
        <w:t>）</w:t>
      </w:r>
      <w:r>
        <w:rPr>
          <w:rFonts w:hint="eastAsia" w:ascii="仿宋_GB2312" w:hAnsi="仿宋_GB2312" w:cs="T22"/>
          <w:kern w:val="0"/>
          <w:szCs w:val="32"/>
        </w:rPr>
        <w:t>：</w:t>
      </w:r>
    </w:p>
    <w:p>
      <w:pPr>
        <w:autoSpaceDE w:val="0"/>
        <w:autoSpaceDN w:val="0"/>
        <w:adjustRightInd w:val="0"/>
        <w:spacing w:line="560" w:lineRule="exact"/>
        <w:rPr>
          <w:rFonts w:hint="eastAsia" w:ascii="仿宋_GB2312" w:hAnsi="仿宋_GB2312" w:cs="T23"/>
          <w:kern w:val="0"/>
          <w:szCs w:val="32"/>
        </w:rPr>
      </w:pPr>
    </w:p>
    <w:p>
      <w:pPr>
        <w:autoSpaceDE w:val="0"/>
        <w:autoSpaceDN w:val="0"/>
        <w:adjustRightInd w:val="0"/>
        <w:spacing w:line="560" w:lineRule="exact"/>
        <w:rPr>
          <w:rFonts w:hint="eastAsia" w:ascii="仿宋_GB2312" w:hAnsi="仿宋_GB2312" w:cs="仿宋_GB2312"/>
          <w:kern w:val="0"/>
          <w:szCs w:val="32"/>
        </w:rPr>
      </w:pPr>
      <w:r>
        <w:rPr>
          <w:rFonts w:hint="eastAsia" w:ascii="仿宋_GB2312" w:hAnsi="仿宋_GB2312" w:cs="T22"/>
          <w:kern w:val="0"/>
          <w:szCs w:val="32"/>
        </w:rPr>
        <w:t>法定代表人</w:t>
      </w:r>
      <w:r>
        <w:rPr>
          <w:rFonts w:hint="eastAsia" w:ascii="仿宋_GB2312" w:hAnsi="仿宋_GB2312" w:cs="仿宋_GB2312"/>
          <w:kern w:val="0"/>
          <w:szCs w:val="32"/>
        </w:rPr>
        <w:t>（或授权代表）</w:t>
      </w:r>
    </w:p>
    <w:p>
      <w:pPr>
        <w:autoSpaceDE w:val="0"/>
        <w:autoSpaceDN w:val="0"/>
        <w:adjustRightInd w:val="0"/>
        <w:spacing w:line="560" w:lineRule="exact"/>
        <w:rPr>
          <w:rFonts w:hint="eastAsia" w:ascii="仿宋_GB2312" w:hAnsi="仿宋_GB2312" w:cs="T22"/>
          <w:kern w:val="0"/>
          <w:szCs w:val="32"/>
        </w:rPr>
      </w:pPr>
      <w:r>
        <w:rPr>
          <w:rFonts w:hint="eastAsia" w:ascii="仿宋_GB2312" w:hAnsi="仿宋_GB2312" w:cs="T22"/>
          <w:kern w:val="0"/>
          <w:szCs w:val="32"/>
        </w:rPr>
        <w:t>签字：</w:t>
      </w:r>
    </w:p>
    <w:p>
      <w:pPr>
        <w:autoSpaceDE w:val="0"/>
        <w:autoSpaceDN w:val="0"/>
        <w:adjustRightInd w:val="0"/>
        <w:spacing w:line="560" w:lineRule="exact"/>
        <w:rPr>
          <w:rFonts w:hint="eastAsia" w:ascii="仿宋_GB2312" w:hAnsi="仿宋_GB2312" w:cs="T22"/>
          <w:kern w:val="0"/>
          <w:szCs w:val="32"/>
        </w:rPr>
      </w:pPr>
    </w:p>
    <w:p>
      <w:pPr>
        <w:spacing w:line="560" w:lineRule="exact"/>
        <w:rPr>
          <w:rFonts w:hint="eastAsia" w:ascii="仿宋_GB2312" w:hAnsi="仿宋_GB2312" w:cs="T22"/>
          <w:kern w:val="0"/>
          <w:szCs w:val="32"/>
        </w:rPr>
      </w:pPr>
    </w:p>
    <w:p>
      <w:pPr>
        <w:spacing w:line="560" w:lineRule="exact"/>
        <w:rPr>
          <w:rFonts w:hint="eastAsia" w:ascii="仿宋_GB2312" w:hAnsi="仿宋_GB2312" w:cs="T22"/>
          <w:kern w:val="0"/>
          <w:szCs w:val="32"/>
        </w:rPr>
      </w:pPr>
    </w:p>
    <w:p>
      <w:pPr>
        <w:spacing w:line="560" w:lineRule="exact"/>
        <w:rPr>
          <w:rFonts w:hint="eastAsia" w:ascii="仿宋_GB2312" w:hAnsi="仿宋_GB2312" w:cs="T24"/>
          <w:kern w:val="0"/>
          <w:szCs w:val="32"/>
        </w:rPr>
      </w:pPr>
      <w:r>
        <w:rPr>
          <w:rFonts w:hint="eastAsia" w:ascii="仿宋_GB2312" w:hAnsi="仿宋_GB2312" w:cs="T24"/>
          <w:kern w:val="0"/>
          <w:szCs w:val="32"/>
        </w:rPr>
        <w:t xml:space="preserve">                                签订</w:t>
      </w:r>
      <w:r>
        <w:rPr>
          <w:rFonts w:hint="eastAsia" w:ascii="仿宋_GB2312" w:hAnsi="仿宋_GB2312" w:cs="T22"/>
          <w:kern w:val="0"/>
          <w:szCs w:val="32"/>
        </w:rPr>
        <w:t>日期：  　</w:t>
      </w:r>
      <w:r>
        <w:rPr>
          <w:rFonts w:hint="eastAsia" w:ascii="仿宋_GB2312" w:hAnsi="仿宋_GB2312" w:cs="T23"/>
          <w:kern w:val="0"/>
          <w:szCs w:val="32"/>
        </w:rPr>
        <w:t xml:space="preserve">年  月  </w:t>
      </w:r>
      <w:r>
        <w:rPr>
          <w:rFonts w:hint="eastAsia" w:ascii="仿宋_GB2312" w:hAnsi="仿宋_GB2312" w:cs="T24"/>
          <w:kern w:val="0"/>
          <w:szCs w:val="32"/>
        </w:rPr>
        <w:t>日</w:t>
      </w:r>
    </w:p>
    <w:p>
      <w:pPr>
        <w:snapToGrid w:val="0"/>
        <w:spacing w:line="560" w:lineRule="exact"/>
        <w:rPr>
          <w:sz w:val="10"/>
        </w:rPr>
      </w:pPr>
      <w:r>
        <w:rPr>
          <w:rFonts w:hint="eastAsia" w:ascii="仿宋_GB2312" w:hAnsi="仿宋_GB2312" w:cs="T24"/>
          <w:kern w:val="0"/>
          <w:szCs w:val="32"/>
        </w:rPr>
        <w:t xml:space="preserve">                                签订地点：</w:t>
      </w:r>
    </w:p>
    <w:sectPr>
      <w:pgSz w:w="11906" w:h="16838"/>
      <w:pgMar w:top="2098" w:right="1474" w:bottom="1985" w:left="1588" w:header="851" w:footer="1361" w:gutter="0"/>
      <w:cols w:space="720" w:num="1"/>
      <w:docGrid w:type="linesAndChars" w:linePitch="573" w:charSpace="-18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文鼎小标宋简">
    <w:altName w:val="方正小标宋_GBK"/>
    <w:panose1 w:val="00000000000000000000"/>
    <w:charset w:val="86"/>
    <w:family w:val="modern"/>
    <w:pitch w:val="default"/>
    <w:sig w:usb0="00000000" w:usb1="00000000" w:usb2="00000010" w:usb3="00000000" w:csb0="00040000"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FangSong_GB2312">
    <w:altName w:val="仿宋_GB2312"/>
    <w:panose1 w:val="00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 w:name="T22">
    <w:altName w:val="华文仿宋"/>
    <w:panose1 w:val="00000000000000000000"/>
    <w:charset w:val="86"/>
    <w:family w:val="swiss"/>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T23">
    <w:altName w:val="华文仿宋"/>
    <w:panose1 w:val="00000000000000000000"/>
    <w:charset w:val="86"/>
    <w:family w:val="swiss"/>
    <w:pitch w:val="default"/>
    <w:sig w:usb0="00000000" w:usb1="00000000" w:usb2="00000010" w:usb3="00000000" w:csb0="00040000" w:csb1="00000000"/>
  </w:font>
  <w:font w:name="T24">
    <w:altName w:val="华文仿宋"/>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4153"/>
        <w:tab w:val="clear" w:pos="8306"/>
      </w:tabs>
      <w:ind w:left="350" w:right="360"/>
      <w:jc w:val="right"/>
      <w:rPr>
        <w:rFonts w:hint="eastAsia"/>
      </w:rPr>
    </w:pPr>
    <w:r>
      <w:rPr>
        <w:rStyle w:val="23"/>
        <w:rFonts w:hint="eastAsia"/>
      </w:rPr>
      <w:t>－</w:t>
    </w:r>
    <w:r>
      <w:fldChar w:fldCharType="begin"/>
    </w:r>
    <w:r>
      <w:rPr>
        <w:rStyle w:val="23"/>
      </w:rPr>
      <w:instrText xml:space="preserve"> PAGE </w:instrText>
    </w:r>
    <w:r>
      <w:fldChar w:fldCharType="separate"/>
    </w:r>
    <w:r>
      <w:rPr>
        <w:rStyle w:val="23"/>
      </w:rPr>
      <w:t>15</w:t>
    </w:r>
    <w:r>
      <w:fldChar w:fldCharType="end"/>
    </w:r>
    <w:r>
      <w:rPr>
        <w:rStyle w:val="23"/>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4153"/>
        <w:tab w:val="clear" w:pos="8306"/>
      </w:tabs>
      <w:ind w:left="350" w:right="360"/>
      <w:rPr>
        <w:rFonts w:hint="eastAsia"/>
      </w:rPr>
    </w:pPr>
    <w:r>
      <w:rPr>
        <w:rStyle w:val="23"/>
        <w:rFonts w:hint="eastAsia"/>
      </w:rPr>
      <w:t>－</w:t>
    </w:r>
    <w:r>
      <w:fldChar w:fldCharType="begin"/>
    </w:r>
    <w:r>
      <w:rPr>
        <w:rStyle w:val="23"/>
      </w:rPr>
      <w:instrText xml:space="preserve"> PAGE </w:instrText>
    </w:r>
    <w:r>
      <w:fldChar w:fldCharType="separate"/>
    </w:r>
    <w:r>
      <w:rPr>
        <w:rStyle w:val="23"/>
      </w:rPr>
      <w:t>16</w:t>
    </w:r>
    <w:r>
      <w:fldChar w:fldCharType="end"/>
    </w:r>
    <w:r>
      <w:rPr>
        <w:rStyle w:val="23"/>
        <w:rFonts w:hint="eastAsia"/>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BFFEB9"/>
    <w:multiLevelType w:val="singleLevel"/>
    <w:tmpl w:val="D9BFFEB9"/>
    <w:lvl w:ilvl="0" w:tentative="0">
      <w:start w:val="2"/>
      <w:numFmt w:val="chineseCounting"/>
      <w:suff w:val="nothing"/>
      <w:lvlText w:val="（%1）"/>
      <w:lvlJc w:val="left"/>
      <w:rPr>
        <w:rFonts w:hint="eastAsia"/>
      </w:rPr>
    </w:lvl>
  </w:abstractNum>
  <w:abstractNum w:abstractNumId="1">
    <w:nsid w:val="FFFFFF89"/>
    <w:multiLevelType w:val="singleLevel"/>
    <w:tmpl w:val="FFFFFF89"/>
    <w:lvl w:ilvl="0" w:tentative="0">
      <w:start w:val="1"/>
      <w:numFmt w:val="bullet"/>
      <w:pStyle w:val="7"/>
      <w:lvlText w:val=""/>
      <w:lvlJc w:val="left"/>
      <w:pPr>
        <w:tabs>
          <w:tab w:val="left" w:pos="360"/>
        </w:tabs>
        <w:ind w:left="36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evenAndOddHeaders w:val="1"/>
  <w:drawingGridHorizontalSpacing w:val="311"/>
  <w:drawingGridVerticalSpacing w:val="57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lNjE4ZWFkM2RmMjM0NjM0ZjYxZDBhNGU2YzA2MjgifQ=="/>
  </w:docVars>
  <w:rsids>
    <w:rsidRoot w:val="00172A27"/>
    <w:rsid w:val="00022BC5"/>
    <w:rsid w:val="00053E31"/>
    <w:rsid w:val="00054F43"/>
    <w:rsid w:val="00061068"/>
    <w:rsid w:val="000700A9"/>
    <w:rsid w:val="000A1268"/>
    <w:rsid w:val="000C06F2"/>
    <w:rsid w:val="000C5CB1"/>
    <w:rsid w:val="000F5DE6"/>
    <w:rsid w:val="001028E8"/>
    <w:rsid w:val="00103E56"/>
    <w:rsid w:val="00117A6C"/>
    <w:rsid w:val="00117FA9"/>
    <w:rsid w:val="0013268F"/>
    <w:rsid w:val="00193AA9"/>
    <w:rsid w:val="001A2408"/>
    <w:rsid w:val="001A3569"/>
    <w:rsid w:val="001B05C9"/>
    <w:rsid w:val="001E5B66"/>
    <w:rsid w:val="001F0FB5"/>
    <w:rsid w:val="001F7EA8"/>
    <w:rsid w:val="0020480D"/>
    <w:rsid w:val="002114DE"/>
    <w:rsid w:val="002162BE"/>
    <w:rsid w:val="00243783"/>
    <w:rsid w:val="002715D8"/>
    <w:rsid w:val="00276A14"/>
    <w:rsid w:val="00277C5A"/>
    <w:rsid w:val="002A7B09"/>
    <w:rsid w:val="002C136D"/>
    <w:rsid w:val="002C6CC2"/>
    <w:rsid w:val="002E23D5"/>
    <w:rsid w:val="002F244F"/>
    <w:rsid w:val="0034341B"/>
    <w:rsid w:val="00373542"/>
    <w:rsid w:val="00375AED"/>
    <w:rsid w:val="0038055B"/>
    <w:rsid w:val="00386647"/>
    <w:rsid w:val="00397E4F"/>
    <w:rsid w:val="003A0962"/>
    <w:rsid w:val="003B243E"/>
    <w:rsid w:val="003F4B2F"/>
    <w:rsid w:val="004020EC"/>
    <w:rsid w:val="0041447D"/>
    <w:rsid w:val="00425034"/>
    <w:rsid w:val="00451281"/>
    <w:rsid w:val="0045363C"/>
    <w:rsid w:val="004545D0"/>
    <w:rsid w:val="004551EF"/>
    <w:rsid w:val="00464C97"/>
    <w:rsid w:val="00491F0A"/>
    <w:rsid w:val="004D1BA4"/>
    <w:rsid w:val="004F5AF7"/>
    <w:rsid w:val="00517043"/>
    <w:rsid w:val="00533BD3"/>
    <w:rsid w:val="005357A6"/>
    <w:rsid w:val="00550D2A"/>
    <w:rsid w:val="00553C77"/>
    <w:rsid w:val="00557D45"/>
    <w:rsid w:val="005B6C7C"/>
    <w:rsid w:val="005C05E4"/>
    <w:rsid w:val="0062212F"/>
    <w:rsid w:val="006548E0"/>
    <w:rsid w:val="0067528A"/>
    <w:rsid w:val="00676BF5"/>
    <w:rsid w:val="006B4548"/>
    <w:rsid w:val="006C31F4"/>
    <w:rsid w:val="00701066"/>
    <w:rsid w:val="0071339C"/>
    <w:rsid w:val="00713A52"/>
    <w:rsid w:val="0071566C"/>
    <w:rsid w:val="0073432B"/>
    <w:rsid w:val="00756EA5"/>
    <w:rsid w:val="00765BE8"/>
    <w:rsid w:val="007764BF"/>
    <w:rsid w:val="00782E2C"/>
    <w:rsid w:val="007F209A"/>
    <w:rsid w:val="008150AF"/>
    <w:rsid w:val="00825CC7"/>
    <w:rsid w:val="008372C2"/>
    <w:rsid w:val="0084451E"/>
    <w:rsid w:val="00856794"/>
    <w:rsid w:val="00860A7E"/>
    <w:rsid w:val="00861DE6"/>
    <w:rsid w:val="0088512E"/>
    <w:rsid w:val="00891B69"/>
    <w:rsid w:val="008941B4"/>
    <w:rsid w:val="008A3E59"/>
    <w:rsid w:val="008B7E6C"/>
    <w:rsid w:val="008C4507"/>
    <w:rsid w:val="008D14C1"/>
    <w:rsid w:val="008D6841"/>
    <w:rsid w:val="008E693F"/>
    <w:rsid w:val="008E7409"/>
    <w:rsid w:val="009065D5"/>
    <w:rsid w:val="009A0DFB"/>
    <w:rsid w:val="009B2BB0"/>
    <w:rsid w:val="009E0E44"/>
    <w:rsid w:val="009F1DA5"/>
    <w:rsid w:val="00A17986"/>
    <w:rsid w:val="00A3563D"/>
    <w:rsid w:val="00A40E76"/>
    <w:rsid w:val="00A4329A"/>
    <w:rsid w:val="00A44D0E"/>
    <w:rsid w:val="00A92504"/>
    <w:rsid w:val="00A96D6B"/>
    <w:rsid w:val="00AC5158"/>
    <w:rsid w:val="00AD4769"/>
    <w:rsid w:val="00AD6E63"/>
    <w:rsid w:val="00AE67CE"/>
    <w:rsid w:val="00B00A49"/>
    <w:rsid w:val="00B01C34"/>
    <w:rsid w:val="00B1330C"/>
    <w:rsid w:val="00B167E3"/>
    <w:rsid w:val="00B26752"/>
    <w:rsid w:val="00B322D5"/>
    <w:rsid w:val="00B357ED"/>
    <w:rsid w:val="00B42B27"/>
    <w:rsid w:val="00B519F9"/>
    <w:rsid w:val="00B53DAD"/>
    <w:rsid w:val="00B728DD"/>
    <w:rsid w:val="00B829FF"/>
    <w:rsid w:val="00B92365"/>
    <w:rsid w:val="00BA6C70"/>
    <w:rsid w:val="00BC01D8"/>
    <w:rsid w:val="00BE63E9"/>
    <w:rsid w:val="00BF1400"/>
    <w:rsid w:val="00BF37BF"/>
    <w:rsid w:val="00BF4701"/>
    <w:rsid w:val="00C02E3E"/>
    <w:rsid w:val="00C443C1"/>
    <w:rsid w:val="00C50D28"/>
    <w:rsid w:val="00C67DB5"/>
    <w:rsid w:val="00C762F9"/>
    <w:rsid w:val="00C811A9"/>
    <w:rsid w:val="00C91729"/>
    <w:rsid w:val="00C94B39"/>
    <w:rsid w:val="00CB4C5B"/>
    <w:rsid w:val="00CD39BB"/>
    <w:rsid w:val="00CD555A"/>
    <w:rsid w:val="00D0488C"/>
    <w:rsid w:val="00D215B5"/>
    <w:rsid w:val="00D2730B"/>
    <w:rsid w:val="00D32F07"/>
    <w:rsid w:val="00D507C9"/>
    <w:rsid w:val="00D54348"/>
    <w:rsid w:val="00D854D0"/>
    <w:rsid w:val="00D9496D"/>
    <w:rsid w:val="00DA0C73"/>
    <w:rsid w:val="00DA58F1"/>
    <w:rsid w:val="00DB1B8B"/>
    <w:rsid w:val="00DB1EBB"/>
    <w:rsid w:val="00DC1AC5"/>
    <w:rsid w:val="00E14D6B"/>
    <w:rsid w:val="00E4482E"/>
    <w:rsid w:val="00E62045"/>
    <w:rsid w:val="00E83AB3"/>
    <w:rsid w:val="00E9561B"/>
    <w:rsid w:val="00EB6411"/>
    <w:rsid w:val="00EC5271"/>
    <w:rsid w:val="00EF1845"/>
    <w:rsid w:val="00F05343"/>
    <w:rsid w:val="00F1628E"/>
    <w:rsid w:val="00F569C1"/>
    <w:rsid w:val="00F70B3A"/>
    <w:rsid w:val="00F71767"/>
    <w:rsid w:val="00F74DFF"/>
    <w:rsid w:val="00F77ECE"/>
    <w:rsid w:val="00F94739"/>
    <w:rsid w:val="00FA1460"/>
    <w:rsid w:val="00FA478A"/>
    <w:rsid w:val="00FC403B"/>
    <w:rsid w:val="00FC4F0E"/>
    <w:rsid w:val="00FE0EB0"/>
    <w:rsid w:val="00FE1E40"/>
    <w:rsid w:val="015514D4"/>
    <w:rsid w:val="01645054"/>
    <w:rsid w:val="023163F8"/>
    <w:rsid w:val="02965993"/>
    <w:rsid w:val="02A73BB4"/>
    <w:rsid w:val="02AB3135"/>
    <w:rsid w:val="03086644"/>
    <w:rsid w:val="03EE2DC2"/>
    <w:rsid w:val="046D6AA1"/>
    <w:rsid w:val="053D5FFA"/>
    <w:rsid w:val="05571376"/>
    <w:rsid w:val="05891D4C"/>
    <w:rsid w:val="05DA2E9A"/>
    <w:rsid w:val="062B14E9"/>
    <w:rsid w:val="06576077"/>
    <w:rsid w:val="066074D0"/>
    <w:rsid w:val="066C1C8E"/>
    <w:rsid w:val="0796509C"/>
    <w:rsid w:val="08187ED6"/>
    <w:rsid w:val="0849619B"/>
    <w:rsid w:val="088D7DE2"/>
    <w:rsid w:val="08B47223"/>
    <w:rsid w:val="09FB1572"/>
    <w:rsid w:val="0A1E3914"/>
    <w:rsid w:val="0A9B7367"/>
    <w:rsid w:val="0AD302B6"/>
    <w:rsid w:val="0B145BAB"/>
    <w:rsid w:val="0B4A0E68"/>
    <w:rsid w:val="0CAC23ED"/>
    <w:rsid w:val="0D4B7D63"/>
    <w:rsid w:val="0D611A0E"/>
    <w:rsid w:val="0D875DBA"/>
    <w:rsid w:val="0D8C7D28"/>
    <w:rsid w:val="0DB66EC8"/>
    <w:rsid w:val="0DB76615"/>
    <w:rsid w:val="0E200F58"/>
    <w:rsid w:val="0E374F47"/>
    <w:rsid w:val="0EE30EEC"/>
    <w:rsid w:val="0F876BDC"/>
    <w:rsid w:val="0FD32F4B"/>
    <w:rsid w:val="105016CC"/>
    <w:rsid w:val="11541CD4"/>
    <w:rsid w:val="116F6427"/>
    <w:rsid w:val="11BF6B74"/>
    <w:rsid w:val="13470178"/>
    <w:rsid w:val="140E3ADF"/>
    <w:rsid w:val="15DA49ED"/>
    <w:rsid w:val="15FE36C9"/>
    <w:rsid w:val="163B06A5"/>
    <w:rsid w:val="16767212"/>
    <w:rsid w:val="16DD750D"/>
    <w:rsid w:val="17406FDB"/>
    <w:rsid w:val="17561E59"/>
    <w:rsid w:val="1762778B"/>
    <w:rsid w:val="17864A0E"/>
    <w:rsid w:val="17C90967"/>
    <w:rsid w:val="18951C03"/>
    <w:rsid w:val="18AD1158"/>
    <w:rsid w:val="19397466"/>
    <w:rsid w:val="1963557C"/>
    <w:rsid w:val="19657020"/>
    <w:rsid w:val="1A2931B6"/>
    <w:rsid w:val="1A2D5A64"/>
    <w:rsid w:val="1A3D04BF"/>
    <w:rsid w:val="1A5A68AF"/>
    <w:rsid w:val="1A91063F"/>
    <w:rsid w:val="1ADA1A04"/>
    <w:rsid w:val="1B636178"/>
    <w:rsid w:val="1B9D690E"/>
    <w:rsid w:val="1C422EE3"/>
    <w:rsid w:val="1C917D4D"/>
    <w:rsid w:val="1CB341C7"/>
    <w:rsid w:val="1CCA2E56"/>
    <w:rsid w:val="1D003E31"/>
    <w:rsid w:val="1D37650E"/>
    <w:rsid w:val="1D730C24"/>
    <w:rsid w:val="1DAC7C55"/>
    <w:rsid w:val="1E1772EF"/>
    <w:rsid w:val="1E4703BB"/>
    <w:rsid w:val="1EBC0FA4"/>
    <w:rsid w:val="1EDB0F82"/>
    <w:rsid w:val="1F687A66"/>
    <w:rsid w:val="1F9F34E1"/>
    <w:rsid w:val="20003493"/>
    <w:rsid w:val="2001433F"/>
    <w:rsid w:val="2035491E"/>
    <w:rsid w:val="205C2A3D"/>
    <w:rsid w:val="209B085C"/>
    <w:rsid w:val="20CA73E3"/>
    <w:rsid w:val="20DA6235"/>
    <w:rsid w:val="21B05EBF"/>
    <w:rsid w:val="21F712AB"/>
    <w:rsid w:val="226F76DA"/>
    <w:rsid w:val="22832335"/>
    <w:rsid w:val="22FA30D0"/>
    <w:rsid w:val="22FE1971"/>
    <w:rsid w:val="231571FC"/>
    <w:rsid w:val="232013E3"/>
    <w:rsid w:val="23465715"/>
    <w:rsid w:val="242A576D"/>
    <w:rsid w:val="24B26481"/>
    <w:rsid w:val="24FF0943"/>
    <w:rsid w:val="25D4546D"/>
    <w:rsid w:val="26763D0A"/>
    <w:rsid w:val="26D870FF"/>
    <w:rsid w:val="26DE25C0"/>
    <w:rsid w:val="270C6A7E"/>
    <w:rsid w:val="28C00D76"/>
    <w:rsid w:val="2A0108AA"/>
    <w:rsid w:val="2A260864"/>
    <w:rsid w:val="2AD80D25"/>
    <w:rsid w:val="2B191478"/>
    <w:rsid w:val="2B9F6C4A"/>
    <w:rsid w:val="2BFE48FC"/>
    <w:rsid w:val="2D1C5563"/>
    <w:rsid w:val="2D356809"/>
    <w:rsid w:val="2D402B29"/>
    <w:rsid w:val="2DE667B7"/>
    <w:rsid w:val="2DEA6212"/>
    <w:rsid w:val="2E023818"/>
    <w:rsid w:val="2E921DC1"/>
    <w:rsid w:val="2E9669B5"/>
    <w:rsid w:val="2E9F62D8"/>
    <w:rsid w:val="2ED90E37"/>
    <w:rsid w:val="2EDD19A5"/>
    <w:rsid w:val="2F033348"/>
    <w:rsid w:val="302E677B"/>
    <w:rsid w:val="303A3D22"/>
    <w:rsid w:val="305B4474"/>
    <w:rsid w:val="30CF4CE8"/>
    <w:rsid w:val="30FA6F33"/>
    <w:rsid w:val="313A5ACD"/>
    <w:rsid w:val="31652444"/>
    <w:rsid w:val="326862B9"/>
    <w:rsid w:val="32AC02E9"/>
    <w:rsid w:val="32D83AA3"/>
    <w:rsid w:val="330823A0"/>
    <w:rsid w:val="33963252"/>
    <w:rsid w:val="339C19C9"/>
    <w:rsid w:val="34002531"/>
    <w:rsid w:val="345526D4"/>
    <w:rsid w:val="346A6DD8"/>
    <w:rsid w:val="347D0388"/>
    <w:rsid w:val="34B63FE3"/>
    <w:rsid w:val="361B4BF3"/>
    <w:rsid w:val="361F0525"/>
    <w:rsid w:val="36552846"/>
    <w:rsid w:val="36FB6EA0"/>
    <w:rsid w:val="37070F17"/>
    <w:rsid w:val="370C422B"/>
    <w:rsid w:val="379E41E4"/>
    <w:rsid w:val="38094033"/>
    <w:rsid w:val="386E56E7"/>
    <w:rsid w:val="38B72071"/>
    <w:rsid w:val="39D23E5B"/>
    <w:rsid w:val="39E809C5"/>
    <w:rsid w:val="3ADF0CCB"/>
    <w:rsid w:val="3B050EF0"/>
    <w:rsid w:val="3B66559E"/>
    <w:rsid w:val="3C482147"/>
    <w:rsid w:val="3D9C653F"/>
    <w:rsid w:val="3E0B5060"/>
    <w:rsid w:val="3E121A04"/>
    <w:rsid w:val="3E1F1936"/>
    <w:rsid w:val="3E9C5707"/>
    <w:rsid w:val="3EAD0691"/>
    <w:rsid w:val="3EDC4503"/>
    <w:rsid w:val="3EEC5FD0"/>
    <w:rsid w:val="3F3761A9"/>
    <w:rsid w:val="3F385D7D"/>
    <w:rsid w:val="3F996591"/>
    <w:rsid w:val="3FD2740A"/>
    <w:rsid w:val="3FEE7311"/>
    <w:rsid w:val="402517E7"/>
    <w:rsid w:val="407061AD"/>
    <w:rsid w:val="40CA4D2D"/>
    <w:rsid w:val="41700C0B"/>
    <w:rsid w:val="41AF14ED"/>
    <w:rsid w:val="41D827C9"/>
    <w:rsid w:val="423C334B"/>
    <w:rsid w:val="42737300"/>
    <w:rsid w:val="4274704B"/>
    <w:rsid w:val="427551D3"/>
    <w:rsid w:val="42CA7DAB"/>
    <w:rsid w:val="430D7CB1"/>
    <w:rsid w:val="431B30EF"/>
    <w:rsid w:val="432C3263"/>
    <w:rsid w:val="43AC1E04"/>
    <w:rsid w:val="44387DD7"/>
    <w:rsid w:val="44B57620"/>
    <w:rsid w:val="44E77F64"/>
    <w:rsid w:val="4513612A"/>
    <w:rsid w:val="451D476C"/>
    <w:rsid w:val="452003C3"/>
    <w:rsid w:val="45A81A57"/>
    <w:rsid w:val="45EE396D"/>
    <w:rsid w:val="4601675E"/>
    <w:rsid w:val="46CD0F41"/>
    <w:rsid w:val="46F248B5"/>
    <w:rsid w:val="474B3161"/>
    <w:rsid w:val="47653F9D"/>
    <w:rsid w:val="478B5FBB"/>
    <w:rsid w:val="47B00460"/>
    <w:rsid w:val="47C22C42"/>
    <w:rsid w:val="483E39F0"/>
    <w:rsid w:val="48444F48"/>
    <w:rsid w:val="48750CAD"/>
    <w:rsid w:val="48ED3FB8"/>
    <w:rsid w:val="48F66C1F"/>
    <w:rsid w:val="49251B73"/>
    <w:rsid w:val="495F7B0F"/>
    <w:rsid w:val="49790F9C"/>
    <w:rsid w:val="4A2E0909"/>
    <w:rsid w:val="4AA074CB"/>
    <w:rsid w:val="4AE510B5"/>
    <w:rsid w:val="4B046F3B"/>
    <w:rsid w:val="4BAC7AB0"/>
    <w:rsid w:val="4CBC3534"/>
    <w:rsid w:val="4CFD4E3F"/>
    <w:rsid w:val="4D2A39B6"/>
    <w:rsid w:val="4D3F357A"/>
    <w:rsid w:val="4DE00E66"/>
    <w:rsid w:val="4EEE5257"/>
    <w:rsid w:val="4F002892"/>
    <w:rsid w:val="4F8D4908"/>
    <w:rsid w:val="4FDF5A56"/>
    <w:rsid w:val="50B808D6"/>
    <w:rsid w:val="50F93B8B"/>
    <w:rsid w:val="50FE7AA0"/>
    <w:rsid w:val="511A5C0E"/>
    <w:rsid w:val="517920A6"/>
    <w:rsid w:val="518744D1"/>
    <w:rsid w:val="519A0CA8"/>
    <w:rsid w:val="51E34639"/>
    <w:rsid w:val="521317D7"/>
    <w:rsid w:val="525A24E0"/>
    <w:rsid w:val="526A0350"/>
    <w:rsid w:val="526B7C86"/>
    <w:rsid w:val="52930034"/>
    <w:rsid w:val="52AE5886"/>
    <w:rsid w:val="53C04349"/>
    <w:rsid w:val="53EC6B2F"/>
    <w:rsid w:val="56A26F60"/>
    <w:rsid w:val="56C469C8"/>
    <w:rsid w:val="57B73EF0"/>
    <w:rsid w:val="5847569D"/>
    <w:rsid w:val="585B48BF"/>
    <w:rsid w:val="586D1E32"/>
    <w:rsid w:val="58B2538F"/>
    <w:rsid w:val="59252B12"/>
    <w:rsid w:val="594F7A07"/>
    <w:rsid w:val="596D3B28"/>
    <w:rsid w:val="597E5970"/>
    <w:rsid w:val="5A7A1336"/>
    <w:rsid w:val="5A8A76DB"/>
    <w:rsid w:val="5A992F96"/>
    <w:rsid w:val="5A9E3AA9"/>
    <w:rsid w:val="5B246350"/>
    <w:rsid w:val="5B43754A"/>
    <w:rsid w:val="5B4B6354"/>
    <w:rsid w:val="5BB52B9F"/>
    <w:rsid w:val="5BD47C07"/>
    <w:rsid w:val="5CDB0B87"/>
    <w:rsid w:val="5D0F420F"/>
    <w:rsid w:val="5EC02703"/>
    <w:rsid w:val="5EF66751"/>
    <w:rsid w:val="5F9247FC"/>
    <w:rsid w:val="5FEC1C70"/>
    <w:rsid w:val="601E223A"/>
    <w:rsid w:val="61114A1F"/>
    <w:rsid w:val="627F350D"/>
    <w:rsid w:val="62E96198"/>
    <w:rsid w:val="634A11CE"/>
    <w:rsid w:val="63B41A42"/>
    <w:rsid w:val="63BF2573"/>
    <w:rsid w:val="6498183A"/>
    <w:rsid w:val="64BB53E6"/>
    <w:rsid w:val="64D01FAE"/>
    <w:rsid w:val="64E27114"/>
    <w:rsid w:val="6555695C"/>
    <w:rsid w:val="658C5212"/>
    <w:rsid w:val="66676303"/>
    <w:rsid w:val="66976E88"/>
    <w:rsid w:val="66B248D4"/>
    <w:rsid w:val="66C46B72"/>
    <w:rsid w:val="66DB760F"/>
    <w:rsid w:val="67057218"/>
    <w:rsid w:val="67BE592A"/>
    <w:rsid w:val="689776B3"/>
    <w:rsid w:val="694839A7"/>
    <w:rsid w:val="6A381821"/>
    <w:rsid w:val="6A7D59D9"/>
    <w:rsid w:val="6ADD5F38"/>
    <w:rsid w:val="6AE50F04"/>
    <w:rsid w:val="6B2C2E43"/>
    <w:rsid w:val="6BA01EE0"/>
    <w:rsid w:val="6CBD5780"/>
    <w:rsid w:val="6CC9784B"/>
    <w:rsid w:val="6CD73EE6"/>
    <w:rsid w:val="6D077A4B"/>
    <w:rsid w:val="6D3B2995"/>
    <w:rsid w:val="6D53623D"/>
    <w:rsid w:val="6DD859BB"/>
    <w:rsid w:val="6E296AA5"/>
    <w:rsid w:val="6E4046F4"/>
    <w:rsid w:val="6E4D7710"/>
    <w:rsid w:val="6EFB584B"/>
    <w:rsid w:val="6FB7366D"/>
    <w:rsid w:val="70115B0E"/>
    <w:rsid w:val="70191B5E"/>
    <w:rsid w:val="7042366F"/>
    <w:rsid w:val="70C40779"/>
    <w:rsid w:val="71DE5C6A"/>
    <w:rsid w:val="72581CBB"/>
    <w:rsid w:val="72BF0A80"/>
    <w:rsid w:val="72CF6CA9"/>
    <w:rsid w:val="73EB514B"/>
    <w:rsid w:val="746C1CCF"/>
    <w:rsid w:val="74870D9E"/>
    <w:rsid w:val="74D22798"/>
    <w:rsid w:val="74F50D4A"/>
    <w:rsid w:val="74FD316D"/>
    <w:rsid w:val="75D636FF"/>
    <w:rsid w:val="75F71239"/>
    <w:rsid w:val="76311338"/>
    <w:rsid w:val="76B7487A"/>
    <w:rsid w:val="76F37B2B"/>
    <w:rsid w:val="77333F15"/>
    <w:rsid w:val="777972BC"/>
    <w:rsid w:val="77B53480"/>
    <w:rsid w:val="78585D3C"/>
    <w:rsid w:val="792D2C81"/>
    <w:rsid w:val="79736FFE"/>
    <w:rsid w:val="79C05D4F"/>
    <w:rsid w:val="7A463D8F"/>
    <w:rsid w:val="7A616466"/>
    <w:rsid w:val="7A7824F2"/>
    <w:rsid w:val="7A8A40C7"/>
    <w:rsid w:val="7AA5539C"/>
    <w:rsid w:val="7AC51D6E"/>
    <w:rsid w:val="7B344F21"/>
    <w:rsid w:val="7B571DAB"/>
    <w:rsid w:val="7BC5F172"/>
    <w:rsid w:val="7BD85BB5"/>
    <w:rsid w:val="7C7D6D65"/>
    <w:rsid w:val="7C977378"/>
    <w:rsid w:val="7C996259"/>
    <w:rsid w:val="7D06767A"/>
    <w:rsid w:val="7D4B2D24"/>
    <w:rsid w:val="7D4C467F"/>
    <w:rsid w:val="7D6726A0"/>
    <w:rsid w:val="7D7D6DC9"/>
    <w:rsid w:val="7D935955"/>
    <w:rsid w:val="7D9A7E2B"/>
    <w:rsid w:val="7DD814E4"/>
    <w:rsid w:val="7DE47088"/>
    <w:rsid w:val="7E9FC73A"/>
    <w:rsid w:val="7EE456EE"/>
    <w:rsid w:val="7F030F41"/>
    <w:rsid w:val="7F294872"/>
    <w:rsid w:val="7FB37CFC"/>
    <w:rsid w:val="7FFF00B6"/>
    <w:rsid w:val="BAEF6925"/>
    <w:rsid w:val="EFDCBDE2"/>
    <w:rsid w:val="F3FEA52F"/>
    <w:rsid w:val="FF152396"/>
    <w:rsid w:val="FFFD4C8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3">
    <w:name w:val="heading 1"/>
    <w:basedOn w:val="1"/>
    <w:next w:val="1"/>
    <w:qFormat/>
    <w:uiPriority w:val="0"/>
    <w:pPr>
      <w:keepNext/>
      <w:keepLines/>
      <w:adjustRightInd w:val="0"/>
      <w:jc w:val="distribute"/>
      <w:outlineLvl w:val="0"/>
    </w:pPr>
    <w:rPr>
      <w:rFonts w:eastAsia="文鼎小标宋简"/>
      <w:b/>
      <w:vanish/>
      <w:color w:val="FF0000"/>
      <w:kern w:val="44"/>
      <w:sz w:val="72"/>
    </w:rPr>
  </w:style>
  <w:style w:type="paragraph" w:styleId="4">
    <w:name w:val="heading 2"/>
    <w:basedOn w:val="1"/>
    <w:next w:val="5"/>
    <w:qFormat/>
    <w:uiPriority w:val="0"/>
    <w:pPr>
      <w:keepNext/>
      <w:keepLines/>
      <w:spacing w:before="260" w:after="260" w:line="416" w:lineRule="auto"/>
      <w:outlineLvl w:val="1"/>
    </w:pPr>
    <w:rPr>
      <w:rFonts w:ascii="Arial" w:hAnsi="Arial" w:eastAsia="黑体"/>
      <w:b/>
    </w:rPr>
  </w:style>
  <w:style w:type="paragraph" w:styleId="6">
    <w:name w:val="heading 3"/>
    <w:basedOn w:val="1"/>
    <w:next w:val="1"/>
    <w:qFormat/>
    <w:uiPriority w:val="0"/>
    <w:pPr>
      <w:keepNext/>
      <w:keepLines/>
      <w:spacing w:before="1000" w:after="400"/>
      <w:jc w:val="center"/>
      <w:outlineLvl w:val="2"/>
    </w:pPr>
    <w:rPr>
      <w:rFonts w:ascii="文鼎小标宋简" w:eastAsia="文鼎小标宋简"/>
      <w:sz w:val="44"/>
    </w:rPr>
  </w:style>
  <w:style w:type="character" w:default="1" w:styleId="21">
    <w:name w:val="Default Paragraph Font"/>
    <w:semiHidden/>
    <w:qFormat/>
    <w:uiPriority w:val="0"/>
  </w:style>
  <w:style w:type="table" w:default="1" w:styleId="19">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Plain Text"/>
    <w:basedOn w:val="1"/>
    <w:qFormat/>
    <w:uiPriority w:val="0"/>
    <w:pPr>
      <w:widowControl w:val="0"/>
      <w:jc w:val="both"/>
    </w:pPr>
    <w:rPr>
      <w:rFonts w:ascii="宋体" w:hAnsi="Courier New" w:eastAsia="宋体" w:cs="Courier New"/>
      <w:kern w:val="2"/>
      <w:sz w:val="21"/>
      <w:szCs w:val="21"/>
      <w:lang w:val="en-US" w:eastAsia="zh-CN" w:bidi="ar-SA"/>
    </w:rPr>
  </w:style>
  <w:style w:type="paragraph" w:styleId="5">
    <w:name w:val="Normal Indent"/>
    <w:basedOn w:val="1"/>
    <w:qFormat/>
    <w:uiPriority w:val="0"/>
    <w:pPr>
      <w:ind w:firstLine="630"/>
    </w:pPr>
    <w:rPr>
      <w:kern w:val="0"/>
    </w:rPr>
  </w:style>
  <w:style w:type="paragraph" w:styleId="7">
    <w:name w:val="List Bullet"/>
    <w:basedOn w:val="1"/>
    <w:qFormat/>
    <w:uiPriority w:val="0"/>
    <w:pPr>
      <w:numPr>
        <w:ilvl w:val="0"/>
        <w:numId w:val="1"/>
      </w:numPr>
    </w:pPr>
    <w:rPr>
      <w:rFonts w:eastAsia="宋体"/>
      <w:sz w:val="21"/>
      <w:szCs w:val="24"/>
    </w:rPr>
  </w:style>
  <w:style w:type="paragraph" w:styleId="8">
    <w:name w:val="Document Map"/>
    <w:basedOn w:val="1"/>
    <w:link w:val="132"/>
    <w:unhideWhenUsed/>
    <w:qFormat/>
    <w:uiPriority w:val="0"/>
    <w:pPr>
      <w:shd w:val="clear" w:color="auto" w:fill="000080"/>
    </w:pPr>
    <w:rPr>
      <w:rFonts w:eastAsia="宋体"/>
      <w:sz w:val="21"/>
      <w:szCs w:val="24"/>
    </w:rPr>
  </w:style>
  <w:style w:type="paragraph" w:styleId="9">
    <w:name w:val="annotation text"/>
    <w:basedOn w:val="1"/>
    <w:link w:val="133"/>
    <w:unhideWhenUsed/>
    <w:qFormat/>
    <w:uiPriority w:val="99"/>
    <w:pPr>
      <w:jc w:val="left"/>
    </w:pPr>
    <w:rPr>
      <w:rFonts w:eastAsia="宋体"/>
      <w:sz w:val="21"/>
      <w:szCs w:val="24"/>
    </w:rPr>
  </w:style>
  <w:style w:type="paragraph" w:styleId="10">
    <w:name w:val="Body Text"/>
    <w:basedOn w:val="1"/>
    <w:link w:val="134"/>
    <w:qFormat/>
    <w:uiPriority w:val="99"/>
    <w:pPr>
      <w:jc w:val="center"/>
    </w:pPr>
    <w:rPr>
      <w:rFonts w:ascii="黑体" w:eastAsia="黑体"/>
      <w:sz w:val="44"/>
      <w:szCs w:val="24"/>
    </w:rPr>
  </w:style>
  <w:style w:type="paragraph" w:styleId="11">
    <w:name w:val="Body Text Indent"/>
    <w:basedOn w:val="1"/>
    <w:link w:val="135"/>
    <w:qFormat/>
    <w:uiPriority w:val="0"/>
    <w:pPr>
      <w:spacing w:after="120"/>
      <w:ind w:left="420" w:leftChars="200"/>
    </w:pPr>
  </w:style>
  <w:style w:type="paragraph" w:styleId="12">
    <w:name w:val="Date"/>
    <w:basedOn w:val="1"/>
    <w:next w:val="1"/>
    <w:link w:val="136"/>
    <w:qFormat/>
    <w:uiPriority w:val="99"/>
  </w:style>
  <w:style w:type="paragraph" w:styleId="13">
    <w:name w:val="Balloon Text"/>
    <w:basedOn w:val="1"/>
    <w:link w:val="137"/>
    <w:unhideWhenUsed/>
    <w:qFormat/>
    <w:uiPriority w:val="99"/>
    <w:rPr>
      <w:rFonts w:eastAsia="宋体"/>
      <w:sz w:val="18"/>
      <w:szCs w:val="18"/>
    </w:rPr>
  </w:style>
  <w:style w:type="paragraph" w:styleId="14">
    <w:name w:val="footer"/>
    <w:basedOn w:val="1"/>
    <w:link w:val="138"/>
    <w:qFormat/>
    <w:uiPriority w:val="99"/>
    <w:pPr>
      <w:tabs>
        <w:tab w:val="center" w:pos="4153"/>
        <w:tab w:val="right" w:pos="8306"/>
      </w:tabs>
      <w:snapToGrid w:val="0"/>
      <w:jc w:val="left"/>
    </w:pPr>
    <w:rPr>
      <w:sz w:val="18"/>
    </w:rPr>
  </w:style>
  <w:style w:type="paragraph" w:styleId="15">
    <w:name w:val="header"/>
    <w:basedOn w:val="1"/>
    <w:link w:val="139"/>
    <w:qFormat/>
    <w:uiPriority w:val="99"/>
    <w:pPr>
      <w:pBdr>
        <w:bottom w:val="single" w:color="auto" w:sz="6" w:space="1"/>
      </w:pBdr>
      <w:tabs>
        <w:tab w:val="center" w:pos="4153"/>
        <w:tab w:val="right" w:pos="8306"/>
      </w:tabs>
      <w:snapToGrid w:val="0"/>
      <w:jc w:val="center"/>
    </w:pPr>
    <w:rPr>
      <w:sz w:val="18"/>
    </w:r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7">
    <w:name w:val="annotation subject"/>
    <w:basedOn w:val="9"/>
    <w:next w:val="9"/>
    <w:link w:val="140"/>
    <w:unhideWhenUsed/>
    <w:qFormat/>
    <w:uiPriority w:val="99"/>
    <w:rPr>
      <w:b/>
      <w:bCs/>
    </w:rPr>
  </w:style>
  <w:style w:type="paragraph" w:styleId="18">
    <w:name w:val="Body Text First Indent"/>
    <w:basedOn w:val="10"/>
    <w:next w:val="1"/>
    <w:qFormat/>
    <w:uiPriority w:val="0"/>
    <w:pPr>
      <w:ind w:firstLine="420" w:firstLineChars="100"/>
    </w:pPr>
    <w:rPr>
      <w:rFonts w:ascii="Calibri" w:hAnsi="Calibri"/>
    </w:rPr>
  </w:style>
  <w:style w:type="table" w:styleId="20">
    <w:name w:val="Table Grid"/>
    <w:basedOn w:val="1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qFormat/>
    <w:uiPriority w:val="0"/>
    <w:rPr>
      <w:rFonts w:eastAsia="宋体"/>
      <w:sz w:val="28"/>
    </w:rPr>
  </w:style>
  <w:style w:type="character" w:styleId="24">
    <w:name w:val="FollowedHyperlink"/>
    <w:unhideWhenUsed/>
    <w:qFormat/>
    <w:uiPriority w:val="99"/>
    <w:rPr>
      <w:color w:val="800080"/>
      <w:u w:val="single"/>
    </w:rPr>
  </w:style>
  <w:style w:type="character" w:styleId="25">
    <w:name w:val="Hyperlink"/>
    <w:unhideWhenUsed/>
    <w:qFormat/>
    <w:uiPriority w:val="99"/>
    <w:rPr>
      <w:color w:val="0000FF"/>
      <w:u w:val="single"/>
    </w:rPr>
  </w:style>
  <w:style w:type="character" w:styleId="26">
    <w:name w:val="annotation reference"/>
    <w:unhideWhenUsed/>
    <w:qFormat/>
    <w:uiPriority w:val="99"/>
    <w:rPr>
      <w:sz w:val="21"/>
      <w:szCs w:val="21"/>
    </w:rPr>
  </w:style>
  <w:style w:type="paragraph" w:customStyle="1" w:styleId="27">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cs="宋体"/>
      <w:kern w:val="0"/>
      <w:sz w:val="24"/>
      <w:szCs w:val="24"/>
    </w:rPr>
  </w:style>
  <w:style w:type="paragraph" w:customStyle="1" w:styleId="28">
    <w:name w:val="xl81"/>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29">
    <w:name w:val="xl1278"/>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仿宋_GB2312" w:hAnsi="宋体" w:cs="宋体"/>
      <w:kern w:val="0"/>
      <w:sz w:val="24"/>
      <w:szCs w:val="24"/>
    </w:rPr>
  </w:style>
  <w:style w:type="paragraph" w:customStyle="1" w:styleId="30">
    <w:name w:val="xl1265"/>
    <w:basedOn w:val="1"/>
    <w:qFormat/>
    <w:uiPriority w:val="0"/>
    <w:pPr>
      <w:widowControl/>
      <w:spacing w:before="100" w:beforeAutospacing="1" w:after="100" w:afterAutospacing="1"/>
      <w:jc w:val="center"/>
    </w:pPr>
    <w:rPr>
      <w:rFonts w:ascii="仿宋_GB2312" w:hAnsi="宋体" w:cs="宋体"/>
      <w:kern w:val="0"/>
      <w:sz w:val="24"/>
      <w:szCs w:val="24"/>
    </w:rPr>
  </w:style>
  <w:style w:type="paragraph" w:customStyle="1" w:styleId="31">
    <w:name w:val="font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仿宋_GB2312" w:hAnsi="宋体" w:cs="宋体"/>
      <w:kern w:val="0"/>
      <w:sz w:val="24"/>
      <w:szCs w:val="24"/>
    </w:rPr>
  </w:style>
  <w:style w:type="paragraph" w:customStyle="1" w:styleId="33">
    <w:name w:val="xl9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仿宋_GB2312" w:hAnsi="宋体" w:cs="宋体"/>
      <w:kern w:val="0"/>
      <w:sz w:val="24"/>
      <w:szCs w:val="24"/>
    </w:rPr>
  </w:style>
  <w:style w:type="paragraph" w:customStyle="1" w:styleId="34">
    <w:name w:val="xl7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仿宋_GB2312" w:hAnsi="宋体" w:cs="宋体"/>
      <w:kern w:val="0"/>
      <w:sz w:val="24"/>
      <w:szCs w:val="24"/>
    </w:rPr>
  </w:style>
  <w:style w:type="paragraph" w:customStyle="1" w:styleId="35">
    <w:name w:val="xl8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仿宋_GB2312" w:hAnsi="宋体" w:cs="宋体"/>
      <w:kern w:val="0"/>
      <w:sz w:val="24"/>
      <w:szCs w:val="24"/>
    </w:rPr>
  </w:style>
  <w:style w:type="paragraph" w:customStyle="1" w:styleId="36">
    <w:name w:val="xl12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cs="宋体"/>
      <w:kern w:val="0"/>
      <w:sz w:val="24"/>
      <w:szCs w:val="24"/>
    </w:rPr>
  </w:style>
  <w:style w:type="paragraph" w:customStyle="1" w:styleId="37">
    <w:name w:val="xl10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仿宋_GB2312" w:hAnsi="宋体" w:cs="宋体"/>
      <w:kern w:val="0"/>
      <w:sz w:val="24"/>
      <w:szCs w:val="24"/>
    </w:rPr>
  </w:style>
  <w:style w:type="paragraph" w:customStyle="1" w:styleId="38">
    <w:name w:val="_Style 122"/>
    <w:basedOn w:val="1"/>
    <w:next w:val="1"/>
    <w:unhideWhenUsed/>
    <w:qFormat/>
    <w:uiPriority w:val="39"/>
    <w:pPr>
      <w:widowControl/>
      <w:tabs>
        <w:tab w:val="right" w:leader="dot" w:pos="8844"/>
      </w:tabs>
      <w:spacing w:after="100" w:line="276" w:lineRule="auto"/>
      <w:jc w:val="left"/>
    </w:pPr>
    <w:rPr>
      <w:rFonts w:ascii="仿宋_GB2312" w:hAnsi="宋体"/>
      <w:b/>
      <w:kern w:val="0"/>
      <w:szCs w:val="32"/>
    </w:rPr>
  </w:style>
  <w:style w:type="paragraph" w:customStyle="1" w:styleId="3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40">
    <w:name w:val="xl118"/>
    <w:basedOn w:val="1"/>
    <w:qFormat/>
    <w:uiPriority w:val="0"/>
    <w:pPr>
      <w:widowControl/>
      <w:pBdr>
        <w:bottom w:val="single" w:color="auto" w:sz="4" w:space="0"/>
      </w:pBdr>
      <w:spacing w:before="100" w:beforeAutospacing="1" w:after="100" w:afterAutospacing="1"/>
      <w:jc w:val="center"/>
    </w:pPr>
    <w:rPr>
      <w:rFonts w:ascii="仿宋_GB2312" w:hAnsi="宋体" w:cs="宋体"/>
      <w:kern w:val="0"/>
      <w:sz w:val="24"/>
      <w:szCs w:val="24"/>
    </w:rPr>
  </w:style>
  <w:style w:type="paragraph" w:customStyle="1" w:styleId="41">
    <w:name w:val="xl1262"/>
    <w:basedOn w:val="1"/>
    <w:qFormat/>
    <w:uiPriority w:val="0"/>
    <w:pPr>
      <w:widowControl/>
      <w:spacing w:before="100" w:beforeAutospacing="1" w:after="100" w:afterAutospacing="1"/>
      <w:jc w:val="left"/>
    </w:pPr>
    <w:rPr>
      <w:rFonts w:ascii="仿宋_GB2312" w:hAnsi="宋体" w:cs="宋体"/>
      <w:kern w:val="0"/>
      <w:sz w:val="24"/>
      <w:szCs w:val="24"/>
    </w:rPr>
  </w:style>
  <w:style w:type="paragraph" w:customStyle="1" w:styleId="42">
    <w:name w:val="Char1"/>
    <w:basedOn w:val="1"/>
    <w:qFormat/>
    <w:uiPriority w:val="0"/>
    <w:pPr>
      <w:widowControl/>
      <w:spacing w:after="160" w:line="240" w:lineRule="exact"/>
      <w:jc w:val="left"/>
    </w:pPr>
  </w:style>
  <w:style w:type="paragraph" w:customStyle="1" w:styleId="43">
    <w:name w:val="秘密紧急"/>
    <w:basedOn w:val="1"/>
    <w:qFormat/>
    <w:uiPriority w:val="0"/>
    <w:pPr>
      <w:jc w:val="right"/>
    </w:pPr>
    <w:rPr>
      <w:rFonts w:ascii="黑体" w:eastAsia="黑体"/>
    </w:rPr>
  </w:style>
  <w:style w:type="paragraph" w:customStyle="1" w:styleId="44">
    <w:name w:val="xl12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仿宋_GB2312" w:hAnsi="宋体" w:cs="宋体"/>
      <w:kern w:val="0"/>
      <w:sz w:val="24"/>
      <w:szCs w:val="24"/>
    </w:rPr>
  </w:style>
  <w:style w:type="paragraph" w:customStyle="1" w:styleId="45">
    <w:name w:val="xl12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cs="宋体"/>
      <w:kern w:val="0"/>
      <w:sz w:val="24"/>
      <w:szCs w:val="24"/>
    </w:rPr>
  </w:style>
  <w:style w:type="paragraph" w:customStyle="1" w:styleId="46">
    <w:name w:val="xl12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47">
    <w:name w:val="样式 仿宋_GB2312 三号"/>
    <w:basedOn w:val="1"/>
    <w:qFormat/>
    <w:uiPriority w:val="0"/>
    <w:pPr>
      <w:spacing w:line="540" w:lineRule="exact"/>
      <w:ind w:firstLine="200" w:firstLineChars="200"/>
    </w:pPr>
    <w:rPr>
      <w:rFonts w:ascii="仿宋_GB2312" w:hAnsi="仿宋_GB2312" w:cs="宋体"/>
    </w:rPr>
  </w:style>
  <w:style w:type="paragraph" w:customStyle="1" w:styleId="48">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4"/>
      <w:szCs w:val="24"/>
    </w:rPr>
  </w:style>
  <w:style w:type="paragraph" w:customStyle="1" w:styleId="4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50">
    <w:name w:val="xl8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1">
    <w:name w:val="font1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52">
    <w:name w:val="xl11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53">
    <w:name w:val="xl12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54">
    <w:name w:val="xl1279"/>
    <w:basedOn w:val="1"/>
    <w:qFormat/>
    <w:uiPriority w:val="0"/>
    <w:pPr>
      <w:widowControl/>
      <w:pBdr>
        <w:top w:val="single" w:color="auto" w:sz="4" w:space="0"/>
        <w:bottom w:val="single" w:color="auto" w:sz="4" w:space="0"/>
      </w:pBdr>
      <w:spacing w:before="100" w:beforeAutospacing="1" w:after="100" w:afterAutospacing="1"/>
      <w:jc w:val="right"/>
    </w:pPr>
    <w:rPr>
      <w:rFonts w:ascii="仿宋_GB2312" w:hAnsi="宋体" w:cs="宋体"/>
      <w:kern w:val="0"/>
      <w:sz w:val="24"/>
      <w:szCs w:val="24"/>
    </w:rPr>
  </w:style>
  <w:style w:type="paragraph" w:customStyle="1" w:styleId="55">
    <w:name w:val="xl12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56">
    <w:name w:val="附件"/>
    <w:basedOn w:val="1"/>
    <w:qFormat/>
    <w:uiPriority w:val="0"/>
    <w:pPr>
      <w:ind w:left="1638" w:hanging="1016"/>
    </w:pPr>
  </w:style>
  <w:style w:type="paragraph" w:customStyle="1" w:styleId="57">
    <w:name w:val="xl102"/>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仿宋_GB2312" w:hAnsi="宋体" w:cs="宋体"/>
      <w:kern w:val="0"/>
      <w:sz w:val="24"/>
      <w:szCs w:val="24"/>
    </w:rPr>
  </w:style>
  <w:style w:type="paragraph" w:customStyle="1" w:styleId="58">
    <w:name w:val="xl117"/>
    <w:basedOn w:val="1"/>
    <w:qFormat/>
    <w:uiPriority w:val="0"/>
    <w:pPr>
      <w:widowControl/>
      <w:pBdr>
        <w:left w:val="single" w:color="auto" w:sz="4" w:space="0"/>
        <w:bottom w:val="single" w:color="auto" w:sz="4" w:space="0"/>
      </w:pBdr>
      <w:spacing w:before="100" w:beforeAutospacing="1" w:after="100" w:afterAutospacing="1"/>
      <w:jc w:val="center"/>
    </w:pPr>
    <w:rPr>
      <w:rFonts w:ascii="仿宋_GB2312" w:hAnsi="宋体" w:cs="宋体"/>
      <w:kern w:val="0"/>
      <w:sz w:val="24"/>
      <w:szCs w:val="24"/>
    </w:rPr>
  </w:style>
  <w:style w:type="paragraph" w:customStyle="1" w:styleId="59">
    <w:name w:val="xl101"/>
    <w:basedOn w:val="1"/>
    <w:qFormat/>
    <w:uiPriority w:val="0"/>
    <w:pPr>
      <w:widowControl/>
      <w:spacing w:before="100" w:beforeAutospacing="1" w:after="100" w:afterAutospacing="1"/>
      <w:jc w:val="left"/>
    </w:pPr>
    <w:rPr>
      <w:rFonts w:ascii="仿宋_GB2312" w:hAnsi="宋体" w:cs="宋体"/>
      <w:kern w:val="0"/>
      <w:sz w:val="24"/>
      <w:szCs w:val="24"/>
    </w:rPr>
  </w:style>
  <w:style w:type="paragraph" w:customStyle="1" w:styleId="6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cs="宋体"/>
      <w:kern w:val="0"/>
      <w:sz w:val="24"/>
      <w:szCs w:val="24"/>
    </w:rPr>
  </w:style>
  <w:style w:type="paragraph" w:customStyle="1" w:styleId="61">
    <w:name w:val="xl1281"/>
    <w:basedOn w:val="1"/>
    <w:qFormat/>
    <w:uiPriority w:val="0"/>
    <w:pPr>
      <w:widowControl/>
      <w:pBdr>
        <w:top w:val="single" w:color="auto" w:sz="4" w:space="0"/>
        <w:bottom w:val="single" w:color="auto" w:sz="4" w:space="0"/>
      </w:pBdr>
      <w:spacing w:before="100" w:beforeAutospacing="1" w:after="100" w:afterAutospacing="1"/>
      <w:jc w:val="center"/>
    </w:pPr>
    <w:rPr>
      <w:rFonts w:ascii="仿宋_GB2312" w:hAnsi="宋体" w:cs="宋体"/>
      <w:kern w:val="0"/>
      <w:sz w:val="24"/>
      <w:szCs w:val="24"/>
    </w:rPr>
  </w:style>
  <w:style w:type="paragraph" w:customStyle="1" w:styleId="62">
    <w:name w:val="xl127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63">
    <w:name w:val="xl8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4">
    <w:name w:val="xl11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仿宋_GB2312" w:hAnsi="宋体" w:cs="宋体"/>
      <w:kern w:val="0"/>
      <w:sz w:val="24"/>
      <w:szCs w:val="24"/>
    </w:rPr>
  </w:style>
  <w:style w:type="paragraph" w:customStyle="1" w:styleId="65">
    <w:name w:val="主题词"/>
    <w:basedOn w:val="1"/>
    <w:qFormat/>
    <w:uiPriority w:val="0"/>
    <w:pPr>
      <w:framePr w:wrap="notBeside" w:vAnchor="margin" w:hAnchor="margin" w:yAlign="bottom"/>
      <w:ind w:left="1246" w:hanging="1246"/>
    </w:pPr>
    <w:rPr>
      <w:rFonts w:eastAsia="文鼎小标宋简"/>
    </w:rPr>
  </w:style>
  <w:style w:type="paragraph" w:customStyle="1" w:styleId="66">
    <w:name w:val="xl12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67">
    <w:name w:val="xl11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仿宋_GB2312" w:hAnsi="宋体" w:cs="宋体"/>
      <w:kern w:val="0"/>
      <w:sz w:val="24"/>
      <w:szCs w:val="24"/>
    </w:rPr>
  </w:style>
  <w:style w:type="paragraph" w:customStyle="1" w:styleId="6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69">
    <w:name w:val="xl103"/>
    <w:basedOn w:val="1"/>
    <w:qFormat/>
    <w:uiPriority w:val="0"/>
    <w:pPr>
      <w:widowControl/>
      <w:pBdr>
        <w:top w:val="single" w:color="auto" w:sz="4" w:space="0"/>
        <w:bottom w:val="single" w:color="auto" w:sz="4" w:space="0"/>
      </w:pBdr>
      <w:spacing w:before="100" w:beforeAutospacing="1" w:after="100" w:afterAutospacing="1"/>
      <w:jc w:val="right"/>
    </w:pPr>
    <w:rPr>
      <w:rFonts w:ascii="仿宋_GB2312" w:hAnsi="宋体" w:cs="宋体"/>
      <w:kern w:val="0"/>
      <w:sz w:val="24"/>
      <w:szCs w:val="24"/>
    </w:rPr>
  </w:style>
  <w:style w:type="paragraph" w:customStyle="1" w:styleId="70">
    <w:name w:val="xl12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7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72">
    <w:name w:val="font10"/>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73">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74">
    <w:name w:val="xl126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仿宋_GB2312" w:hAnsi="宋体" w:cs="宋体"/>
      <w:kern w:val="0"/>
      <w:sz w:val="24"/>
      <w:szCs w:val="24"/>
    </w:rPr>
  </w:style>
  <w:style w:type="paragraph" w:customStyle="1" w:styleId="75">
    <w:name w:val="xl112"/>
    <w:basedOn w:val="1"/>
    <w:qFormat/>
    <w:uiPriority w:val="0"/>
    <w:pPr>
      <w:widowControl/>
      <w:pBdr>
        <w:top w:val="single" w:color="auto" w:sz="4" w:space="0"/>
        <w:bottom w:val="single" w:color="auto" w:sz="4" w:space="0"/>
      </w:pBdr>
      <w:spacing w:before="100" w:beforeAutospacing="1" w:after="100" w:afterAutospacing="1"/>
      <w:jc w:val="center"/>
    </w:pPr>
    <w:rPr>
      <w:rFonts w:ascii="仿宋_GB2312" w:hAnsi="宋体" w:cs="宋体"/>
      <w:kern w:val="0"/>
      <w:sz w:val="24"/>
      <w:szCs w:val="24"/>
    </w:rPr>
  </w:style>
  <w:style w:type="paragraph" w:customStyle="1" w:styleId="76">
    <w:name w:val="xl12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cs="宋体"/>
      <w:kern w:val="0"/>
      <w:sz w:val="24"/>
      <w:szCs w:val="24"/>
    </w:rPr>
  </w:style>
  <w:style w:type="paragraph" w:customStyle="1" w:styleId="77">
    <w:name w:val="xl119"/>
    <w:basedOn w:val="1"/>
    <w:qFormat/>
    <w:uiPriority w:val="0"/>
    <w:pPr>
      <w:widowControl/>
      <w:pBdr>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78">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79">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80">
    <w:name w:val="首行缩进:  2 字符 + 首行缩进:  2 字符"/>
    <w:basedOn w:val="1"/>
    <w:qFormat/>
    <w:uiPriority w:val="0"/>
    <w:pPr>
      <w:spacing w:line="560" w:lineRule="exact"/>
      <w:ind w:firstLine="200" w:firstLineChars="200"/>
    </w:pPr>
    <w:rPr>
      <w:rFonts w:cs="宋体"/>
    </w:rPr>
  </w:style>
  <w:style w:type="paragraph" w:customStyle="1" w:styleId="81">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8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83">
    <w:name w:val="xl8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4">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8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cs="宋体"/>
      <w:color w:val="000000"/>
      <w:kern w:val="0"/>
      <w:sz w:val="24"/>
      <w:szCs w:val="24"/>
    </w:rPr>
  </w:style>
  <w:style w:type="paragraph" w:customStyle="1" w:styleId="8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87">
    <w:name w:val="xl115"/>
    <w:basedOn w:val="1"/>
    <w:qFormat/>
    <w:uiPriority w:val="0"/>
    <w:pPr>
      <w:widowControl/>
      <w:pBdr>
        <w:top w:val="single" w:color="auto" w:sz="4" w:space="0"/>
        <w:bottom w:val="single" w:color="auto" w:sz="4" w:space="0"/>
      </w:pBdr>
      <w:spacing w:before="100" w:beforeAutospacing="1" w:after="100" w:afterAutospacing="1"/>
      <w:jc w:val="center"/>
    </w:pPr>
    <w:rPr>
      <w:rFonts w:ascii="仿宋_GB2312" w:hAnsi="宋体" w:cs="宋体"/>
      <w:kern w:val="0"/>
      <w:sz w:val="24"/>
      <w:szCs w:val="24"/>
    </w:rPr>
  </w:style>
  <w:style w:type="paragraph" w:customStyle="1" w:styleId="88">
    <w:name w:val="xl1271"/>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仿宋_GB2312" w:hAnsi="宋体" w:cs="宋体"/>
      <w:kern w:val="0"/>
      <w:sz w:val="24"/>
      <w:szCs w:val="24"/>
    </w:rPr>
  </w:style>
  <w:style w:type="paragraph" w:customStyle="1" w:styleId="89">
    <w:name w:val="font9"/>
    <w:basedOn w:val="1"/>
    <w:qFormat/>
    <w:uiPriority w:val="0"/>
    <w:pPr>
      <w:widowControl/>
      <w:spacing w:before="100" w:beforeAutospacing="1" w:after="100" w:afterAutospacing="1"/>
      <w:jc w:val="left"/>
    </w:pPr>
    <w:rPr>
      <w:rFonts w:ascii="仿宋_GB2312" w:hAnsi="宋体" w:cs="宋体"/>
      <w:kern w:val="0"/>
      <w:sz w:val="24"/>
      <w:szCs w:val="24"/>
    </w:rPr>
  </w:style>
  <w:style w:type="paragraph" w:customStyle="1" w:styleId="90">
    <w:name w:val="xl73"/>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91">
    <w:name w:val="xl93"/>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pPr>
    <w:rPr>
      <w:rFonts w:ascii="仿宋_GB2312" w:hAnsi="宋体" w:cs="宋体"/>
      <w:kern w:val="0"/>
      <w:sz w:val="24"/>
      <w:szCs w:val="24"/>
    </w:rPr>
  </w:style>
  <w:style w:type="paragraph" w:customStyle="1" w:styleId="9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color w:val="000000"/>
      <w:kern w:val="0"/>
      <w:sz w:val="24"/>
      <w:szCs w:val="24"/>
    </w:rPr>
  </w:style>
  <w:style w:type="paragraph" w:customStyle="1" w:styleId="93">
    <w:name w:val="xl12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color w:val="FF0000"/>
      <w:kern w:val="0"/>
      <w:sz w:val="24"/>
      <w:szCs w:val="24"/>
    </w:rPr>
  </w:style>
  <w:style w:type="paragraph" w:customStyle="1" w:styleId="94">
    <w:name w:val="xl1270"/>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95">
    <w:name w:val="List Paragraph"/>
    <w:basedOn w:val="1"/>
    <w:qFormat/>
    <w:uiPriority w:val="34"/>
    <w:pPr>
      <w:ind w:firstLine="420" w:firstLineChars="200"/>
    </w:pPr>
    <w:rPr>
      <w:lang w:val="en-US" w:eastAsia="zh-CN" w:bidi="ar-SA"/>
    </w:rPr>
  </w:style>
  <w:style w:type="paragraph" w:customStyle="1" w:styleId="9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仿宋_GB2312" w:hAnsi="宋体" w:cs="宋体"/>
      <w:kern w:val="0"/>
      <w:sz w:val="24"/>
      <w:szCs w:val="24"/>
    </w:rPr>
  </w:style>
  <w:style w:type="paragraph" w:customStyle="1" w:styleId="97">
    <w:name w:val="xl12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98">
    <w:name w:val="首行缩进2字符"/>
    <w:basedOn w:val="1"/>
    <w:qFormat/>
    <w:uiPriority w:val="0"/>
    <w:pPr>
      <w:spacing w:line="560" w:lineRule="exact"/>
      <w:ind w:firstLine="200" w:firstLineChars="200"/>
    </w:pPr>
    <w:rPr>
      <w:rFonts w:ascii="仿宋_GB2312" w:hAnsi="仿宋_GB2312"/>
    </w:rPr>
  </w:style>
  <w:style w:type="paragraph" w:customStyle="1" w:styleId="99">
    <w:name w:val="xl1251"/>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0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cs="宋体"/>
      <w:kern w:val="0"/>
      <w:sz w:val="24"/>
      <w:szCs w:val="24"/>
    </w:rPr>
  </w:style>
  <w:style w:type="paragraph" w:customStyle="1" w:styleId="101">
    <w:name w:val="xl12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102">
    <w:name w:val="xl12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_GB2312" w:hAnsi="宋体" w:cs="宋体"/>
      <w:kern w:val="0"/>
      <w:sz w:val="24"/>
      <w:szCs w:val="24"/>
    </w:rPr>
  </w:style>
  <w:style w:type="paragraph" w:customStyle="1" w:styleId="103">
    <w:name w:val="xl72"/>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04">
    <w:name w:val="抄 送"/>
    <w:basedOn w:val="65"/>
    <w:qFormat/>
    <w:uiPriority w:val="0"/>
    <w:pPr>
      <w:ind w:left="0" w:firstLine="0"/>
    </w:pPr>
    <w:rPr>
      <w:rFonts w:eastAsia="仿宋_GB2312"/>
    </w:rPr>
  </w:style>
  <w:style w:type="paragraph" w:customStyle="1" w:styleId="105">
    <w:name w:val="xl12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106">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107">
    <w:name w:val="xl1258"/>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08">
    <w:name w:val="xl12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109">
    <w:name w:val="xl12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0"/>
    </w:rPr>
  </w:style>
  <w:style w:type="paragraph" w:customStyle="1" w:styleId="110">
    <w:name w:val="xl1272"/>
    <w:basedOn w:val="1"/>
    <w:qFormat/>
    <w:uiPriority w:val="0"/>
    <w:pPr>
      <w:widowControl/>
      <w:pBdr>
        <w:top w:val="single" w:color="auto" w:sz="4" w:space="0"/>
        <w:bottom w:val="single" w:color="auto" w:sz="4" w:space="0"/>
      </w:pBdr>
      <w:spacing w:before="100" w:beforeAutospacing="1" w:after="100" w:afterAutospacing="1"/>
      <w:jc w:val="right"/>
    </w:pPr>
    <w:rPr>
      <w:rFonts w:ascii="仿宋_GB2312" w:hAnsi="宋体" w:cs="宋体"/>
      <w:kern w:val="0"/>
      <w:sz w:val="24"/>
      <w:szCs w:val="24"/>
    </w:rPr>
  </w:style>
  <w:style w:type="paragraph" w:customStyle="1" w:styleId="111">
    <w:name w:val="xl12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112">
    <w:name w:val="font7"/>
    <w:basedOn w:val="1"/>
    <w:qFormat/>
    <w:uiPriority w:val="0"/>
    <w:pPr>
      <w:widowControl/>
      <w:spacing w:before="100" w:beforeAutospacing="1" w:after="100" w:afterAutospacing="1"/>
      <w:jc w:val="left"/>
    </w:pPr>
    <w:rPr>
      <w:rFonts w:eastAsia="宋体"/>
      <w:kern w:val="0"/>
      <w:sz w:val="20"/>
    </w:rPr>
  </w:style>
  <w:style w:type="paragraph" w:customStyle="1" w:styleId="113">
    <w:name w:val="xl1253"/>
    <w:basedOn w:val="1"/>
    <w:qFormat/>
    <w:uiPriority w:val="0"/>
    <w:pPr>
      <w:widowControl/>
      <w:spacing w:before="100" w:beforeAutospacing="1" w:after="100" w:afterAutospacing="1"/>
      <w:jc w:val="right"/>
    </w:pPr>
    <w:rPr>
      <w:rFonts w:ascii="宋体" w:hAnsi="宋体" w:eastAsia="宋体" w:cs="宋体"/>
      <w:kern w:val="0"/>
      <w:sz w:val="24"/>
      <w:szCs w:val="24"/>
    </w:rPr>
  </w:style>
  <w:style w:type="paragraph" w:customStyle="1" w:styleId="114">
    <w:name w:val="xl11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115">
    <w:name w:val="xl12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116">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117">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118">
    <w:name w:val="xl128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仿宋_GB2312" w:hAnsi="宋体" w:cs="宋体"/>
      <w:kern w:val="0"/>
      <w:sz w:val="24"/>
      <w:szCs w:val="24"/>
    </w:rPr>
  </w:style>
  <w:style w:type="paragraph" w:customStyle="1" w:styleId="119">
    <w:name w:val="xl127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仿宋_GB2312" w:hAnsi="宋体" w:cs="宋体"/>
      <w:kern w:val="0"/>
      <w:sz w:val="24"/>
      <w:szCs w:val="24"/>
    </w:rPr>
  </w:style>
  <w:style w:type="paragraph" w:customStyle="1" w:styleId="120">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cs="宋体"/>
      <w:kern w:val="0"/>
      <w:sz w:val="24"/>
      <w:szCs w:val="24"/>
    </w:rPr>
  </w:style>
  <w:style w:type="paragraph" w:customStyle="1" w:styleId="12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仿宋_GB2312" w:hAnsi="宋体" w:cs="宋体"/>
      <w:kern w:val="0"/>
      <w:sz w:val="24"/>
      <w:szCs w:val="24"/>
    </w:rPr>
  </w:style>
  <w:style w:type="paragraph" w:customStyle="1" w:styleId="122">
    <w:name w:val="font8"/>
    <w:basedOn w:val="1"/>
    <w:qFormat/>
    <w:uiPriority w:val="0"/>
    <w:pPr>
      <w:widowControl/>
      <w:spacing w:before="100" w:beforeAutospacing="1" w:after="100" w:afterAutospacing="1"/>
      <w:jc w:val="left"/>
    </w:pPr>
    <w:rPr>
      <w:rFonts w:eastAsia="宋体"/>
      <w:kern w:val="0"/>
      <w:sz w:val="24"/>
      <w:szCs w:val="24"/>
    </w:rPr>
  </w:style>
  <w:style w:type="paragraph" w:customStyle="1" w:styleId="123">
    <w:name w:val="xl125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4">
    <w:name w:val="xl12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125">
    <w:name w:val="font11"/>
    <w:basedOn w:val="1"/>
    <w:qFormat/>
    <w:uiPriority w:val="0"/>
    <w:pPr>
      <w:widowControl/>
      <w:spacing w:before="100" w:beforeAutospacing="1" w:after="100" w:afterAutospacing="1"/>
      <w:jc w:val="left"/>
    </w:pPr>
    <w:rPr>
      <w:rFonts w:ascii="仿宋_GB2312" w:hAnsi="宋体" w:cs="宋体"/>
      <w:kern w:val="0"/>
      <w:sz w:val="24"/>
      <w:szCs w:val="24"/>
    </w:rPr>
  </w:style>
  <w:style w:type="paragraph" w:customStyle="1" w:styleId="126">
    <w:name w:val="xl10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127">
    <w:name w:val="xl9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仿宋_GB2312" w:hAnsi="宋体" w:cs="宋体"/>
      <w:kern w:val="0"/>
      <w:sz w:val="24"/>
      <w:szCs w:val="24"/>
    </w:rPr>
  </w:style>
  <w:style w:type="paragraph" w:customStyle="1" w:styleId="12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129">
    <w:name w:val="xl1274"/>
    <w:basedOn w:val="1"/>
    <w:qFormat/>
    <w:uiPriority w:val="0"/>
    <w:pPr>
      <w:widowControl/>
      <w:pBdr>
        <w:top w:val="single" w:color="auto" w:sz="4" w:space="0"/>
        <w:bottom w:val="single" w:color="auto" w:sz="4" w:space="0"/>
      </w:pBdr>
      <w:spacing w:before="100" w:beforeAutospacing="1" w:after="100" w:afterAutospacing="1"/>
      <w:jc w:val="center"/>
    </w:pPr>
    <w:rPr>
      <w:rFonts w:ascii="仿宋_GB2312" w:hAnsi="宋体" w:cs="宋体"/>
      <w:kern w:val="0"/>
      <w:sz w:val="24"/>
      <w:szCs w:val="24"/>
    </w:rPr>
  </w:style>
  <w:style w:type="paragraph" w:customStyle="1" w:styleId="130">
    <w:name w:val="xl12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cs="宋体"/>
      <w:kern w:val="0"/>
      <w:sz w:val="24"/>
      <w:szCs w:val="24"/>
    </w:rPr>
  </w:style>
  <w:style w:type="paragraph" w:customStyle="1" w:styleId="131">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color w:val="000000"/>
      <w:kern w:val="0"/>
      <w:sz w:val="24"/>
      <w:szCs w:val="24"/>
    </w:rPr>
  </w:style>
  <w:style w:type="character" w:customStyle="1" w:styleId="132">
    <w:name w:val="文档结构图 Char"/>
    <w:link w:val="8"/>
    <w:qFormat/>
    <w:uiPriority w:val="0"/>
    <w:rPr>
      <w:kern w:val="2"/>
      <w:sz w:val="21"/>
      <w:szCs w:val="24"/>
      <w:shd w:val="clear" w:color="auto" w:fill="000080"/>
    </w:rPr>
  </w:style>
  <w:style w:type="character" w:customStyle="1" w:styleId="133">
    <w:name w:val="批注文字 Char"/>
    <w:link w:val="9"/>
    <w:semiHidden/>
    <w:qFormat/>
    <w:uiPriority w:val="99"/>
    <w:rPr>
      <w:rFonts w:eastAsia="宋体"/>
      <w:kern w:val="2"/>
      <w:sz w:val="21"/>
      <w:szCs w:val="24"/>
      <w:lang w:val="en-US" w:eastAsia="zh-CN" w:bidi="ar-SA"/>
    </w:rPr>
  </w:style>
  <w:style w:type="character" w:customStyle="1" w:styleId="134">
    <w:name w:val="正文文本 Char"/>
    <w:link w:val="10"/>
    <w:qFormat/>
    <w:locked/>
    <w:uiPriority w:val="99"/>
    <w:rPr>
      <w:rFonts w:ascii="黑体" w:eastAsia="黑体"/>
      <w:kern w:val="2"/>
      <w:sz w:val="44"/>
      <w:szCs w:val="24"/>
      <w:lang w:val="en-US" w:eastAsia="zh-CN" w:bidi="ar-SA"/>
    </w:rPr>
  </w:style>
  <w:style w:type="character" w:customStyle="1" w:styleId="135">
    <w:name w:val="正文文本缩进 Char"/>
    <w:link w:val="11"/>
    <w:qFormat/>
    <w:uiPriority w:val="0"/>
    <w:rPr>
      <w:rFonts w:eastAsia="仿宋_GB2312"/>
      <w:kern w:val="2"/>
      <w:sz w:val="32"/>
    </w:rPr>
  </w:style>
  <w:style w:type="character" w:customStyle="1" w:styleId="136">
    <w:name w:val="日期 Char"/>
    <w:link w:val="12"/>
    <w:qFormat/>
    <w:uiPriority w:val="99"/>
    <w:rPr>
      <w:rFonts w:eastAsia="仿宋_GB2312"/>
      <w:kern w:val="2"/>
      <w:sz w:val="32"/>
    </w:rPr>
  </w:style>
  <w:style w:type="character" w:customStyle="1" w:styleId="137">
    <w:name w:val="批注框文本 Char"/>
    <w:link w:val="13"/>
    <w:semiHidden/>
    <w:qFormat/>
    <w:uiPriority w:val="99"/>
    <w:rPr>
      <w:rFonts w:eastAsia="宋体"/>
      <w:kern w:val="2"/>
      <w:sz w:val="18"/>
      <w:szCs w:val="18"/>
      <w:lang w:val="en-US" w:eastAsia="zh-CN" w:bidi="ar-SA"/>
    </w:rPr>
  </w:style>
  <w:style w:type="character" w:customStyle="1" w:styleId="138">
    <w:name w:val="页脚 Char"/>
    <w:link w:val="14"/>
    <w:semiHidden/>
    <w:qFormat/>
    <w:uiPriority w:val="99"/>
    <w:rPr>
      <w:rFonts w:eastAsia="仿宋_GB2312"/>
      <w:kern w:val="2"/>
      <w:sz w:val="18"/>
      <w:lang w:val="en-US" w:eastAsia="zh-CN" w:bidi="ar-SA"/>
    </w:rPr>
  </w:style>
  <w:style w:type="character" w:customStyle="1" w:styleId="139">
    <w:name w:val="页眉 Char"/>
    <w:link w:val="15"/>
    <w:semiHidden/>
    <w:qFormat/>
    <w:uiPriority w:val="99"/>
    <w:rPr>
      <w:rFonts w:eastAsia="仿宋_GB2312"/>
      <w:kern w:val="2"/>
      <w:sz w:val="18"/>
      <w:lang w:val="en-US" w:eastAsia="zh-CN" w:bidi="ar-SA"/>
    </w:rPr>
  </w:style>
  <w:style w:type="character" w:customStyle="1" w:styleId="140">
    <w:name w:val="批注主题 Char"/>
    <w:link w:val="17"/>
    <w:semiHidden/>
    <w:qFormat/>
    <w:uiPriority w:val="99"/>
    <w:rPr>
      <w:rFonts w:eastAsia="宋体"/>
      <w:b/>
      <w:bCs/>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8655</Words>
  <Characters>8891</Characters>
  <Lines>60</Lines>
  <Paragraphs>17</Paragraphs>
  <TotalTime>39</TotalTime>
  <ScaleCrop>false</ScaleCrop>
  <LinksUpToDate>false</LinksUpToDate>
  <CharactersWithSpaces>9350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2019-11-03T09:26:00Z</dcterms:created>
  <dc:creator>Administrator</dc:creator>
  <cp:lastModifiedBy>文档存本地丢失不负责</cp:lastModifiedBy>
  <cp:lastPrinted>2022-05-14T02:10:00Z</cp:lastPrinted>
  <dcterms:modified xsi:type="dcterms:W3CDTF">2022-09-29T01:47:32Z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1B816DF1B53E4A1BA1C59D42EC4FAE28</vt:lpwstr>
  </property>
</Properties>
</file>