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hint="eastAsia" w:ascii="黑体" w:eastAsia="黑体"/>
          <w:color w:val="auto"/>
          <w:spacing w:val="20"/>
          <w:w w:val="110"/>
          <w:kern w:val="10"/>
          <w:sz w:val="40"/>
          <w:highlight w:val="none"/>
          <w:lang w:eastAsia="zh-CN"/>
        </w:rPr>
      </w:pPr>
      <w:r>
        <w:rPr>
          <w:rFonts w:hint="eastAsia" w:ascii="黑体" w:eastAsia="黑体"/>
          <w:color w:val="auto"/>
          <w:spacing w:val="20"/>
          <w:w w:val="110"/>
          <w:kern w:val="10"/>
          <w:sz w:val="40"/>
          <w:highlight w:val="none"/>
        </w:rPr>
        <w:t>深圳市土地使用权出让公告</w:t>
      </w:r>
    </w:p>
    <w:p>
      <w:pPr>
        <w:pStyle w:val="4"/>
        <w:spacing w:line="480" w:lineRule="exact"/>
        <w:ind w:firstLine="0" w:firstLineChars="0"/>
        <w:jc w:val="center"/>
        <w:rPr>
          <w:rFonts w:ascii="宋体" w:hAnsi="宋体"/>
          <w:color w:val="auto"/>
          <w:highlight w:val="none"/>
        </w:rPr>
      </w:pPr>
      <w:r>
        <w:rPr>
          <w:rFonts w:hint="eastAsia" w:ascii="宋体" w:hAnsi="宋体"/>
          <w:color w:val="auto"/>
          <w:highlight w:val="none"/>
        </w:rPr>
        <w:t>深土交告〔2022〕</w:t>
      </w:r>
      <w:r>
        <w:rPr>
          <w:rFonts w:hint="eastAsia" w:ascii="宋体" w:hAnsi="宋体"/>
          <w:color w:val="auto"/>
          <w:highlight w:val="none"/>
          <w:lang w:val="en-US" w:eastAsia="zh-CN"/>
        </w:rPr>
        <w:t>47</w:t>
      </w:r>
      <w:r>
        <w:rPr>
          <w:rFonts w:hint="eastAsia" w:ascii="宋体" w:hAnsi="宋体"/>
          <w:color w:val="auto"/>
          <w:highlight w:val="none"/>
        </w:rPr>
        <w:t>号</w:t>
      </w:r>
    </w:p>
    <w:p>
      <w:pPr>
        <w:pStyle w:val="4"/>
        <w:spacing w:line="480" w:lineRule="exact"/>
        <w:ind w:firstLine="568" w:firstLineChars="200"/>
        <w:rPr>
          <w:rFonts w:ascii="宋体" w:hAnsi="宋体"/>
          <w:color w:val="auto"/>
          <w:highlight w:val="none"/>
        </w:rPr>
      </w:pPr>
      <w:r>
        <w:rPr>
          <w:rFonts w:hint="eastAsia"/>
          <w:color w:val="auto"/>
          <w:highlight w:val="none"/>
        </w:rPr>
        <w:t>根据有关法律、法规，</w:t>
      </w:r>
      <w:r>
        <w:rPr>
          <w:rFonts w:hint="eastAsia" w:ascii="宋体" w:hAnsi="宋体"/>
          <w:color w:val="auto"/>
          <w:highlight w:val="none"/>
        </w:rPr>
        <w:t>深圳市规划和自然资源局</w:t>
      </w:r>
      <w:r>
        <w:rPr>
          <w:rFonts w:hint="eastAsia"/>
          <w:color w:val="auto"/>
          <w:highlight w:val="none"/>
        </w:rPr>
        <w:t>（以下简称</w:t>
      </w:r>
      <w:r>
        <w:rPr>
          <w:color w:val="auto"/>
          <w:highlight w:val="none"/>
        </w:rPr>
        <w:t>市规划</w:t>
      </w:r>
      <w:r>
        <w:rPr>
          <w:rFonts w:hint="eastAsia"/>
          <w:color w:val="auto"/>
          <w:highlight w:val="none"/>
        </w:rPr>
        <w:t>和自然资源局）</w:t>
      </w:r>
      <w:r>
        <w:rPr>
          <w:rFonts w:hint="eastAsia" w:ascii="宋体" w:hAnsi="宋体"/>
          <w:color w:val="auto"/>
          <w:highlight w:val="none"/>
        </w:rPr>
        <w:t>委托深圳交易集团有限公司</w:t>
      </w:r>
      <w:r>
        <w:rPr>
          <w:rFonts w:hint="eastAsia"/>
          <w:color w:val="auto"/>
          <w:highlight w:val="none"/>
        </w:rPr>
        <w:t>（深圳公共</w:t>
      </w:r>
      <w:r>
        <w:rPr>
          <w:color w:val="auto"/>
          <w:highlight w:val="none"/>
        </w:rPr>
        <w:t>资源交易中心</w:t>
      </w:r>
      <w:r>
        <w:rPr>
          <w:rFonts w:hint="eastAsia"/>
          <w:color w:val="auto"/>
          <w:highlight w:val="none"/>
          <w:lang w:val="en-IE" w:eastAsia="zh-CN"/>
        </w:rPr>
        <w:t>）</w:t>
      </w:r>
      <w:r>
        <w:rPr>
          <w:rFonts w:hint="eastAsia"/>
          <w:color w:val="auto"/>
          <w:highlight w:val="none"/>
          <w:lang w:eastAsia="zh-CN"/>
        </w:rPr>
        <w:t>（</w:t>
      </w:r>
      <w:r>
        <w:rPr>
          <w:rFonts w:hint="eastAsia"/>
          <w:color w:val="auto"/>
          <w:highlight w:val="none"/>
        </w:rPr>
        <w:t>以下简称</w:t>
      </w:r>
      <w:r>
        <w:rPr>
          <w:rFonts w:hint="eastAsia"/>
          <w:color w:val="auto"/>
          <w:highlight w:val="none"/>
          <w:lang w:eastAsia="zh-CN"/>
        </w:rPr>
        <w:t>“</w:t>
      </w:r>
      <w:r>
        <w:rPr>
          <w:rFonts w:hint="eastAsia"/>
          <w:color w:val="auto"/>
          <w:highlight w:val="none"/>
        </w:rPr>
        <w:t>公共资源交易中心</w:t>
      </w:r>
      <w:r>
        <w:rPr>
          <w:rFonts w:hint="eastAsia"/>
          <w:color w:val="auto"/>
          <w:highlight w:val="none"/>
          <w:lang w:eastAsia="zh-CN"/>
        </w:rPr>
        <w:t>”</w:t>
      </w:r>
      <w:r>
        <w:rPr>
          <w:rFonts w:hint="eastAsia"/>
          <w:color w:val="auto"/>
          <w:highlight w:val="none"/>
        </w:rPr>
        <w:t>）</w:t>
      </w:r>
      <w:r>
        <w:rPr>
          <w:rFonts w:hint="eastAsia" w:ascii="宋体" w:hAnsi="宋体"/>
          <w:color w:val="auto"/>
          <w:highlight w:val="none"/>
        </w:rPr>
        <w:t>，在深圳市福田区红荔西路8007号土地房产交易大厦（以下简称交易大厦）3楼，以挂牌方式公开出让宗地代码为</w:t>
      </w:r>
      <w:r>
        <w:rPr>
          <w:rFonts w:hint="eastAsia" w:ascii="宋体" w:hAnsi="宋体"/>
          <w:color w:val="auto"/>
          <w:highlight w:val="none"/>
          <w:lang w:val="en-US" w:eastAsia="zh-CN"/>
        </w:rPr>
        <w:t>440309402003GB00253宗地的使用权，公告期自2022年8月30日至2022</w:t>
      </w:r>
      <w:r>
        <w:rPr>
          <w:rFonts w:hint="eastAsia" w:ascii="宋体" w:hAnsi="宋体"/>
          <w:color w:val="auto"/>
          <w:highlight w:val="none"/>
        </w:rPr>
        <w:t>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18</w:t>
      </w:r>
      <w:r>
        <w:rPr>
          <w:rFonts w:hint="eastAsia" w:ascii="宋体" w:hAnsi="宋体"/>
          <w:color w:val="auto"/>
          <w:highlight w:val="none"/>
        </w:rPr>
        <w:t>日，挂牌期自2022年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19</w:t>
      </w:r>
      <w:r>
        <w:rPr>
          <w:rFonts w:hint="eastAsia" w:ascii="宋体" w:hAnsi="宋体"/>
          <w:color w:val="auto"/>
          <w:highlight w:val="none"/>
        </w:rPr>
        <w:t>日至2022年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28</w:t>
      </w:r>
      <w:r>
        <w:rPr>
          <w:rFonts w:hint="eastAsia" w:ascii="宋体" w:hAnsi="宋体"/>
          <w:color w:val="auto"/>
          <w:highlight w:val="none"/>
        </w:rPr>
        <w:t>日15时止。现予公告。</w:t>
      </w:r>
    </w:p>
    <w:p>
      <w:pPr>
        <w:pStyle w:val="4"/>
        <w:spacing w:line="480" w:lineRule="exact"/>
        <w:ind w:firstLine="568" w:firstLineChars="200"/>
        <w:rPr>
          <w:b/>
          <w:color w:val="auto"/>
          <w:highlight w:val="none"/>
        </w:rPr>
      </w:pPr>
      <w:r>
        <w:rPr>
          <w:rFonts w:hint="eastAsia"/>
          <w:b/>
          <w:color w:val="auto"/>
          <w:highlight w:val="none"/>
        </w:rPr>
        <w:t xml:space="preserve">一、宗地情况 </w:t>
      </w:r>
    </w:p>
    <w:tbl>
      <w:tblPr>
        <w:tblStyle w:val="9"/>
        <w:tblW w:w="10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86"/>
        <w:gridCol w:w="869"/>
        <w:gridCol w:w="863"/>
        <w:gridCol w:w="1088"/>
        <w:gridCol w:w="719"/>
        <w:gridCol w:w="863"/>
        <w:gridCol w:w="986"/>
        <w:gridCol w:w="986"/>
        <w:gridCol w:w="986"/>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jc w:val="center"/>
        </w:trPr>
        <w:tc>
          <w:tcPr>
            <w:tcW w:w="1033" w:type="dxa"/>
            <w:vAlign w:val="center"/>
          </w:tcPr>
          <w:p>
            <w:pPr>
              <w:tabs>
                <w:tab w:val="left" w:pos="8460"/>
              </w:tabs>
              <w:spacing w:line="300" w:lineRule="exact"/>
              <w:ind w:left="-470" w:leftChars="-234" w:firstLine="40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w:t>
            </w:r>
          </w:p>
          <w:p>
            <w:pPr>
              <w:tabs>
                <w:tab w:val="left" w:pos="8460"/>
              </w:tabs>
              <w:spacing w:line="300" w:lineRule="exact"/>
              <w:ind w:left="-470" w:leftChars="-234" w:firstLine="40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代码</w:t>
            </w:r>
          </w:p>
        </w:tc>
        <w:tc>
          <w:tcPr>
            <w:tcW w:w="1086" w:type="dxa"/>
            <w:vAlign w:val="center"/>
          </w:tcPr>
          <w:p>
            <w:pPr>
              <w:tabs>
                <w:tab w:val="left" w:pos="8460"/>
              </w:tabs>
              <w:spacing w:line="30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宗地号</w:t>
            </w:r>
          </w:p>
        </w:tc>
        <w:tc>
          <w:tcPr>
            <w:tcW w:w="869" w:type="dxa"/>
            <w:vAlign w:val="center"/>
          </w:tcPr>
          <w:p>
            <w:pPr>
              <w:tabs>
                <w:tab w:val="left" w:pos="8460"/>
              </w:tabs>
              <w:spacing w:line="300" w:lineRule="exact"/>
              <w:ind w:left="-289" w:leftChars="-144" w:firstLine="270"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300" w:lineRule="exact"/>
              <w:ind w:left="-289" w:leftChars="-144" w:firstLine="270" w:firstLineChars="141"/>
              <w:jc w:val="center"/>
              <w:rPr>
                <w:rFonts w:ascii="汉仪书宋二简" w:eastAsia="汉仪书宋二简"/>
                <w:b/>
                <w:color w:val="auto"/>
                <w:kern w:val="11"/>
                <w:sz w:val="20"/>
                <w:szCs w:val="20"/>
                <w:highlight w:val="none"/>
              </w:rPr>
            </w:pPr>
            <w:r>
              <w:rPr>
                <w:rFonts w:hint="eastAsia" w:ascii="汉仪书宋二简" w:eastAsia="汉仪书宋二简"/>
                <w:b/>
                <w:color w:val="auto"/>
                <w:kern w:val="10"/>
                <w:sz w:val="20"/>
                <w:szCs w:val="20"/>
                <w:highlight w:val="none"/>
              </w:rPr>
              <w:t>位置</w:t>
            </w:r>
          </w:p>
        </w:tc>
        <w:tc>
          <w:tcPr>
            <w:tcW w:w="863" w:type="dxa"/>
            <w:vAlign w:val="center"/>
          </w:tcPr>
          <w:p>
            <w:pPr>
              <w:tabs>
                <w:tab w:val="left" w:pos="8460"/>
              </w:tabs>
              <w:spacing w:line="30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30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用途</w:t>
            </w:r>
          </w:p>
        </w:tc>
        <w:tc>
          <w:tcPr>
            <w:tcW w:w="1088" w:type="dxa"/>
            <w:vAlign w:val="center"/>
          </w:tcPr>
          <w:p>
            <w:pPr>
              <w:tabs>
                <w:tab w:val="left" w:pos="8460"/>
              </w:tabs>
              <w:spacing w:line="30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土地面积</w:t>
            </w:r>
          </w:p>
          <w:p>
            <w:pPr>
              <w:tabs>
                <w:tab w:val="left" w:pos="8460"/>
              </w:tabs>
              <w:spacing w:line="30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w:t>
            </w:r>
            <w:r>
              <w:rPr>
                <w:rFonts w:hint="eastAsia" w:ascii="汉仪书宋二简" w:eastAsia="汉仪书宋二简"/>
                <w:b/>
                <w:color w:val="auto"/>
                <w:sz w:val="20"/>
                <w:szCs w:val="20"/>
                <w:highlight w:val="none"/>
              </w:rPr>
              <w:t>平方米</w:t>
            </w:r>
            <w:r>
              <w:rPr>
                <w:rFonts w:hint="eastAsia" w:ascii="汉仪书宋二简" w:eastAsia="汉仪书宋二简"/>
                <w:b/>
                <w:color w:val="auto"/>
                <w:kern w:val="10"/>
                <w:sz w:val="20"/>
                <w:szCs w:val="20"/>
                <w:highlight w:val="none"/>
              </w:rPr>
              <w:t>）</w:t>
            </w:r>
          </w:p>
        </w:tc>
        <w:tc>
          <w:tcPr>
            <w:tcW w:w="719" w:type="dxa"/>
            <w:vAlign w:val="center"/>
          </w:tcPr>
          <w:p>
            <w:pPr>
              <w:tabs>
                <w:tab w:val="left" w:pos="8460"/>
              </w:tabs>
              <w:spacing w:line="30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建筑面积（</w:t>
            </w:r>
            <w:r>
              <w:rPr>
                <w:rFonts w:hint="eastAsia" w:ascii="汉仪书宋二简" w:eastAsia="汉仪书宋二简"/>
                <w:b/>
                <w:color w:val="auto"/>
                <w:sz w:val="20"/>
                <w:szCs w:val="20"/>
                <w:highlight w:val="none"/>
              </w:rPr>
              <w:t>平方米</w:t>
            </w:r>
            <w:r>
              <w:rPr>
                <w:rFonts w:hint="eastAsia" w:ascii="汉仪书宋二简" w:eastAsia="汉仪书宋二简"/>
                <w:b/>
                <w:color w:val="auto"/>
                <w:kern w:val="10"/>
                <w:sz w:val="20"/>
                <w:szCs w:val="20"/>
                <w:highlight w:val="none"/>
              </w:rPr>
              <w:t>）</w:t>
            </w:r>
          </w:p>
        </w:tc>
        <w:tc>
          <w:tcPr>
            <w:tcW w:w="863" w:type="dxa"/>
            <w:vAlign w:val="center"/>
          </w:tcPr>
          <w:p>
            <w:pPr>
              <w:tabs>
                <w:tab w:val="left" w:pos="8460"/>
              </w:tabs>
              <w:spacing w:line="30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挂牌起始价（人民币、万元）</w:t>
            </w:r>
          </w:p>
        </w:tc>
        <w:tc>
          <w:tcPr>
            <w:tcW w:w="986" w:type="dxa"/>
            <w:vAlign w:val="center"/>
          </w:tcPr>
          <w:p>
            <w:pPr>
              <w:tabs>
                <w:tab w:val="left" w:pos="8460"/>
              </w:tabs>
              <w:spacing w:line="30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最高限制地价（人民币、万元）</w:t>
            </w:r>
          </w:p>
        </w:tc>
        <w:tc>
          <w:tcPr>
            <w:tcW w:w="986" w:type="dxa"/>
            <w:vAlign w:val="center"/>
          </w:tcPr>
          <w:p>
            <w:pPr>
              <w:tabs>
                <w:tab w:val="left" w:pos="8460"/>
              </w:tabs>
              <w:spacing w:line="300" w:lineRule="exact"/>
              <w:jc w:val="center"/>
              <w:rPr>
                <w:rFonts w:hint="eastAsia" w:ascii="汉仪书宋二简" w:eastAsia="汉仪书宋二简"/>
                <w:b/>
                <w:color w:val="auto"/>
                <w:kern w:val="10"/>
                <w:sz w:val="20"/>
                <w:szCs w:val="20"/>
                <w:highlight w:val="none"/>
              </w:rPr>
            </w:pPr>
            <w:r>
              <w:rPr>
                <w:rFonts w:hint="eastAsia" w:ascii="汉仪书宋二简" w:hAnsi="微软雅黑" w:eastAsia="汉仪书宋二简" w:cs="宋体"/>
                <w:b/>
                <w:bCs/>
                <w:color w:val="000000"/>
                <w:kern w:val="0"/>
                <w:sz w:val="18"/>
                <w:szCs w:val="18"/>
              </w:rPr>
              <w:t>竞</w:t>
            </w:r>
            <w:r>
              <w:rPr>
                <w:rFonts w:hint="eastAsia" w:ascii="汉仪书宋二简" w:hAnsi="微软雅黑" w:eastAsia="汉仪书宋二简" w:cs="宋体"/>
                <w:b/>
                <w:bCs/>
                <w:color w:val="000000"/>
                <w:kern w:val="0"/>
                <w:sz w:val="18"/>
                <w:szCs w:val="18"/>
                <w:lang w:val="en-US" w:eastAsia="zh-CN"/>
              </w:rPr>
              <w:t>企业</w:t>
            </w:r>
            <w:r>
              <w:rPr>
                <w:rFonts w:hint="eastAsia" w:ascii="汉仪书宋二简" w:hAnsi="微软雅黑" w:eastAsia="汉仪书宋二简" w:cs="宋体"/>
                <w:b/>
                <w:bCs/>
                <w:color w:val="000000"/>
                <w:kern w:val="0"/>
                <w:sz w:val="18"/>
                <w:szCs w:val="18"/>
              </w:rPr>
              <w:t>自持的保障性租赁住房最高限制</w:t>
            </w:r>
            <w:r>
              <w:rPr>
                <w:rFonts w:hint="eastAsia" w:ascii="汉仪书宋二简" w:hAnsi="微软雅黑" w:eastAsia="汉仪书宋二简" w:cs="宋体"/>
                <w:b/>
                <w:bCs/>
                <w:color w:val="000000"/>
                <w:kern w:val="0"/>
                <w:sz w:val="18"/>
                <w:szCs w:val="18"/>
                <w:lang w:val="en-US" w:eastAsia="zh-CN"/>
              </w:rPr>
              <w:t>建筑面积</w:t>
            </w:r>
            <w:r>
              <w:rPr>
                <w:rFonts w:hint="eastAsia" w:ascii="汉仪书宋二简" w:hAnsi="微软雅黑" w:eastAsia="汉仪书宋二简" w:cs="宋体"/>
                <w:b/>
                <w:bCs/>
                <w:color w:val="000000"/>
                <w:kern w:val="0"/>
                <w:sz w:val="18"/>
                <w:szCs w:val="18"/>
              </w:rPr>
              <w:t>（平方米）</w:t>
            </w:r>
          </w:p>
        </w:tc>
        <w:tc>
          <w:tcPr>
            <w:tcW w:w="986" w:type="dxa"/>
            <w:vAlign w:val="center"/>
          </w:tcPr>
          <w:p>
            <w:pPr>
              <w:tabs>
                <w:tab w:val="left" w:pos="8460"/>
              </w:tabs>
              <w:spacing w:line="30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竞买（投标）保证金（人民币、万元）</w:t>
            </w:r>
          </w:p>
        </w:tc>
        <w:tc>
          <w:tcPr>
            <w:tcW w:w="1105" w:type="dxa"/>
            <w:vAlign w:val="center"/>
          </w:tcPr>
          <w:p>
            <w:pPr>
              <w:tabs>
                <w:tab w:val="left" w:pos="8460"/>
              </w:tabs>
              <w:spacing w:line="30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jc w:val="center"/>
        </w:trPr>
        <w:tc>
          <w:tcPr>
            <w:tcW w:w="1033" w:type="dxa"/>
            <w:vAlign w:val="center"/>
          </w:tcPr>
          <w:p>
            <w:pPr>
              <w:tabs>
                <w:tab w:val="left" w:pos="8460"/>
              </w:tabs>
              <w:spacing w:line="300" w:lineRule="exact"/>
              <w:jc w:val="center"/>
              <w:rPr>
                <w:rFonts w:hint="eastAsia" w:ascii="汉仪书宋二简" w:eastAsia="汉仪书宋二简"/>
                <w:color w:val="auto"/>
                <w:kern w:val="10"/>
                <w:sz w:val="20"/>
                <w:szCs w:val="20"/>
                <w:highlight w:val="none"/>
                <w:lang w:val="en-US"/>
              </w:rPr>
            </w:pPr>
            <w:r>
              <w:rPr>
                <w:rFonts w:hint="eastAsia" w:ascii="汉仪书宋二简" w:eastAsia="汉仪书宋二简"/>
                <w:color w:val="auto"/>
                <w:kern w:val="10"/>
                <w:sz w:val="20"/>
                <w:szCs w:val="20"/>
                <w:highlight w:val="none"/>
                <w:lang w:val="en-US"/>
              </w:rPr>
              <w:t>440309402003GB00253</w:t>
            </w:r>
          </w:p>
        </w:tc>
        <w:tc>
          <w:tcPr>
            <w:tcW w:w="1086" w:type="dxa"/>
            <w:vAlign w:val="center"/>
          </w:tcPr>
          <w:p>
            <w:pPr>
              <w:tabs>
                <w:tab w:val="left" w:pos="8460"/>
              </w:tabs>
              <w:spacing w:line="300" w:lineRule="exact"/>
              <w:jc w:val="center"/>
              <w:rPr>
                <w:rFonts w:hint="eastAsia" w:ascii="汉仪书宋二简" w:eastAsia="汉仪书宋二简"/>
                <w:color w:val="auto"/>
                <w:kern w:val="10"/>
                <w:sz w:val="20"/>
                <w:szCs w:val="20"/>
                <w:highlight w:val="none"/>
                <w:lang w:val="en-US"/>
              </w:rPr>
            </w:pPr>
            <w:r>
              <w:rPr>
                <w:rFonts w:hint="eastAsia" w:ascii="汉仪书宋二简" w:eastAsia="汉仪书宋二简"/>
                <w:color w:val="auto"/>
                <w:kern w:val="10"/>
                <w:sz w:val="20"/>
                <w:szCs w:val="20"/>
                <w:highlight w:val="none"/>
                <w:lang w:val="en-US"/>
              </w:rPr>
              <w:t>A922-0824</w:t>
            </w:r>
          </w:p>
        </w:tc>
        <w:tc>
          <w:tcPr>
            <w:tcW w:w="869" w:type="dxa"/>
            <w:vAlign w:val="center"/>
          </w:tcPr>
          <w:p>
            <w:pPr>
              <w:tabs>
                <w:tab w:val="left" w:pos="8460"/>
              </w:tabs>
              <w:spacing w:line="300" w:lineRule="exact"/>
              <w:jc w:val="center"/>
              <w:rPr>
                <w:rFonts w:hint="eastAsia" w:ascii="汉仪书宋二简" w:eastAsia="汉仪书宋二简"/>
                <w:color w:val="auto"/>
                <w:kern w:val="10"/>
                <w:sz w:val="20"/>
                <w:szCs w:val="20"/>
                <w:highlight w:val="none"/>
                <w:lang w:val="en-US"/>
              </w:rPr>
            </w:pPr>
            <w:r>
              <w:rPr>
                <w:rFonts w:hint="eastAsia" w:ascii="汉仪书宋二简" w:eastAsia="汉仪书宋二简"/>
                <w:color w:val="auto"/>
                <w:kern w:val="10"/>
                <w:sz w:val="20"/>
                <w:szCs w:val="20"/>
                <w:highlight w:val="none"/>
                <w:lang w:val="en-US"/>
              </w:rPr>
              <w:t>龙华区福城街道</w:t>
            </w:r>
          </w:p>
        </w:tc>
        <w:tc>
          <w:tcPr>
            <w:tcW w:w="863" w:type="dxa"/>
            <w:vAlign w:val="center"/>
          </w:tcPr>
          <w:p>
            <w:pPr>
              <w:tabs>
                <w:tab w:val="left" w:pos="8460"/>
              </w:tabs>
              <w:spacing w:line="300" w:lineRule="exact"/>
              <w:jc w:val="center"/>
              <w:rPr>
                <w:rFonts w:hint="eastAsia"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二类居住用地</w:t>
            </w:r>
          </w:p>
        </w:tc>
        <w:tc>
          <w:tcPr>
            <w:tcW w:w="1088" w:type="dxa"/>
            <w:vAlign w:val="center"/>
          </w:tcPr>
          <w:p>
            <w:pPr>
              <w:tabs>
                <w:tab w:val="left" w:pos="8460"/>
              </w:tabs>
              <w:spacing w:line="300" w:lineRule="exact"/>
              <w:jc w:val="center"/>
              <w:rPr>
                <w:rFonts w:hint="eastAsia"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15239.95</w:t>
            </w:r>
            <w:r>
              <w:rPr>
                <w:rFonts w:hint="eastAsia" w:ascii="汉仪书宋二简" w:eastAsia="汉仪书宋二简"/>
                <w:color w:val="auto"/>
                <w:kern w:val="10"/>
                <w:sz w:val="20"/>
                <w:szCs w:val="20"/>
                <w:highlight w:val="none"/>
                <w:lang w:val="en-US" w:eastAsia="zh-CN"/>
              </w:rPr>
              <w:tab/>
            </w:r>
            <w:r>
              <w:rPr>
                <w:rFonts w:hint="eastAsia" w:ascii="汉仪书宋二简" w:eastAsia="汉仪书宋二简"/>
                <w:color w:val="auto"/>
                <w:kern w:val="10"/>
                <w:sz w:val="20"/>
                <w:szCs w:val="20"/>
                <w:highlight w:val="none"/>
                <w:lang w:val="en-US" w:eastAsia="zh-CN"/>
              </w:rPr>
              <w:t>15239.95</w:t>
            </w:r>
          </w:p>
        </w:tc>
        <w:tc>
          <w:tcPr>
            <w:tcW w:w="719" w:type="dxa"/>
            <w:vAlign w:val="center"/>
          </w:tcPr>
          <w:p>
            <w:pPr>
              <w:tabs>
                <w:tab w:val="left" w:pos="8460"/>
              </w:tabs>
              <w:spacing w:line="300" w:lineRule="exact"/>
              <w:jc w:val="center"/>
              <w:rPr>
                <w:rFonts w:hint="eastAsia"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54510</w:t>
            </w:r>
            <w:r>
              <w:rPr>
                <w:rFonts w:hint="eastAsia" w:ascii="汉仪书宋二简" w:eastAsia="汉仪书宋二简"/>
                <w:color w:val="auto"/>
                <w:kern w:val="10"/>
                <w:sz w:val="20"/>
                <w:szCs w:val="20"/>
                <w:highlight w:val="none"/>
                <w:lang w:val="en-US" w:eastAsia="zh-CN"/>
              </w:rPr>
              <w:tab/>
            </w:r>
            <w:r>
              <w:rPr>
                <w:rFonts w:hint="eastAsia" w:ascii="汉仪书宋二简" w:eastAsia="汉仪书宋二简"/>
                <w:color w:val="auto"/>
                <w:kern w:val="10"/>
                <w:sz w:val="20"/>
                <w:szCs w:val="20"/>
                <w:highlight w:val="none"/>
                <w:lang w:val="en-US" w:eastAsia="zh-CN"/>
              </w:rPr>
              <w:t>54510</w:t>
            </w:r>
          </w:p>
        </w:tc>
        <w:tc>
          <w:tcPr>
            <w:tcW w:w="863" w:type="dxa"/>
            <w:vAlign w:val="center"/>
          </w:tcPr>
          <w:p>
            <w:pPr>
              <w:tabs>
                <w:tab w:val="left" w:pos="8460"/>
              </w:tabs>
              <w:spacing w:line="30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rPr>
              <w:t>3</w:t>
            </w:r>
            <w:r>
              <w:rPr>
                <w:rFonts w:hint="eastAsia" w:ascii="汉仪书宋二简" w:eastAsia="汉仪书宋二简"/>
                <w:color w:val="auto"/>
                <w:kern w:val="10"/>
                <w:sz w:val="20"/>
                <w:szCs w:val="20"/>
                <w:highlight w:val="none"/>
                <w:lang w:val="en-US" w:eastAsia="zh-CN"/>
              </w:rPr>
              <w:t>0200</w:t>
            </w:r>
          </w:p>
        </w:tc>
        <w:tc>
          <w:tcPr>
            <w:tcW w:w="986" w:type="dxa"/>
            <w:vAlign w:val="center"/>
          </w:tcPr>
          <w:p>
            <w:pPr>
              <w:tabs>
                <w:tab w:val="left" w:pos="8460"/>
              </w:tabs>
              <w:spacing w:line="30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34700</w:t>
            </w:r>
          </w:p>
        </w:tc>
        <w:tc>
          <w:tcPr>
            <w:tcW w:w="986" w:type="dxa"/>
            <w:vAlign w:val="center"/>
          </w:tcPr>
          <w:p>
            <w:pPr>
              <w:tabs>
                <w:tab w:val="left" w:pos="8460"/>
              </w:tabs>
              <w:spacing w:line="300" w:lineRule="exact"/>
              <w:jc w:val="center"/>
              <w:rPr>
                <w:rFonts w:hint="eastAsia" w:ascii="汉仪书宋二简" w:eastAsia="汉仪书宋二简"/>
                <w:color w:val="auto"/>
                <w:kern w:val="10"/>
                <w:sz w:val="20"/>
                <w:szCs w:val="20"/>
                <w:highlight w:val="none"/>
                <w:lang w:val="en-US"/>
              </w:rPr>
            </w:pPr>
            <w:r>
              <w:rPr>
                <w:rFonts w:hint="eastAsia" w:ascii="汉仪书宋二简" w:eastAsia="汉仪书宋二简"/>
                <w:color w:val="auto"/>
                <w:kern w:val="10"/>
                <w:sz w:val="20"/>
                <w:szCs w:val="20"/>
                <w:highlight w:val="none"/>
                <w:lang w:val="en-US"/>
              </w:rPr>
              <w:t>15600</w:t>
            </w:r>
          </w:p>
        </w:tc>
        <w:tc>
          <w:tcPr>
            <w:tcW w:w="986" w:type="dxa"/>
            <w:vAlign w:val="center"/>
          </w:tcPr>
          <w:p>
            <w:pPr>
              <w:tabs>
                <w:tab w:val="left" w:pos="8460"/>
              </w:tabs>
              <w:spacing w:line="300" w:lineRule="exact"/>
              <w:jc w:val="center"/>
              <w:rPr>
                <w:rFonts w:hint="eastAsia" w:ascii="汉仪书宋二简" w:eastAsia="汉仪书宋二简"/>
                <w:color w:val="auto"/>
                <w:kern w:val="10"/>
                <w:sz w:val="20"/>
                <w:szCs w:val="20"/>
                <w:highlight w:val="none"/>
                <w:lang w:val="en-US"/>
              </w:rPr>
            </w:pPr>
            <w:r>
              <w:rPr>
                <w:rFonts w:hint="eastAsia" w:ascii="汉仪书宋二简" w:eastAsia="汉仪书宋二简"/>
                <w:color w:val="auto"/>
                <w:kern w:val="10"/>
                <w:sz w:val="20"/>
                <w:szCs w:val="20"/>
                <w:highlight w:val="none"/>
                <w:lang w:val="en-US" w:eastAsia="zh-CN"/>
              </w:rPr>
              <w:t>15100</w:t>
            </w:r>
          </w:p>
        </w:tc>
        <w:tc>
          <w:tcPr>
            <w:tcW w:w="1105" w:type="dxa"/>
            <w:vAlign w:val="center"/>
          </w:tcPr>
          <w:p>
            <w:pPr>
              <w:tabs>
                <w:tab w:val="left" w:pos="8460"/>
              </w:tabs>
              <w:spacing w:line="300" w:lineRule="exact"/>
              <w:jc w:val="center"/>
              <w:rPr>
                <w:rFonts w:hint="default" w:ascii="汉仪书宋二简" w:eastAsia="汉仪书宋二简"/>
                <w:color w:val="auto"/>
                <w:kern w:val="10"/>
                <w:sz w:val="20"/>
                <w:szCs w:val="20"/>
                <w:highlight w:val="none"/>
                <w:lang w:val="en-US" w:eastAsia="zh-CN"/>
              </w:rPr>
            </w:pPr>
            <w:r>
              <w:rPr>
                <w:rFonts w:hint="eastAsia" w:ascii="汉仪书宋二简" w:eastAsia="汉仪书宋二简"/>
                <w:color w:val="auto"/>
                <w:kern w:val="10"/>
                <w:sz w:val="20"/>
                <w:szCs w:val="20"/>
                <w:highlight w:val="none"/>
                <w:lang w:val="en-US" w:eastAsia="zh-CN"/>
              </w:rPr>
              <w:t>70</w:t>
            </w:r>
          </w:p>
        </w:tc>
      </w:tr>
    </w:tbl>
    <w:p>
      <w:pPr>
        <w:tabs>
          <w:tab w:val="left" w:pos="8460"/>
        </w:tabs>
        <w:spacing w:line="480" w:lineRule="exact"/>
        <w:ind w:firstLine="568" w:firstLineChars="200"/>
        <w:rPr>
          <w:rFonts w:ascii="汉仪书宋二简" w:hAnsi="宋体" w:eastAsia="汉仪书宋二简"/>
          <w:b/>
          <w:color w:val="auto"/>
          <w:spacing w:val="20"/>
          <w:w w:val="110"/>
          <w:sz w:val="23"/>
          <w:highlight w:val="none"/>
        </w:rPr>
      </w:pPr>
      <w:r>
        <w:rPr>
          <w:rFonts w:hint="eastAsia" w:ascii="宋体" w:hAnsi="宋体" w:eastAsia="汉仪书宋二简"/>
          <w:color w:val="auto"/>
          <w:spacing w:val="20"/>
          <w:w w:val="110"/>
          <w:kern w:val="10"/>
          <w:sz w:val="23"/>
          <w:szCs w:val="23"/>
          <w:highlight w:val="none"/>
        </w:rPr>
        <w:t>上述宗地具体情况以宗地的《深圳市土地使用权出让合同书》（样本，以下简称《出让合同》）为准。</w:t>
      </w:r>
    </w:p>
    <w:p>
      <w:pPr>
        <w:pStyle w:val="4"/>
        <w:ind w:firstLine="568" w:firstLineChars="200"/>
        <w:rPr>
          <w:b/>
          <w:color w:val="auto"/>
          <w:highlight w:val="none"/>
        </w:rPr>
      </w:pPr>
      <w:r>
        <w:rPr>
          <w:rFonts w:hint="eastAsia"/>
          <w:b/>
          <w:color w:val="auto"/>
          <w:highlight w:val="none"/>
        </w:rPr>
        <w:t>二、出让条件</w:t>
      </w:r>
    </w:p>
    <w:p>
      <w:pPr>
        <w:tabs>
          <w:tab w:val="left" w:pos="8460"/>
        </w:tabs>
        <w:spacing w:line="480" w:lineRule="exact"/>
        <w:ind w:firstLine="568" w:firstLineChars="200"/>
        <w:rPr>
          <w:rFonts w:hint="eastAsia" w:eastAsia="汉仪书宋二简" w:cs="Times New Roman" w:asciiTheme="minorEastAsia" w:hAnsiTheme="minorEastAsia"/>
          <w:color w:val="auto"/>
          <w:spacing w:val="20"/>
          <w:w w:val="110"/>
          <w:kern w:val="10"/>
          <w:sz w:val="23"/>
          <w:szCs w:val="23"/>
          <w:highlight w:val="none"/>
          <w:lang w:val="en-US" w:eastAsia="zh-CN" w:bidi="ar-SA"/>
        </w:rPr>
      </w:pPr>
      <w:r>
        <w:rPr>
          <w:rFonts w:hint="eastAsia" w:eastAsia="汉仪书宋二简" w:cs="Times New Roman" w:asciiTheme="minorEastAsia" w:hAnsiTheme="minorEastAsia"/>
          <w:color w:val="auto"/>
          <w:spacing w:val="20"/>
          <w:w w:val="110"/>
          <w:kern w:val="10"/>
          <w:sz w:val="23"/>
          <w:szCs w:val="23"/>
          <w:highlight w:val="none"/>
          <w:lang w:val="en-US" w:eastAsia="zh-CN" w:bidi="ar-SA"/>
        </w:rPr>
        <w:t>（一）本公告出让宗地住宅部分拟建设安居型商品房，采取“三限双竞+摇号”规则挂牌出让，即：限地价、限安居型商品房平均销售价格、限企业自持的保障性租赁住房建筑面积，竞地价、竞企业自持的保障性租赁住房建筑面积，达到最高限制建筑面积后通过摇号方式确定竞得人。竞价过程中，竞买人最高报价未超过最高限制地价时，按价高者得的原则确定竞得人和成交价。当竞买人报价达到最高限制地价时，有意继续竞买的竞买人由竞地价转入竞企业自持的保障性租赁住房建筑面积（住宅总建筑面积不变，相应扣减安居型商品房建筑面积），竞买人报出的企业自持的保障性租赁住房建筑面积未超过最高限制建筑面积时，按报出建筑面积最多者得的原则确定竞得人；当有竞买人报出最高限制建筑面积，且有2个或2个以上竞买人接受该建筑面积时，通过摇号方式确定竞得人，所有接受最高限制建筑面积的竞买人可申请参加摇号。摇号具体细则详见《深圳市国有建设用地使用权出让现场摇号操作指引》。</w:t>
      </w:r>
    </w:p>
    <w:p>
      <w:pPr>
        <w:tabs>
          <w:tab w:val="left" w:pos="8460"/>
        </w:tabs>
        <w:spacing w:line="480" w:lineRule="exact"/>
        <w:ind w:firstLine="568" w:firstLineChars="200"/>
        <w:rPr>
          <w:rFonts w:hint="eastAsia" w:eastAsia="汉仪书宋二简" w:cs="Times New Roman" w:asciiTheme="minorEastAsia" w:hAnsiTheme="minorEastAsia"/>
          <w:color w:val="auto"/>
          <w:spacing w:val="20"/>
          <w:w w:val="110"/>
          <w:kern w:val="10"/>
          <w:sz w:val="23"/>
          <w:szCs w:val="23"/>
          <w:highlight w:val="none"/>
          <w:lang w:val="en-US" w:eastAsia="zh-CN" w:bidi="ar-SA"/>
        </w:rPr>
      </w:pPr>
      <w:r>
        <w:rPr>
          <w:rFonts w:hint="eastAsia" w:eastAsia="汉仪书宋二简" w:cs="Times New Roman" w:asciiTheme="minorEastAsia" w:hAnsiTheme="minorEastAsia"/>
          <w:color w:val="auto"/>
          <w:spacing w:val="20"/>
          <w:w w:val="110"/>
          <w:kern w:val="10"/>
          <w:sz w:val="23"/>
          <w:szCs w:val="23"/>
          <w:highlight w:val="none"/>
          <w:lang w:val="en-US" w:eastAsia="zh-CN" w:bidi="ar-SA"/>
        </w:rPr>
        <w:t>（二）同一企业及其控股的各个公司，不得参加同一宗地的竞买，参与竞买企业应提交相关证明材料及承诺函。经公共资源交易中心审查，认定同一企业及其控股的各个公司参加同一宗地竞买的，即违反竞买人关联性要求，取消该企业及其控股各个公司该宗地的竞买、竞得资格，已交纳的竞买保证金不予退还。具体要求详见《深圳市国有建设用地使用权出让竞买人关联性审查操作指引》。</w:t>
      </w:r>
    </w:p>
    <w:p>
      <w:pPr>
        <w:tabs>
          <w:tab w:val="left" w:pos="8460"/>
        </w:tabs>
        <w:spacing w:line="480" w:lineRule="exact"/>
        <w:ind w:firstLine="568" w:firstLineChars="200"/>
        <w:rPr>
          <w:rFonts w:hint="eastAsia" w:eastAsia="汉仪书宋二简" w:cs="Times New Roman" w:asciiTheme="minorEastAsia" w:hAnsiTheme="minorEastAsia"/>
          <w:color w:val="auto"/>
          <w:spacing w:val="20"/>
          <w:w w:val="110"/>
          <w:kern w:val="10"/>
          <w:sz w:val="23"/>
          <w:szCs w:val="23"/>
          <w:highlight w:val="none"/>
          <w:lang w:val="en-US" w:eastAsia="zh-CN" w:bidi="ar-SA"/>
        </w:rPr>
      </w:pPr>
      <w:r>
        <w:rPr>
          <w:rFonts w:hint="eastAsia" w:eastAsia="汉仪书宋二简" w:cs="Times New Roman" w:asciiTheme="minorEastAsia" w:hAnsiTheme="minorEastAsia"/>
          <w:color w:val="auto"/>
          <w:spacing w:val="20"/>
          <w:w w:val="110"/>
          <w:kern w:val="10"/>
          <w:sz w:val="23"/>
          <w:szCs w:val="23"/>
          <w:highlight w:val="none"/>
          <w:lang w:val="en-US" w:eastAsia="zh-CN" w:bidi="ar-SA"/>
        </w:rPr>
        <w:t>（三）同一企业参与本批次（含深土交告〔2022〕</w:t>
      </w:r>
      <w:r>
        <w:rPr>
          <w:rFonts w:hint="eastAsia" w:cs="Times New Roman" w:asciiTheme="minorEastAsia" w:hAnsiTheme="minorEastAsia"/>
          <w:spacing w:val="20"/>
          <w:w w:val="110"/>
          <w:kern w:val="10"/>
          <w:sz w:val="23"/>
          <w:szCs w:val="23"/>
          <w:lang w:val="en-US" w:eastAsia="zh-CN"/>
        </w:rPr>
        <w:t>44</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45</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46、47、48</w:t>
      </w:r>
      <w:r>
        <w:rPr>
          <w:rFonts w:hint="eastAsia" w:eastAsia="汉仪书宋二简" w:cs="Times New Roman" w:asciiTheme="minorEastAsia" w:hAnsiTheme="minorEastAsia"/>
          <w:color w:val="auto"/>
          <w:spacing w:val="20"/>
          <w:w w:val="110"/>
          <w:kern w:val="10"/>
          <w:sz w:val="23"/>
          <w:szCs w:val="23"/>
          <w:highlight w:val="none"/>
          <w:lang w:val="en-US" w:eastAsia="zh-CN" w:bidi="ar-SA"/>
        </w:rPr>
        <w:t>号公告）用地竞买最多可竞得3宗用地（含联合竞买）,已竞得3宗用地的企业，自动丧失本批次用地的继续竞买资格，其此前报价继续有效。</w:t>
      </w:r>
    </w:p>
    <w:p>
      <w:pPr>
        <w:tabs>
          <w:tab w:val="left" w:pos="8460"/>
        </w:tabs>
        <w:spacing w:line="480" w:lineRule="exact"/>
        <w:ind w:firstLine="568" w:firstLineChars="200"/>
        <w:rPr>
          <w:rFonts w:hint="eastAsia" w:eastAsia="汉仪书宋二简" w:cs="Times New Roman" w:asciiTheme="minorEastAsia" w:hAnsiTheme="minorEastAsia"/>
          <w:color w:val="auto"/>
          <w:spacing w:val="20"/>
          <w:w w:val="110"/>
          <w:kern w:val="10"/>
          <w:sz w:val="23"/>
          <w:szCs w:val="23"/>
          <w:highlight w:val="none"/>
          <w:lang w:val="en-US" w:eastAsia="zh-CN" w:bidi="ar-SA"/>
        </w:rPr>
      </w:pPr>
      <w:r>
        <w:rPr>
          <w:rFonts w:hint="eastAsia" w:eastAsia="汉仪书宋二简" w:cs="Times New Roman" w:asciiTheme="minorEastAsia" w:hAnsiTheme="minorEastAsia"/>
          <w:color w:val="auto"/>
          <w:spacing w:val="20"/>
          <w:w w:val="110"/>
          <w:kern w:val="10"/>
          <w:sz w:val="23"/>
          <w:szCs w:val="23"/>
          <w:highlight w:val="none"/>
          <w:lang w:val="en-US" w:eastAsia="zh-CN" w:bidi="ar-SA"/>
        </w:rPr>
        <w:t>因本条款导致宗地报价、现场竞价或摇号环节有效竞买人不足一人时，则该宗地不受此限制，此前报价继续有效。</w:t>
      </w:r>
    </w:p>
    <w:p>
      <w:pPr>
        <w:pStyle w:val="4"/>
        <w:numPr>
          <w:ilvl w:val="0"/>
          <w:numId w:val="1"/>
        </w:numPr>
        <w:spacing w:line="480" w:lineRule="exact"/>
        <w:ind w:firstLine="568" w:firstLineChars="200"/>
        <w:rPr>
          <w:rFonts w:hint="eastAsia" w:ascii="宋体" w:hAnsi="宋体"/>
          <w:color w:val="auto"/>
          <w:highlight w:val="none"/>
        </w:rPr>
      </w:pPr>
      <w:r>
        <w:rPr>
          <w:rFonts w:hint="eastAsia" w:ascii="宋体" w:hAnsi="宋体"/>
          <w:color w:val="auto"/>
          <w:highlight w:val="none"/>
        </w:rPr>
        <w:t>竞得人拟成立全资子公司或项目公司进行开发建设的，应在竞买申请中明确全资子公司或项目公司的出资构成、成立时间等内容。独立竞得的，竞得人可以在深圳市依法注册设立一家全资子公司；联合竞得的，可以并仅限联合竞买各方联合在深圳市依法注册设立一家项目公司，并通过签订土地使用权出让合同补充协议，将土地使用权变更至全资子公司或项目公司名下。</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eastAsia="zh-CN"/>
        </w:rPr>
        <w:t>（五）竞得人缴纳地价款时，应凭自然资源主管部门开具的《国有土地使用权出让收入缴款通知书》到深圳市各区税务局办税服务厅或者登录深圳市电子税务局进行缴费，具体流程详见《国有土地使用权出让收入缴款及竞买保证金退转操作指引》。</w:t>
      </w:r>
      <w:r>
        <w:rPr>
          <w:rFonts w:hint="eastAsia" w:cs="Times New Roman" w:asciiTheme="minorEastAsia" w:hAnsiTheme="minorEastAsia"/>
          <w:spacing w:val="20"/>
          <w:w w:val="110"/>
          <w:kern w:val="10"/>
          <w:sz w:val="23"/>
          <w:szCs w:val="23"/>
          <w:highlight w:val="none"/>
          <w:lang w:val="en-US" w:eastAsia="zh-CN"/>
        </w:rPr>
        <w:t xml:space="preserve"> </w:t>
      </w:r>
    </w:p>
    <w:p>
      <w:pPr>
        <w:pStyle w:val="4"/>
        <w:spacing w:line="480" w:lineRule="exact"/>
        <w:ind w:firstLine="568" w:firstLineChars="200"/>
        <w:rPr>
          <w:rFonts w:hint="eastAsia" w:ascii="宋体" w:hAnsi="宋体" w:eastAsia="汉仪书宋二简"/>
          <w:color w:val="auto"/>
          <w:spacing w:val="20"/>
          <w:w w:val="110"/>
          <w:kern w:val="10"/>
          <w:sz w:val="23"/>
          <w:szCs w:val="23"/>
          <w:highlight w:val="none"/>
        </w:rPr>
      </w:pPr>
      <w:r>
        <w:rPr>
          <w:rFonts w:hint="eastAsia" w:ascii="宋体" w:hAnsi="宋体" w:eastAsia="汉仪书宋二简"/>
          <w:color w:val="auto"/>
          <w:spacing w:val="20"/>
          <w:w w:val="110"/>
          <w:kern w:val="10"/>
          <w:sz w:val="23"/>
          <w:szCs w:val="23"/>
          <w:highlight w:val="none"/>
        </w:rPr>
        <w:t>（六）本公告出让宗地竞得人需落实海绵城市建设、绿色建筑、装配式建筑、建筑信息模型（BIM）技术应用的相关规定。</w:t>
      </w:r>
    </w:p>
    <w:p>
      <w:pPr>
        <w:pStyle w:val="4"/>
        <w:spacing w:line="480" w:lineRule="exact"/>
        <w:ind w:firstLine="568" w:firstLineChars="200"/>
        <w:rPr>
          <w:rFonts w:hint="eastAsia" w:ascii="宋体" w:hAnsi="宋体" w:eastAsia="汉仪书宋二简"/>
          <w:color w:val="auto"/>
          <w:spacing w:val="20"/>
          <w:w w:val="110"/>
          <w:kern w:val="10"/>
          <w:sz w:val="23"/>
          <w:szCs w:val="23"/>
          <w:highlight w:val="none"/>
        </w:rPr>
      </w:pPr>
      <w:r>
        <w:rPr>
          <w:rFonts w:hint="eastAsia" w:ascii="宋体" w:hAnsi="宋体" w:eastAsia="汉仪书宋二简"/>
          <w:color w:val="auto"/>
          <w:spacing w:val="20"/>
          <w:w w:val="110"/>
          <w:kern w:val="10"/>
          <w:sz w:val="23"/>
          <w:szCs w:val="23"/>
          <w:highlight w:val="none"/>
        </w:rPr>
        <w:t>（七）本公告出让宗地</w:t>
      </w:r>
      <w:r>
        <w:rPr>
          <w:rFonts w:hint="eastAsia" w:ascii="宋体" w:hAnsi="宋体"/>
          <w:color w:val="auto"/>
          <w:spacing w:val="20"/>
          <w:w w:val="110"/>
          <w:kern w:val="10"/>
          <w:sz w:val="23"/>
          <w:szCs w:val="23"/>
          <w:highlight w:val="none"/>
          <w:lang w:val="en-US" w:eastAsia="zh-CN"/>
        </w:rPr>
        <w:t>竞得人</w:t>
      </w:r>
      <w:r>
        <w:rPr>
          <w:rFonts w:hint="eastAsia" w:ascii="宋体" w:hAnsi="宋体" w:eastAsia="汉仪书宋二简"/>
          <w:color w:val="auto"/>
          <w:spacing w:val="20"/>
          <w:w w:val="110"/>
          <w:kern w:val="10"/>
          <w:sz w:val="23"/>
          <w:szCs w:val="23"/>
          <w:highlight w:val="none"/>
        </w:rPr>
        <w:t>应按照地质灾害危险性评估报告及土壤环境调查评估报告的结论采取相应措施。</w:t>
      </w:r>
    </w:p>
    <w:p>
      <w:pPr>
        <w:pStyle w:val="4"/>
        <w:numPr>
          <w:ilvl w:val="0"/>
          <w:numId w:val="0"/>
        </w:numPr>
        <w:spacing w:line="480" w:lineRule="exact"/>
        <w:ind w:firstLine="568"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auto"/>
          <w:spacing w:val="20"/>
          <w:w w:val="110"/>
          <w:kern w:val="10"/>
          <w:sz w:val="23"/>
          <w:szCs w:val="23"/>
          <w:highlight w:val="none"/>
          <w:lang w:eastAsia="zh-CN"/>
        </w:rPr>
        <w:t>（</w:t>
      </w:r>
      <w:r>
        <w:rPr>
          <w:rFonts w:hint="eastAsia" w:ascii="宋体" w:hAnsi="宋体"/>
          <w:color w:val="auto"/>
          <w:spacing w:val="20"/>
          <w:w w:val="110"/>
          <w:kern w:val="10"/>
          <w:sz w:val="23"/>
          <w:szCs w:val="23"/>
          <w:highlight w:val="none"/>
          <w:lang w:val="en-US" w:eastAsia="zh-CN"/>
        </w:rPr>
        <w:t>八</w:t>
      </w:r>
      <w:r>
        <w:rPr>
          <w:rFonts w:hint="eastAsia" w:ascii="宋体" w:hAnsi="宋体"/>
          <w:color w:val="auto"/>
          <w:spacing w:val="20"/>
          <w:w w:val="110"/>
          <w:kern w:val="10"/>
          <w:sz w:val="23"/>
          <w:szCs w:val="23"/>
          <w:highlight w:val="none"/>
          <w:lang w:eastAsia="zh-CN"/>
        </w:rPr>
        <w:t>）</w:t>
      </w:r>
      <w:r>
        <w:rPr>
          <w:rFonts w:hint="eastAsia" w:ascii="宋体" w:hAnsi="宋体" w:eastAsia="汉仪书宋二简"/>
          <w:color w:val="auto"/>
          <w:spacing w:val="20"/>
          <w:w w:val="110"/>
          <w:kern w:val="10"/>
          <w:sz w:val="23"/>
          <w:szCs w:val="23"/>
          <w:highlight w:val="none"/>
        </w:rPr>
        <w:t>本公告出让宗地位于九龙山数字城重点片区范围内</w:t>
      </w:r>
      <w:r>
        <w:rPr>
          <w:rFonts w:hint="eastAsia" w:ascii="宋体" w:hAnsi="宋体"/>
          <w:color w:val="auto"/>
          <w:spacing w:val="20"/>
          <w:w w:val="110"/>
          <w:kern w:val="10"/>
          <w:sz w:val="23"/>
          <w:szCs w:val="23"/>
          <w:highlight w:val="none"/>
          <w:lang w:val="en-US" w:eastAsia="zh-CN"/>
        </w:rPr>
        <w:t>，</w:t>
      </w:r>
      <w:r>
        <w:rPr>
          <w:rFonts w:hint="eastAsia" w:ascii="宋体" w:hAnsi="宋体" w:eastAsia="汉仪书宋二简"/>
          <w:color w:val="auto"/>
          <w:spacing w:val="20"/>
          <w:w w:val="110"/>
          <w:kern w:val="10"/>
          <w:sz w:val="23"/>
          <w:szCs w:val="23"/>
          <w:highlight w:val="none"/>
          <w:lang w:val="en-US" w:eastAsia="zh-CN"/>
        </w:rPr>
        <w:t>方案设计需征求龙华区重点区域推进</w:t>
      </w:r>
      <w:r>
        <w:rPr>
          <w:rFonts w:hint="eastAsia" w:ascii="宋体" w:hAnsi="宋体" w:eastAsia="汉仪书宋二简" w:cs="Times New Roman"/>
          <w:color w:val="000000" w:themeColor="text1"/>
          <w:spacing w:val="20"/>
          <w:w w:val="110"/>
          <w:kern w:val="2"/>
          <w:sz w:val="23"/>
          <w:szCs w:val="21"/>
          <w:lang w:val="en-US" w:eastAsia="zh-CN" w:bidi="ar-SA"/>
          <w14:textFill>
            <w14:solidFill>
              <w14:schemeClr w14:val="tx1"/>
            </w14:solidFill>
          </w14:textFill>
        </w:rPr>
        <w:t>中心意见</w:t>
      </w:r>
      <w:r>
        <w:rPr>
          <w:rFonts w:hint="eastAsia" w:ascii="宋体" w:hAnsi="宋体" w:cs="Times New Roman"/>
          <w:color w:val="000000" w:themeColor="text1"/>
          <w:spacing w:val="20"/>
          <w:w w:val="110"/>
          <w:kern w:val="2"/>
          <w:sz w:val="23"/>
          <w:szCs w:val="21"/>
          <w:lang w:val="en-US" w:eastAsia="zh-CN" w:bidi="ar-SA"/>
          <w14:textFill>
            <w14:solidFill>
              <w14:schemeClr w14:val="tx1"/>
            </w14:solidFill>
          </w14:textFill>
        </w:rPr>
        <w:t>。</w:t>
      </w:r>
    </w:p>
    <w:p>
      <w:pPr>
        <w:pStyle w:val="4"/>
        <w:spacing w:line="480" w:lineRule="exact"/>
        <w:ind w:firstLine="568" w:firstLineChars="200"/>
        <w:rPr>
          <w:rFonts w:hint="eastAsia" w:ascii="宋体" w:hAnsi="宋体" w:eastAsia="汉仪书宋二简"/>
          <w:color w:val="auto"/>
          <w:spacing w:val="20"/>
          <w:w w:val="110"/>
          <w:kern w:val="10"/>
          <w:sz w:val="23"/>
          <w:szCs w:val="23"/>
          <w:highlight w:val="none"/>
          <w:lang w:val="en-US" w:eastAsia="zh-CN"/>
        </w:rPr>
      </w:pPr>
      <w:r>
        <w:rPr>
          <w:rFonts w:hint="eastAsia" w:ascii="宋体" w:hAnsi="宋体"/>
          <w:color w:val="auto"/>
          <w:spacing w:val="20"/>
          <w:w w:val="110"/>
          <w:kern w:val="10"/>
          <w:sz w:val="23"/>
          <w:szCs w:val="23"/>
          <w:highlight w:val="none"/>
          <w:lang w:eastAsia="zh-CN"/>
        </w:rPr>
        <w:t>（</w:t>
      </w:r>
      <w:r>
        <w:rPr>
          <w:rFonts w:hint="eastAsia" w:ascii="宋体" w:hAnsi="宋体"/>
          <w:color w:val="auto"/>
          <w:spacing w:val="20"/>
          <w:w w:val="110"/>
          <w:kern w:val="10"/>
          <w:sz w:val="23"/>
          <w:szCs w:val="23"/>
          <w:highlight w:val="none"/>
          <w:lang w:val="en-US" w:eastAsia="zh-CN"/>
        </w:rPr>
        <w:t>九</w:t>
      </w:r>
      <w:r>
        <w:rPr>
          <w:rFonts w:hint="eastAsia" w:ascii="宋体" w:hAnsi="宋体"/>
          <w:color w:val="auto"/>
          <w:spacing w:val="20"/>
          <w:w w:val="110"/>
          <w:kern w:val="10"/>
          <w:sz w:val="23"/>
          <w:szCs w:val="23"/>
          <w:highlight w:val="none"/>
          <w:lang w:eastAsia="zh-CN"/>
        </w:rPr>
        <w:t>）</w:t>
      </w:r>
      <w:r>
        <w:rPr>
          <w:rFonts w:hint="eastAsia" w:ascii="宋体" w:hAnsi="宋体" w:eastAsia="汉仪书宋二简"/>
          <w:color w:val="auto"/>
          <w:spacing w:val="20"/>
          <w:w w:val="110"/>
          <w:kern w:val="10"/>
          <w:sz w:val="23"/>
          <w:szCs w:val="23"/>
          <w:highlight w:val="none"/>
        </w:rPr>
        <w:t>本公告出让宗地</w:t>
      </w:r>
      <w:r>
        <w:rPr>
          <w:rFonts w:hint="eastAsia" w:ascii="宋体" w:hAnsi="宋体" w:eastAsia="汉仪书宋二简"/>
          <w:color w:val="auto"/>
          <w:spacing w:val="20"/>
          <w:w w:val="110"/>
          <w:kern w:val="10"/>
          <w:sz w:val="23"/>
          <w:szCs w:val="23"/>
          <w:highlight w:val="none"/>
          <w:lang w:val="en-US" w:eastAsia="zh-CN"/>
        </w:rPr>
        <w:t>安居型商品房平均销售价格不高于26800元/平方米</w:t>
      </w:r>
      <w:r>
        <w:rPr>
          <w:rFonts w:hint="eastAsia" w:ascii="宋体" w:hAnsi="宋体"/>
          <w:color w:val="auto"/>
          <w:spacing w:val="20"/>
          <w:w w:val="110"/>
          <w:kern w:val="10"/>
          <w:sz w:val="23"/>
          <w:szCs w:val="23"/>
          <w:highlight w:val="none"/>
          <w:lang w:val="en-US" w:eastAsia="zh-CN"/>
        </w:rPr>
        <w:t>（不含室内装修价格）、</w:t>
      </w:r>
      <w:r>
        <w:rPr>
          <w:rFonts w:hint="eastAsia" w:ascii="宋体" w:hAnsi="宋体" w:eastAsia="汉仪书宋二简"/>
          <w:color w:val="auto"/>
          <w:spacing w:val="20"/>
          <w:w w:val="110"/>
          <w:kern w:val="10"/>
          <w:sz w:val="23"/>
          <w:szCs w:val="23"/>
          <w:highlight w:val="none"/>
          <w:lang w:val="en-US" w:eastAsia="zh-CN"/>
        </w:rPr>
        <w:t>最高售价不高于28100元/平方米</w:t>
      </w:r>
      <w:r>
        <w:rPr>
          <w:rFonts w:hint="eastAsia" w:ascii="宋体" w:hAnsi="宋体"/>
          <w:color w:val="auto"/>
          <w:spacing w:val="20"/>
          <w:w w:val="110"/>
          <w:kern w:val="10"/>
          <w:sz w:val="23"/>
          <w:szCs w:val="23"/>
          <w:highlight w:val="none"/>
          <w:lang w:val="en-US" w:eastAsia="zh-CN"/>
        </w:rPr>
        <w:t>（不含室内装修价格）</w:t>
      </w:r>
      <w:r>
        <w:rPr>
          <w:rFonts w:hint="eastAsia" w:ascii="宋体" w:hAnsi="宋体" w:eastAsia="汉仪书宋二简"/>
          <w:color w:val="auto"/>
          <w:spacing w:val="20"/>
          <w:w w:val="110"/>
          <w:kern w:val="10"/>
          <w:sz w:val="23"/>
          <w:szCs w:val="23"/>
          <w:highlight w:val="none"/>
          <w:lang w:val="en-US" w:eastAsia="zh-CN"/>
        </w:rPr>
        <w:t>。</w:t>
      </w:r>
    </w:p>
    <w:p>
      <w:pPr>
        <w:tabs>
          <w:tab w:val="left" w:pos="8460"/>
        </w:tabs>
        <w:spacing w:line="480" w:lineRule="exact"/>
        <w:ind w:firstLine="568" w:firstLineChars="200"/>
        <w:rPr>
          <w:rFonts w:hint="eastAsia" w:ascii="宋体" w:hAnsi="宋体" w:eastAsia="汉仪书宋二简"/>
          <w:color w:val="auto"/>
          <w:spacing w:val="20"/>
          <w:w w:val="110"/>
          <w:kern w:val="10"/>
          <w:sz w:val="23"/>
          <w:szCs w:val="23"/>
          <w:highlight w:val="none"/>
          <w:lang w:val="en-US" w:eastAsia="zh-CN"/>
        </w:rPr>
      </w:pPr>
      <w:r>
        <w:rPr>
          <w:rFonts w:hint="eastAsia" w:ascii="宋体" w:hAnsi="宋体" w:eastAsia="汉仪书宋二简"/>
          <w:color w:val="auto"/>
          <w:spacing w:val="20"/>
          <w:w w:val="110"/>
          <w:kern w:val="10"/>
          <w:sz w:val="23"/>
          <w:szCs w:val="23"/>
          <w:highlight w:val="none"/>
          <w:lang w:val="en-US" w:eastAsia="zh-CN"/>
        </w:rPr>
        <w:t>（十）本公告出让宗地项目中安居型商品房由市住房保障署负责监管；企业自持的保障性租赁住房由项目所在辖区住房建设部门负责监管，实行政府指导、市场化运营。竞得人应根据实际情况与相关部门签订</w:t>
      </w:r>
      <w:r>
        <w:rPr>
          <w:rFonts w:hint="eastAsia" w:ascii="宋体" w:hAnsi="宋体" w:eastAsia="汉仪书宋二简" w:cs="Times New Roman"/>
          <w:color w:val="auto"/>
          <w:spacing w:val="20"/>
          <w:w w:val="110"/>
          <w:kern w:val="10"/>
          <w:sz w:val="23"/>
          <w:szCs w:val="23"/>
          <w:highlight w:val="none"/>
          <w:lang w:val="en-US" w:eastAsia="zh-CN"/>
        </w:rPr>
        <w:t>《深圳市安居型商</w:t>
      </w:r>
      <w:r>
        <w:rPr>
          <w:rFonts w:hint="eastAsia" w:ascii="宋体" w:hAnsi="宋体" w:eastAsia="汉仪书宋二简"/>
          <w:color w:val="auto"/>
          <w:spacing w:val="20"/>
          <w:w w:val="110"/>
          <w:kern w:val="10"/>
          <w:sz w:val="23"/>
          <w:szCs w:val="23"/>
          <w:highlight w:val="none"/>
          <w:lang w:val="en-US" w:eastAsia="zh-CN"/>
        </w:rPr>
        <w:t>品房住房建设和管理任务书》《深圳市保障性租赁住房建设和管理任务书》。</w:t>
      </w:r>
    </w:p>
    <w:p>
      <w:pPr>
        <w:tabs>
          <w:tab w:val="left" w:pos="8460"/>
        </w:tabs>
        <w:spacing w:line="480" w:lineRule="exact"/>
        <w:ind w:firstLine="568" w:firstLineChars="200"/>
        <w:rPr>
          <w:rFonts w:hint="eastAsia" w:ascii="宋体" w:hAnsi="宋体" w:eastAsia="汉仪书宋二简" w:cs="Times New Roman"/>
          <w:color w:val="auto"/>
          <w:spacing w:val="20"/>
          <w:w w:val="110"/>
          <w:kern w:val="10"/>
          <w:sz w:val="23"/>
          <w:szCs w:val="23"/>
          <w:highlight w:val="none"/>
          <w:lang w:val="en-US" w:eastAsia="zh-CN"/>
        </w:rPr>
      </w:pPr>
      <w:r>
        <w:rPr>
          <w:rFonts w:hint="eastAsia" w:ascii="宋体" w:hAnsi="宋体" w:eastAsia="汉仪书宋二简"/>
          <w:color w:val="auto"/>
          <w:spacing w:val="20"/>
          <w:w w:val="110"/>
          <w:kern w:val="10"/>
          <w:sz w:val="23"/>
          <w:szCs w:val="23"/>
          <w:highlight w:val="none"/>
          <w:lang w:val="en-US" w:eastAsia="zh-CN"/>
        </w:rPr>
        <w:t>（十一）本公告出让宗地具体产权要求及其他事项，以《出让合同》为准，涉及的公共配套设施产权按</w:t>
      </w:r>
      <w:r>
        <w:rPr>
          <w:rFonts w:hint="eastAsia" w:ascii="宋体" w:hAnsi="宋体" w:eastAsia="汉仪书宋二简" w:cs="Times New Roman"/>
          <w:color w:val="auto"/>
          <w:spacing w:val="20"/>
          <w:w w:val="110"/>
          <w:kern w:val="10"/>
          <w:sz w:val="23"/>
          <w:szCs w:val="23"/>
          <w:highlight w:val="none"/>
          <w:lang w:val="en-US" w:eastAsia="zh-CN"/>
        </w:rPr>
        <w:t>相关规定和约定移交；安居型商品房与保障性租赁住房涉及的建设要求、用途和产权限制、经营要求等分别以《深圳市安居型商品房住房建设和管理任务书》《深圳市保障性租赁住房建设和管理任务书》为准。</w:t>
      </w:r>
    </w:p>
    <w:p>
      <w:pPr>
        <w:pStyle w:val="4"/>
        <w:spacing w:line="480" w:lineRule="exact"/>
        <w:ind w:firstLine="568" w:firstLineChars="200"/>
        <w:rPr>
          <w:b/>
          <w:color w:val="auto"/>
          <w:highlight w:val="none"/>
        </w:rPr>
      </w:pPr>
      <w:r>
        <w:rPr>
          <w:rFonts w:hint="eastAsia"/>
          <w:b/>
          <w:color w:val="auto"/>
          <w:highlight w:val="none"/>
        </w:rPr>
        <w:t>三、竞买申请人主体资格要求</w:t>
      </w:r>
    </w:p>
    <w:p>
      <w:pPr>
        <w:spacing w:line="480" w:lineRule="exact"/>
        <w:ind w:firstLine="568" w:firstLineChars="200"/>
        <w:rPr>
          <w:rFonts w:hint="eastAsia" w:ascii="宋体" w:hAnsi="宋体" w:eastAsia="汉仪书宋二简" w:cs="Times New Roman"/>
          <w:color w:val="auto"/>
          <w:spacing w:val="20"/>
          <w:w w:val="110"/>
          <w:kern w:val="10"/>
          <w:sz w:val="23"/>
          <w:szCs w:val="23"/>
          <w:highlight w:val="yellow"/>
        </w:rPr>
      </w:pPr>
      <w:r>
        <w:rPr>
          <w:rFonts w:hint="eastAsia" w:ascii="宋体" w:hAnsi="宋体" w:eastAsia="汉仪书宋二简" w:cs="Times New Roman"/>
          <w:color w:val="auto"/>
          <w:spacing w:val="20"/>
          <w:w w:val="110"/>
          <w:kern w:val="10"/>
          <w:sz w:val="23"/>
          <w:szCs w:val="23"/>
          <w:highlight w:val="none"/>
          <w:lang w:val="en-US" w:eastAsia="zh-CN"/>
        </w:rPr>
        <w:t>具有房地产开发资质的中华人民共和国境内法人企业，均可独立或联合竞买本公告出让宗地（联合竞买的，联合各方均应具备前述资格）。</w:t>
      </w:r>
    </w:p>
    <w:p>
      <w:pPr>
        <w:pStyle w:val="4"/>
        <w:spacing w:line="480" w:lineRule="exact"/>
        <w:ind w:firstLine="568" w:firstLineChars="200"/>
        <w:rPr>
          <w:b/>
          <w:color w:val="auto"/>
          <w:highlight w:val="none"/>
        </w:rPr>
      </w:pPr>
      <w:r>
        <w:rPr>
          <w:rFonts w:hint="eastAsia"/>
          <w:b/>
          <w:color w:val="auto"/>
          <w:highlight w:val="none"/>
        </w:rPr>
        <w:t>四、竞买申请程序</w:t>
      </w:r>
    </w:p>
    <w:p>
      <w:pPr>
        <w:pStyle w:val="4"/>
        <w:spacing w:line="480" w:lineRule="exact"/>
        <w:ind w:firstLine="568" w:firstLineChars="200"/>
        <w:rPr>
          <w:rFonts w:ascii="宋体" w:hAnsi="宋体"/>
          <w:color w:val="auto"/>
          <w:highlight w:val="none"/>
        </w:rPr>
      </w:pPr>
      <w:r>
        <w:rPr>
          <w:rFonts w:hint="eastAsia" w:ascii="宋体" w:hAnsi="宋体"/>
          <w:color w:val="auto"/>
          <w:highlight w:val="none"/>
        </w:rPr>
        <w:t>（一）网上注册</w:t>
      </w:r>
    </w:p>
    <w:p>
      <w:pPr>
        <w:pStyle w:val="4"/>
        <w:spacing w:line="480" w:lineRule="exact"/>
        <w:ind w:firstLine="568" w:firstLineChars="200"/>
        <w:rPr>
          <w:rFonts w:ascii="宋体" w:hAnsi="宋体"/>
          <w:color w:val="auto"/>
          <w:highlight w:val="none"/>
        </w:rPr>
      </w:pPr>
      <w:r>
        <w:rPr>
          <w:rFonts w:hint="eastAsia" w:ascii="宋体" w:hAnsi="宋体"/>
          <w:color w:val="auto"/>
          <w:highlight w:val="none"/>
        </w:rPr>
        <w:t>竞买申请人应登录深圳土地矿业权交易平台（https://td.szggzy.com）进行网上注册。网上注册的程序和要求详见深圳土地矿业权交易平台网站中的操作指引。</w:t>
      </w:r>
    </w:p>
    <w:p>
      <w:pPr>
        <w:pStyle w:val="4"/>
        <w:spacing w:line="480" w:lineRule="exact"/>
        <w:ind w:firstLine="568" w:firstLineChars="200"/>
        <w:rPr>
          <w:rFonts w:ascii="宋体" w:hAnsi="宋体"/>
          <w:color w:val="auto"/>
          <w:highlight w:val="none"/>
        </w:rPr>
      </w:pPr>
      <w:r>
        <w:rPr>
          <w:rFonts w:hint="eastAsia" w:ascii="宋体" w:hAnsi="宋体"/>
          <w:color w:val="auto"/>
          <w:highlight w:val="none"/>
        </w:rPr>
        <w:t>（二）申请竞买</w:t>
      </w:r>
    </w:p>
    <w:p>
      <w:pPr>
        <w:pStyle w:val="4"/>
        <w:spacing w:line="480" w:lineRule="exact"/>
        <w:ind w:firstLine="568" w:firstLineChars="200"/>
        <w:rPr>
          <w:rFonts w:ascii="宋体" w:hAnsi="宋体"/>
          <w:color w:val="auto"/>
          <w:highlight w:val="none"/>
        </w:rPr>
      </w:pPr>
      <w:r>
        <w:rPr>
          <w:rFonts w:hint="eastAsia" w:ascii="宋体" w:hAnsi="宋体"/>
          <w:color w:val="auto"/>
          <w:highlight w:val="none"/>
        </w:rPr>
        <w:t>竞买申请人网上注册后，应按照操作指引有关要求，选择意向竞买的宗地，提出竞买申请。</w:t>
      </w:r>
    </w:p>
    <w:p>
      <w:pPr>
        <w:pStyle w:val="4"/>
        <w:spacing w:line="480" w:lineRule="exact"/>
        <w:ind w:firstLine="568" w:firstLineChars="200"/>
        <w:rPr>
          <w:rFonts w:ascii="宋体" w:hAnsi="宋体"/>
          <w:color w:val="auto"/>
          <w:highlight w:val="none"/>
        </w:rPr>
      </w:pPr>
      <w:r>
        <w:rPr>
          <w:rFonts w:hint="eastAsia" w:ascii="宋体" w:hAnsi="宋体"/>
          <w:color w:val="auto"/>
          <w:highlight w:val="none"/>
        </w:rPr>
        <w:t>（三）交纳竞买（投标）保证金</w:t>
      </w:r>
    </w:p>
    <w:p>
      <w:pPr>
        <w:pStyle w:val="4"/>
        <w:spacing w:line="480" w:lineRule="exact"/>
        <w:ind w:firstLine="568" w:firstLineChars="200"/>
        <w:rPr>
          <w:rFonts w:ascii="宋体" w:hAnsi="宋体"/>
          <w:color w:val="auto"/>
          <w:highlight w:val="none"/>
        </w:rPr>
      </w:pPr>
      <w:r>
        <w:rPr>
          <w:rFonts w:hint="eastAsia" w:ascii="宋体" w:hAnsi="宋体"/>
          <w:color w:val="auto"/>
          <w:highlight w:val="none"/>
        </w:rPr>
        <w:t>竞买申请人提出竞买申请后，按入账申请单提示交纳竞买（投标）保证金，竞买（投标）保证金不得由其他单位或个人代交。具体详见操作指引。</w:t>
      </w:r>
    </w:p>
    <w:p>
      <w:pPr>
        <w:pStyle w:val="4"/>
        <w:spacing w:line="480" w:lineRule="exact"/>
        <w:ind w:firstLine="568" w:firstLineChars="200"/>
        <w:rPr>
          <w:rFonts w:ascii="宋体" w:hAnsi="宋体"/>
          <w:color w:val="auto"/>
          <w:highlight w:val="none"/>
        </w:rPr>
      </w:pPr>
      <w:r>
        <w:rPr>
          <w:rFonts w:hint="eastAsia" w:ascii="宋体" w:hAnsi="宋体"/>
          <w:color w:val="auto"/>
          <w:highlight w:val="none"/>
        </w:rPr>
        <w:t>竞买申请人可通过深圳土地矿业权交易平台及时查询竞买（投标）保证金到账情况。竞买（投标）保证金的到账截止时间为2022年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26</w:t>
      </w:r>
      <w:r>
        <w:rPr>
          <w:rFonts w:hint="eastAsia" w:ascii="宋体" w:hAnsi="宋体"/>
          <w:color w:val="auto"/>
          <w:highlight w:val="none"/>
        </w:rPr>
        <w:t>日</w:t>
      </w:r>
      <w:r>
        <w:rPr>
          <w:rFonts w:hint="eastAsia" w:ascii="宋体" w:hAnsi="宋体"/>
          <w:color w:val="auto"/>
          <w:highlight w:val="none"/>
          <w:lang w:val="en-US" w:eastAsia="zh-CN"/>
        </w:rPr>
        <w:t>15</w:t>
      </w:r>
      <w:r>
        <w:rPr>
          <w:rFonts w:hint="eastAsia" w:ascii="宋体" w:hAnsi="宋体"/>
          <w:color w:val="auto"/>
          <w:highlight w:val="none"/>
        </w:rPr>
        <w:t>时整（以深圳土地矿业权交易平台网站显示的银行到账时间为准）。</w:t>
      </w:r>
    </w:p>
    <w:p>
      <w:pPr>
        <w:pStyle w:val="4"/>
        <w:spacing w:line="480" w:lineRule="exact"/>
        <w:ind w:firstLine="568" w:firstLineChars="200"/>
        <w:rPr>
          <w:rFonts w:ascii="宋体" w:hAnsi="宋体"/>
          <w:color w:val="auto"/>
          <w:highlight w:val="none"/>
        </w:rPr>
      </w:pPr>
      <w:r>
        <w:rPr>
          <w:rFonts w:hint="eastAsia" w:ascii="宋体" w:hAnsi="宋体"/>
          <w:color w:val="auto"/>
          <w:highlight w:val="none"/>
        </w:rPr>
        <w:t>（四）申请确认竞买资格</w:t>
      </w:r>
    </w:p>
    <w:p>
      <w:pPr>
        <w:pStyle w:val="4"/>
        <w:spacing w:line="480" w:lineRule="exact"/>
        <w:ind w:firstLine="568" w:firstLineChars="200"/>
        <w:rPr>
          <w:rFonts w:ascii="宋体" w:hAnsi="宋体"/>
          <w:color w:val="auto"/>
          <w:highlight w:val="none"/>
        </w:rPr>
      </w:pPr>
      <w:r>
        <w:rPr>
          <w:rFonts w:hint="eastAsia" w:ascii="宋体" w:hAnsi="宋体"/>
          <w:color w:val="auto"/>
          <w:highlight w:val="none"/>
        </w:rPr>
        <w:t>竞买申请人按时足额交纳竞买（投标）保证金后，可登录深圳土地矿业权交易平台网站查看《竞买申请受理回执》并打印该回执，在2022年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28</w:t>
      </w:r>
      <w:r>
        <w:rPr>
          <w:rFonts w:hint="eastAsia" w:ascii="宋体" w:hAnsi="宋体"/>
          <w:color w:val="auto"/>
          <w:highlight w:val="none"/>
        </w:rPr>
        <w:t>日</w:t>
      </w:r>
      <w:r>
        <w:rPr>
          <w:rFonts w:hint="eastAsia" w:ascii="宋体" w:hAnsi="宋体"/>
          <w:color w:val="auto"/>
          <w:highlight w:val="none"/>
          <w:lang w:val="en-US" w:eastAsia="zh-CN"/>
        </w:rPr>
        <w:t>14</w:t>
      </w:r>
      <w:r>
        <w:rPr>
          <w:rFonts w:hint="eastAsia" w:ascii="宋体" w:hAnsi="宋体"/>
          <w:color w:val="auto"/>
          <w:highlight w:val="none"/>
        </w:rPr>
        <w:t>时</w:t>
      </w:r>
      <w:r>
        <w:rPr>
          <w:rFonts w:hint="eastAsia" w:ascii="宋体" w:hAnsi="宋体"/>
          <w:color w:val="auto"/>
          <w:highlight w:val="none"/>
          <w:lang w:val="en-US" w:eastAsia="zh-CN"/>
        </w:rPr>
        <w:t>30</w:t>
      </w:r>
      <w:r>
        <w:rPr>
          <w:rFonts w:hint="eastAsia" w:ascii="宋体" w:hAnsi="宋体"/>
          <w:color w:val="auto"/>
          <w:highlight w:val="none"/>
        </w:rPr>
        <w:t>分前（工作日），到交易大厦3楼土地业务受理窗口提交书面材料，申请确认竞买资格。申请确认竞买资格须提交的材料详见《深圳市土地使用权挂牌出让竞买须知》（以下简称《竞买须知》）。</w:t>
      </w:r>
    </w:p>
    <w:p>
      <w:pPr>
        <w:pStyle w:val="4"/>
        <w:spacing w:line="480" w:lineRule="exact"/>
        <w:ind w:firstLine="568" w:firstLineChars="200"/>
        <w:rPr>
          <w:rFonts w:ascii="宋体" w:hAnsi="宋体"/>
          <w:color w:val="auto"/>
          <w:highlight w:val="none"/>
        </w:rPr>
      </w:pPr>
      <w:r>
        <w:rPr>
          <w:rFonts w:hint="eastAsia" w:cs="汉仪书宋二简"/>
          <w:color w:val="auto"/>
          <w:highlight w:val="none"/>
        </w:rPr>
        <w:t>竞买申请人申请确认竞买资格时应提交《</w:t>
      </w:r>
      <w:r>
        <w:rPr>
          <w:rFonts w:hint="eastAsia" w:ascii="宋体" w:hAnsi="宋体"/>
          <w:color w:val="auto"/>
          <w:highlight w:val="none"/>
        </w:rPr>
        <w:t>关于竞买人关联性的</w:t>
      </w:r>
      <w:r>
        <w:rPr>
          <w:rFonts w:hint="eastAsia" w:cs="汉仪书宋二简"/>
          <w:color w:val="auto"/>
          <w:highlight w:val="none"/>
        </w:rPr>
        <w:t>承诺函》，承诺按公告中对竞买人的规定要求参加宗地竞买；提交能体现竞买人所有涉及直接控股、间接控股的股东结构关系的树形图。具体要求详见《</w:t>
      </w:r>
      <w:r>
        <w:rPr>
          <w:rFonts w:hint="default" w:ascii="宋体" w:hAnsi="宋体" w:cs="Times New Roman"/>
          <w:color w:val="auto"/>
          <w:highlight w:val="none"/>
        </w:rPr>
        <w:t>深圳市国有建设用地使用权出让竞买人关联性审查操作指引</w:t>
      </w:r>
      <w:r>
        <w:rPr>
          <w:rFonts w:hint="eastAsia" w:cs="汉仪书宋二简"/>
          <w:color w:val="auto"/>
          <w:highlight w:val="none"/>
        </w:rPr>
        <w:t>》。</w:t>
      </w:r>
    </w:p>
    <w:p>
      <w:pPr>
        <w:tabs>
          <w:tab w:val="left" w:pos="8460"/>
        </w:tabs>
        <w:spacing w:line="480" w:lineRule="exact"/>
        <w:ind w:firstLine="568" w:firstLineChars="200"/>
        <w:rPr>
          <w:rFonts w:ascii="汉仪书宋二简" w:hAnsi="汉仪书宋二简" w:eastAsia="汉仪书宋二简" w:cs="汉仪书宋二简"/>
          <w:color w:val="auto"/>
          <w:spacing w:val="20"/>
          <w:w w:val="110"/>
          <w:kern w:val="10"/>
          <w:sz w:val="23"/>
          <w:szCs w:val="23"/>
          <w:highlight w:val="none"/>
        </w:rPr>
      </w:pPr>
      <w:r>
        <w:rPr>
          <w:rFonts w:hint="eastAsia" w:ascii="汉仪书宋二简" w:hAnsi="汉仪书宋二简" w:eastAsia="汉仪书宋二简" w:cs="汉仪书宋二简"/>
          <w:color w:val="auto"/>
          <w:spacing w:val="20"/>
          <w:w w:val="110"/>
          <w:kern w:val="10"/>
          <w:sz w:val="23"/>
          <w:szCs w:val="23"/>
          <w:highlight w:val="none"/>
        </w:rPr>
        <w:t>申请确认竞买资格时应提交《关于土地购置资金来源的承诺函》，承诺其土地购置资金来源不属于股东违规提供的借款、转贷、担保或其他相关融资便利等；不属于金融机构各类融资资金；不属于房地产产业链上下游关联企业借款或预付款；不属于其他自然人、法人、非法人组织的借款；不属于竞买企业控制的非房地产企业融资等。其他须提交的材料以《竞买须知》为准。</w:t>
      </w:r>
    </w:p>
    <w:p>
      <w:pPr>
        <w:pStyle w:val="4"/>
        <w:spacing w:line="480" w:lineRule="exact"/>
        <w:ind w:firstLine="568" w:firstLineChars="200"/>
        <w:rPr>
          <w:b/>
          <w:color w:val="auto"/>
          <w:highlight w:val="none"/>
        </w:rPr>
      </w:pPr>
      <w:r>
        <w:rPr>
          <w:rFonts w:hint="eastAsia"/>
          <w:b/>
          <w:color w:val="auto"/>
          <w:highlight w:val="none"/>
        </w:rPr>
        <w:t>五、确定竞得人的办法</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深圳土地矿业权交易平台在挂牌期内（工作日）接受竞买人的电脑报价，电脑报价截止时间为2022年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28</w:t>
      </w:r>
      <w:r>
        <w:rPr>
          <w:rFonts w:hint="eastAsia" w:ascii="宋体" w:hAnsi="宋体"/>
          <w:color w:val="auto"/>
          <w:highlight w:val="none"/>
        </w:rPr>
        <w:t>日</w:t>
      </w:r>
      <w:r>
        <w:rPr>
          <w:rFonts w:hint="eastAsia" w:ascii="宋体" w:hAnsi="宋体"/>
          <w:color w:val="auto"/>
          <w:highlight w:val="none"/>
          <w:lang w:val="en-US" w:eastAsia="zh-CN"/>
        </w:rPr>
        <w:t>15</w:t>
      </w:r>
      <w:r>
        <w:rPr>
          <w:rFonts w:hint="eastAsia" w:ascii="宋体" w:hAnsi="宋体"/>
          <w:color w:val="auto"/>
          <w:highlight w:val="none"/>
        </w:rPr>
        <w:t>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采用向上竞成交地价的办法确定竞得人；如达到最高限制地价，转为摇号方式确定竞得人，参与摇号的竞买人需在竞价活动结束后当场确认摇号资格，当日现场竞价活动结束后组织现场摇号活动，具体规则以《竞买须知》《深圳市国有建设用地使用权出让现场摇号操作指引》为准。</w:t>
      </w:r>
    </w:p>
    <w:p>
      <w:pPr>
        <w:pStyle w:val="4"/>
        <w:spacing w:line="480" w:lineRule="exact"/>
        <w:ind w:firstLine="568" w:firstLineChars="200"/>
        <w:rPr>
          <w:b/>
          <w:color w:val="auto"/>
          <w:highlight w:val="none"/>
        </w:rPr>
      </w:pPr>
      <w:r>
        <w:rPr>
          <w:rFonts w:hint="eastAsia"/>
          <w:b/>
          <w:color w:val="auto"/>
          <w:highlight w:val="none"/>
        </w:rPr>
        <w:t>六、成交</w:t>
      </w:r>
      <w:r>
        <w:rPr>
          <w:b/>
          <w:color w:val="auto"/>
          <w:highlight w:val="none"/>
        </w:rPr>
        <w:t>与</w:t>
      </w:r>
      <w:r>
        <w:rPr>
          <w:rFonts w:hint="eastAsia"/>
          <w:b/>
          <w:color w:val="auto"/>
          <w:highlight w:val="none"/>
          <w:lang w:val="en-US" w:eastAsia="zh-CN"/>
        </w:rPr>
        <w:t>缴</w:t>
      </w:r>
      <w:r>
        <w:rPr>
          <w:b/>
          <w:color w:val="auto"/>
          <w:highlight w:val="none"/>
        </w:rPr>
        <w:t>纳地价款</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竞得人须在成交后即时签订《成交确认书》，并自签订《成交确认书》次日起5个工作日内一次性付清成交地价款。</w:t>
      </w:r>
    </w:p>
    <w:p>
      <w:pPr>
        <w:pStyle w:val="4"/>
        <w:spacing w:line="480" w:lineRule="exact"/>
        <w:ind w:firstLine="568" w:firstLineChars="200"/>
        <w:rPr>
          <w:b/>
          <w:color w:val="auto"/>
          <w:highlight w:val="none"/>
        </w:rPr>
      </w:pPr>
      <w:r>
        <w:rPr>
          <w:rFonts w:hint="eastAsia"/>
          <w:b/>
          <w:color w:val="auto"/>
          <w:highlight w:val="none"/>
        </w:rPr>
        <w:t>七、土地购置资金来源审查</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自</w:t>
      </w:r>
      <w:r>
        <w:rPr>
          <w:rFonts w:hint="eastAsia" w:ascii="宋体" w:hAnsi="宋体"/>
          <w:color w:val="auto"/>
          <w:highlight w:val="none"/>
          <w:lang w:val="en-US" w:eastAsia="zh-CN"/>
        </w:rPr>
        <w:t>缴清</w:t>
      </w:r>
      <w:r>
        <w:rPr>
          <w:rFonts w:hint="eastAsia" w:ascii="宋体" w:hAnsi="宋体"/>
          <w:color w:val="auto"/>
          <w:highlight w:val="none"/>
        </w:rPr>
        <w:t>全部地价款之日起5个工作日内，竞得人须向市规划和自然资源局提交如下资料:</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（一）经境内具有证券期货资格的会计师事务所鉴证的《商品住房用地购置资金来源情况申报表》（以下简称《申报表》，具体详见出让文件）。</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属联合竞买的，联合竞买主体应分别提交。</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（二）竞得人相关身份证明材料（具体要求参见《竞买须知》）。</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（三）境内具有证券期货资格的会计师事务所出具的《资金审计报告》，具体列明以下内容：</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1、土地竞得主体基本情况，包括控股股东、资金最终关联方基本情况；</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2、承诺并实际核查土地竞得主体提交的《申报表》及附件证明材料；</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3、穿透核查土地竞得主体及控股股东、资金最终关联方的资金来源，明确说明土地竞得主体的实际资金来源（如涉及关联方，要说明最终关联方的资金来源类型）；</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审计报告后附会计师事务所的执业证明、证券期货资格证明等。</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上述资料由深圳土地矿业权交易平台土地业务受理窗口代收后2个工作日内移交深圳市地方金融监督管理局（以下简称市地方金融监管局）进行资金来源审查。</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根据竞得人提供的材料，由市地方金融监管局组织相关监管部门对竞得人土地购置资金来源进行审查，并自收到材料之日起10个工作日内向市规划和自然资源局出具书面审查结果。市规划和自然资源局收到审查结果后应在2个工作日内通知竞得人。</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土地购置资金来源审查未获通过的竞得人，由市规划和自然资源局取消其竞得资格，已交纳的竞买（投标）保证金不予退还，1年内禁止该企业参加我市国有建设用地竞买活动。相关处理结果向社会公开。</w:t>
      </w:r>
    </w:p>
    <w:p>
      <w:pPr>
        <w:pStyle w:val="4"/>
        <w:spacing w:line="480" w:lineRule="exact"/>
        <w:ind w:firstLine="568" w:firstLineChars="200"/>
        <w:rPr>
          <w:b/>
          <w:color w:val="auto"/>
          <w:highlight w:val="none"/>
        </w:rPr>
      </w:pPr>
      <w:r>
        <w:rPr>
          <w:rFonts w:hint="eastAsia"/>
          <w:b/>
          <w:color w:val="auto"/>
          <w:highlight w:val="none"/>
        </w:rPr>
        <w:t>八、签订出让合同</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市地方金融监管局出具土地购置资金来源审查通过的批复文件后5个工作日内，竞得人须</w:t>
      </w:r>
      <w:r>
        <w:rPr>
          <w:rFonts w:hint="eastAsia" w:ascii="宋体" w:hAnsi="宋体"/>
          <w:color w:val="auto"/>
          <w:highlight w:val="none"/>
          <w:lang w:val="en-US" w:eastAsia="zh-CN"/>
        </w:rPr>
        <w:t>根据实际情况</w:t>
      </w:r>
      <w:r>
        <w:rPr>
          <w:rFonts w:hint="eastAsia" w:ascii="宋体" w:hAnsi="宋体"/>
          <w:color w:val="auto"/>
          <w:highlight w:val="none"/>
        </w:rPr>
        <w:t>持批复文件、成交确认书等有关材料分别向</w:t>
      </w:r>
      <w:r>
        <w:rPr>
          <w:rFonts w:hint="eastAsia" w:ascii="宋体" w:hAnsi="宋体"/>
          <w:color w:val="auto"/>
          <w:highlight w:val="none"/>
          <w:lang w:val="en-US" w:eastAsia="zh-CN"/>
        </w:rPr>
        <w:t>相关部门</w:t>
      </w:r>
      <w:r>
        <w:rPr>
          <w:rFonts w:hint="eastAsia" w:ascii="宋体" w:hAnsi="宋体"/>
          <w:color w:val="auto"/>
          <w:highlight w:val="none"/>
        </w:rPr>
        <w:t>申请签订</w:t>
      </w:r>
      <w:r>
        <w:rPr>
          <w:rFonts w:hint="eastAsia" w:ascii="宋体" w:hAnsi="宋体"/>
          <w:color w:val="auto"/>
          <w:highlight w:val="none"/>
          <w:lang w:val="en-US" w:eastAsia="zh-CN"/>
        </w:rPr>
        <w:t>《深圳市安居型商品房住房建设和管理任务书》</w:t>
      </w:r>
      <w:r>
        <w:rPr>
          <w:rFonts w:hint="default" w:ascii="宋体" w:hAnsi="宋体"/>
          <w:color w:val="auto"/>
          <w:highlight w:val="none"/>
        </w:rPr>
        <w:t>《深圳市保障性租赁住房建设和管理任务书》</w:t>
      </w:r>
      <w:r>
        <w:rPr>
          <w:rFonts w:hint="eastAsia" w:ascii="宋体" w:hAnsi="宋体"/>
          <w:color w:val="auto"/>
          <w:highlight w:val="none"/>
          <w:lang w:eastAsia="zh-CN"/>
        </w:rPr>
        <w:t>，</w:t>
      </w:r>
      <w:r>
        <w:rPr>
          <w:rFonts w:hint="eastAsia" w:ascii="宋体" w:hAnsi="宋体"/>
          <w:color w:val="auto"/>
          <w:highlight w:val="none"/>
        </w:rPr>
        <w:t>向市规划和自然资源局相关辖区管理局申请签订《出让合同》。</w:t>
      </w:r>
    </w:p>
    <w:p>
      <w:pPr>
        <w:pStyle w:val="4"/>
        <w:spacing w:line="480" w:lineRule="exact"/>
        <w:ind w:firstLine="568" w:firstLineChars="200"/>
        <w:rPr>
          <w:b/>
          <w:color w:val="auto"/>
          <w:highlight w:val="none"/>
        </w:rPr>
      </w:pPr>
      <w:r>
        <w:rPr>
          <w:rFonts w:hint="eastAsia"/>
          <w:b/>
          <w:color w:val="auto"/>
          <w:highlight w:val="none"/>
        </w:rPr>
        <w:t>九、其他</w:t>
      </w:r>
    </w:p>
    <w:p>
      <w:pPr>
        <w:pStyle w:val="4"/>
        <w:spacing w:line="480" w:lineRule="exact"/>
        <w:ind w:firstLine="568" w:firstLineChars="200"/>
        <w:rPr>
          <w:rFonts w:hint="eastAsia" w:ascii="宋体" w:hAnsi="宋体" w:cs="Times New Roman"/>
          <w:color w:val="auto"/>
          <w:highlight w:val="none"/>
        </w:rPr>
      </w:pPr>
      <w:r>
        <w:rPr>
          <w:rFonts w:hint="eastAsia" w:ascii="宋体" w:hAnsi="宋体" w:cs="Times New Roman"/>
          <w:color w:val="auto"/>
          <w:highlight w:val="none"/>
        </w:rPr>
        <w:t>本公告内容如有调整，将在深圳土地矿业权交易平台网站发布补充公告，不再另行通知。本公告有关详细资料请参阅挂牌出让文件（包括但不限于本公告、《竞买须知》《成交确认书》《出让合同》《关于土地购置资金来源的承诺函》《关于竞买人关联性的承诺函》《申报表》</w:t>
      </w:r>
      <w:r>
        <w:rPr>
          <w:rFonts w:hint="eastAsia" w:ascii="宋体" w:hAnsi="宋体" w:eastAsia="汉仪书宋二简" w:cs="Times New Roman"/>
          <w:color w:val="auto"/>
          <w:spacing w:val="20"/>
          <w:w w:val="110"/>
          <w:kern w:val="10"/>
          <w:sz w:val="23"/>
          <w:szCs w:val="23"/>
          <w:highlight w:val="none"/>
          <w:lang w:val="en-US" w:eastAsia="zh-CN"/>
        </w:rPr>
        <w:t>《深圳市安居型商品房住房建设和管理任务书》</w:t>
      </w:r>
      <w:r>
        <w:rPr>
          <w:rFonts w:hint="default" w:ascii="宋体" w:hAnsi="宋体" w:cs="Times New Roman"/>
          <w:color w:val="auto"/>
          <w:highlight w:val="none"/>
        </w:rPr>
        <w:t>《深圳市保障性租赁住房建设和管理任务书》《深圳市国有建设用地使用权出让竞买人关联性审查操作指引》《深圳市国有建设用地使用权出让现场摇号操作指引》</w:t>
      </w:r>
      <w:r>
        <w:rPr>
          <w:rFonts w:hint="eastAsia" w:cs="Times New Roman" w:asciiTheme="minorEastAsia" w:hAnsiTheme="minorEastAsia"/>
          <w:spacing w:val="20"/>
          <w:w w:val="110"/>
          <w:kern w:val="10"/>
          <w:sz w:val="23"/>
          <w:szCs w:val="23"/>
          <w:highlight w:val="none"/>
          <w:lang w:eastAsia="zh-CN"/>
        </w:rPr>
        <w:t>《国有土地使用权出让收入缴款及竞买保证金退转操作指引》</w:t>
      </w:r>
      <w:r>
        <w:rPr>
          <w:rFonts w:hint="default" w:ascii="宋体" w:hAnsi="宋体" w:cs="Times New Roman"/>
          <w:color w:val="auto"/>
          <w:highlight w:val="none"/>
        </w:rPr>
        <w:t>等）。本公告同时在市规划和自然资源局、深圳土地矿业权交易平台网站发布，挂牌出让文件可在深圳土地矿业权交易平台网站下载。</w:t>
      </w:r>
    </w:p>
    <w:p>
      <w:pPr>
        <w:pStyle w:val="4"/>
        <w:spacing w:line="480" w:lineRule="exact"/>
        <w:ind w:firstLine="568" w:firstLineChars="200"/>
        <w:rPr>
          <w:rFonts w:hint="eastAsia" w:ascii="宋体" w:hAnsi="宋体" w:cs="Times New Roman"/>
          <w:color w:val="auto"/>
          <w:highlight w:val="none"/>
        </w:rPr>
      </w:pPr>
      <w:r>
        <w:rPr>
          <w:rFonts w:hint="default" w:ascii="宋体" w:hAnsi="宋体" w:cs="Times New Roman"/>
          <w:color w:val="auto"/>
          <w:highlight w:val="none"/>
        </w:rPr>
        <w:t>参与竞买活动的竞买人对竞买人关联性资格审查结果有异议的，应当自知道或者应当知道审查结果之日起3个工作日内向公共资源交易中心以书面形式提出异议。公共资源交易中心自收到书面异议材料之日起7个工作日内就异议事项书面答复竞买人。</w:t>
      </w:r>
    </w:p>
    <w:p>
      <w:pPr>
        <w:pStyle w:val="4"/>
        <w:spacing w:line="480" w:lineRule="exact"/>
        <w:ind w:firstLine="568" w:firstLineChars="200"/>
        <w:rPr>
          <w:rFonts w:hint="eastAsia" w:ascii="宋体" w:hAnsi="宋体" w:cs="Times New Roman"/>
          <w:color w:val="auto"/>
          <w:highlight w:val="none"/>
        </w:rPr>
      </w:pPr>
      <w:r>
        <w:rPr>
          <w:rFonts w:hint="default" w:ascii="宋体" w:hAnsi="宋体" w:cs="Times New Roman"/>
          <w:color w:val="auto"/>
          <w:highlight w:val="none"/>
        </w:rPr>
        <w:t>对公共资源交易中心的答复不满意或者公共资源交易中心未在规定时间内答复的，提出异议的竞买人可以在答复期满后15个工作日内向市规划和自然资源局投诉。</w:t>
      </w:r>
    </w:p>
    <w:p>
      <w:pPr>
        <w:pStyle w:val="4"/>
        <w:spacing w:line="480" w:lineRule="exact"/>
        <w:ind w:firstLine="568" w:firstLineChars="200"/>
        <w:rPr>
          <w:rFonts w:hint="eastAsia" w:ascii="宋体" w:hAnsi="宋体" w:cs="Times New Roman"/>
          <w:color w:val="auto"/>
          <w:highlight w:val="none"/>
        </w:rPr>
      </w:pPr>
      <w:r>
        <w:rPr>
          <w:rFonts w:hint="default" w:ascii="宋体" w:hAnsi="宋体" w:cs="Times New Roman"/>
          <w:color w:val="auto"/>
          <w:highlight w:val="none"/>
        </w:rPr>
        <w:t>需咨询本公告出让程序相关问题的，可以书面方式向深圳交易集团有限公司土地矿业权业务分公司提出；其他相关问题，请迳向相关职能部门提出。</w:t>
      </w:r>
    </w:p>
    <w:p>
      <w:pPr>
        <w:pStyle w:val="3"/>
        <w:spacing w:line="480" w:lineRule="exact"/>
        <w:rPr>
          <w:rFonts w:cs="汉仪书宋二简"/>
          <w:color w:val="auto"/>
          <w:highlight w:val="none"/>
        </w:rPr>
      </w:pP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深圳市规划和自然资源局 地址：深圳市福田区红荔西路8009号；网址：http://pnr.sz.gov.cn/。</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深圳市规划和自然资源局龙华管理局 咨询电话：（0755）</w:t>
      </w:r>
      <w:r>
        <w:rPr>
          <w:rFonts w:cs="Times New Roman" w:asciiTheme="minorEastAsia" w:hAnsiTheme="minorEastAsia"/>
          <w:spacing w:val="20"/>
          <w:w w:val="110"/>
          <w:kern w:val="10"/>
          <w:sz w:val="23"/>
          <w:szCs w:val="23"/>
        </w:rPr>
        <w:t>23335795</w:t>
      </w:r>
      <w:r>
        <w:rPr>
          <w:rFonts w:hint="eastAsia" w:cs="Times New Roman" w:asciiTheme="minorEastAsia" w:hAnsiTheme="minorEastAsia"/>
          <w:spacing w:val="20"/>
          <w:w w:val="110"/>
          <w:kern w:val="10"/>
          <w:sz w:val="23"/>
          <w:szCs w:val="23"/>
        </w:rPr>
        <w:t>。</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深圳市住房保障署 咨询电话：（0755）</w:t>
      </w:r>
      <w:r>
        <w:rPr>
          <w:rFonts w:hint="eastAsia" w:cs="Times New Roman" w:asciiTheme="minorEastAsia" w:hAnsiTheme="minorEastAsia"/>
          <w:spacing w:val="20"/>
          <w:w w:val="110"/>
          <w:kern w:val="10"/>
          <w:sz w:val="23"/>
          <w:szCs w:val="23"/>
          <w:lang w:val="en-US" w:eastAsia="zh-CN"/>
        </w:rPr>
        <w:t>82523749</w:t>
      </w:r>
      <w:r>
        <w:rPr>
          <w:rFonts w:hint="eastAsia" w:cs="Times New Roman" w:asciiTheme="minorEastAsia" w:hAnsiTheme="minorEastAsia"/>
          <w:spacing w:val="20"/>
          <w:w w:val="110"/>
          <w:kern w:val="10"/>
          <w:sz w:val="23"/>
          <w:szCs w:val="23"/>
        </w:rPr>
        <w:t xml:space="preserve"> 。</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深圳市龙华区住房和建设局 咨询电话：（0755）23336517。</w:t>
      </w:r>
    </w:p>
    <w:p>
      <w:pPr>
        <w:tabs>
          <w:tab w:val="left" w:pos="8460"/>
        </w:tabs>
        <w:spacing w:line="480" w:lineRule="exact"/>
        <w:ind w:firstLine="568" w:firstLineChars="200"/>
      </w:pPr>
      <w:r>
        <w:rPr>
          <w:rFonts w:hint="eastAsia" w:cs="Times New Roman" w:asciiTheme="minorEastAsia" w:hAnsiTheme="minorEastAsia"/>
          <w:spacing w:val="20"/>
          <w:w w:val="110"/>
          <w:kern w:val="10"/>
          <w:sz w:val="23"/>
          <w:szCs w:val="23"/>
          <w:lang w:val="en-US" w:eastAsia="zh-CN"/>
        </w:rPr>
        <w:t xml:space="preserve">龙华区重点区域建设推进中心 </w:t>
      </w:r>
      <w:r>
        <w:rPr>
          <w:rFonts w:hint="eastAsia" w:cs="Times New Roman" w:asciiTheme="minorEastAsia" w:hAnsiTheme="minorEastAsia"/>
          <w:spacing w:val="20"/>
          <w:w w:val="110"/>
          <w:kern w:val="10"/>
          <w:sz w:val="23"/>
          <w:szCs w:val="23"/>
        </w:rPr>
        <w:t>联系地址：深圳市龙华区龙华街道富康行政服务办公区6楼</w:t>
      </w:r>
      <w:r>
        <w:rPr>
          <w:rFonts w:hint="eastAsia" w:cs="Times New Roman" w:asciiTheme="minorEastAsia" w:hAnsiTheme="minorEastAsia"/>
          <w:spacing w:val="20"/>
          <w:w w:val="110"/>
          <w:kern w:val="10"/>
          <w:sz w:val="23"/>
          <w:szCs w:val="23"/>
          <w:lang w:eastAsia="zh-CN"/>
        </w:rPr>
        <w:t>；</w:t>
      </w:r>
      <w:r>
        <w:rPr>
          <w:rFonts w:hint="eastAsia" w:cs="Times New Roman" w:asciiTheme="minorEastAsia" w:hAnsiTheme="minorEastAsia"/>
          <w:spacing w:val="20"/>
          <w:w w:val="110"/>
          <w:kern w:val="10"/>
          <w:sz w:val="23"/>
          <w:szCs w:val="23"/>
        </w:rPr>
        <w:t>联系电话：23332346</w:t>
      </w:r>
      <w:r>
        <w:rPr>
          <w:rFonts w:hint="eastAsia" w:cs="Times New Roman" w:asciiTheme="minorEastAsia" w:hAnsiTheme="minorEastAsia"/>
          <w:spacing w:val="20"/>
          <w:w w:val="110"/>
          <w:kern w:val="10"/>
          <w:sz w:val="23"/>
          <w:szCs w:val="23"/>
          <w:lang w:eastAsia="zh-CN"/>
        </w:rPr>
        <w:t>。</w:t>
      </w:r>
      <w:bookmarkStart w:id="0" w:name="_GoBack"/>
      <w:bookmarkEnd w:id="0"/>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深圳交易集团有限公司土地矿业权业务分公司 地址：深圳市福田区红荔西路8007号土地房产交易大厦3楼；咨询电话：（0755）82713074、（0755）82713274；网址：</w:t>
      </w:r>
      <w:r>
        <w:fldChar w:fldCharType="begin"/>
      </w:r>
      <w:r>
        <w:instrText xml:space="preserve"> HYPERLINK "https://td.szggzy.com。" </w:instrText>
      </w:r>
      <w:r>
        <w:fldChar w:fldCharType="separate"/>
      </w:r>
      <w:r>
        <w:rPr>
          <w:rFonts w:hint="eastAsia" w:cs="Times New Roman" w:asciiTheme="minorEastAsia" w:hAnsiTheme="minorEastAsia"/>
          <w:spacing w:val="20"/>
          <w:w w:val="110"/>
          <w:kern w:val="10"/>
          <w:sz w:val="23"/>
          <w:szCs w:val="23"/>
        </w:rPr>
        <w:t>https://td.szggzy.com。</w:t>
      </w:r>
      <w:r>
        <w:rPr>
          <w:rFonts w:hint="eastAsia" w:cs="Times New Roman" w:asciiTheme="minorEastAsia" w:hAnsiTheme="minorEastAsia"/>
          <w:spacing w:val="20"/>
          <w:w w:val="110"/>
          <w:kern w:val="10"/>
          <w:sz w:val="23"/>
          <w:szCs w:val="23"/>
        </w:rPr>
        <w:fldChar w:fldCharType="end"/>
      </w:r>
    </w:p>
    <w:p>
      <w:pPr>
        <w:pStyle w:val="4"/>
        <w:spacing w:line="400" w:lineRule="exact"/>
        <w:ind w:firstLine="0" w:firstLineChars="0"/>
        <w:jc w:val="left"/>
        <w:rPr>
          <w:color w:val="auto"/>
          <w:highlight w:val="none"/>
        </w:rPr>
      </w:pPr>
    </w:p>
    <w:p>
      <w:pPr>
        <w:pStyle w:val="4"/>
        <w:spacing w:line="400" w:lineRule="exact"/>
        <w:ind w:firstLine="0" w:firstLineChars="0"/>
        <w:jc w:val="left"/>
        <w:rPr>
          <w:color w:val="auto"/>
          <w:highlight w:val="none"/>
        </w:rPr>
      </w:pPr>
    </w:p>
    <w:p>
      <w:pPr>
        <w:pStyle w:val="4"/>
        <w:spacing w:line="480" w:lineRule="exact"/>
        <w:ind w:firstLine="359"/>
        <w:jc w:val="right"/>
        <w:rPr>
          <w:rFonts w:cs="汉仪书宋二简"/>
          <w:b/>
          <w:color w:val="auto"/>
          <w:spacing w:val="0"/>
          <w:highlight w:val="none"/>
        </w:rPr>
      </w:pPr>
      <w:r>
        <w:rPr>
          <w:rFonts w:cs="汉仪书宋二简"/>
          <w:b/>
          <w:color w:val="auto"/>
          <w:spacing w:val="0"/>
          <w:highlight w:val="none"/>
        </w:rPr>
        <w:t>出让人：深圳市规划和自然资源局</w:t>
      </w:r>
    </w:p>
    <w:p>
      <w:pPr>
        <w:pStyle w:val="4"/>
        <w:spacing w:line="480" w:lineRule="exact"/>
        <w:ind w:firstLine="433" w:firstLineChars="0"/>
        <w:jc w:val="right"/>
        <w:rPr>
          <w:rFonts w:cs="汉仪书宋二简"/>
          <w:b/>
          <w:color w:val="auto"/>
          <w:spacing w:val="0"/>
          <w:highlight w:val="none"/>
        </w:rPr>
      </w:pPr>
      <w:r>
        <w:rPr>
          <w:rFonts w:cs="汉仪书宋二简"/>
          <w:b/>
          <w:color w:val="auto"/>
          <w:spacing w:val="0"/>
          <w:highlight w:val="none"/>
        </w:rPr>
        <w:t>交易机构：深圳交易集团有限公司</w:t>
      </w:r>
    </w:p>
    <w:p>
      <w:pPr>
        <w:pStyle w:val="4"/>
        <w:spacing w:line="480" w:lineRule="exact"/>
        <w:ind w:firstLine="433" w:firstLineChars="0"/>
        <w:jc w:val="right"/>
        <w:rPr>
          <w:rFonts w:cs="汉仪书宋二简"/>
          <w:b/>
          <w:color w:val="auto"/>
          <w:spacing w:val="0"/>
          <w:highlight w:val="none"/>
        </w:rPr>
      </w:pPr>
      <w:r>
        <w:rPr>
          <w:rFonts w:cs="汉仪书宋二简"/>
          <w:b/>
          <w:color w:val="auto"/>
          <w:spacing w:val="0"/>
          <w:highlight w:val="none"/>
        </w:rPr>
        <w:t xml:space="preserve"> （深圳公共资源交易中心）</w:t>
      </w:r>
    </w:p>
    <w:p>
      <w:pPr>
        <w:pStyle w:val="4"/>
        <w:spacing w:line="480" w:lineRule="exact"/>
        <w:ind w:firstLine="7320" w:firstLineChars="3000"/>
        <w:jc w:val="right"/>
        <w:rPr>
          <w:rFonts w:cs="汉仪书宋二简"/>
          <w:b/>
          <w:color w:val="auto"/>
          <w:highlight w:val="none"/>
        </w:rPr>
      </w:pPr>
      <w:r>
        <w:rPr>
          <w:rFonts w:cs="汉仪书宋二简"/>
          <w:b/>
          <w:color w:val="auto"/>
          <w:spacing w:val="0"/>
          <w:highlight w:val="none"/>
        </w:rPr>
        <w:t>202</w:t>
      </w:r>
      <w:r>
        <w:rPr>
          <w:rFonts w:hint="eastAsia" w:cs="汉仪书宋二简"/>
          <w:b/>
          <w:color w:val="auto"/>
          <w:spacing w:val="0"/>
          <w:highlight w:val="none"/>
        </w:rPr>
        <w:t>2</w:t>
      </w:r>
      <w:r>
        <w:rPr>
          <w:rFonts w:cs="汉仪书宋二简"/>
          <w:b/>
          <w:color w:val="auto"/>
          <w:spacing w:val="0"/>
          <w:highlight w:val="none"/>
        </w:rPr>
        <w:t>年</w:t>
      </w:r>
      <w:r>
        <w:rPr>
          <w:rFonts w:hint="eastAsia" w:cs="汉仪书宋二简"/>
          <w:b/>
          <w:color w:val="auto"/>
          <w:spacing w:val="0"/>
          <w:highlight w:val="none"/>
          <w:lang w:val="en-US" w:eastAsia="zh-CN"/>
        </w:rPr>
        <w:t>8</w:t>
      </w:r>
      <w:r>
        <w:rPr>
          <w:rFonts w:cs="汉仪书宋二简"/>
          <w:b/>
          <w:color w:val="auto"/>
          <w:spacing w:val="0"/>
          <w:highlight w:val="none"/>
        </w:rPr>
        <w:t>月</w:t>
      </w:r>
      <w:r>
        <w:rPr>
          <w:rFonts w:hint="eastAsia" w:cs="汉仪书宋二简"/>
          <w:b/>
          <w:color w:val="auto"/>
          <w:spacing w:val="0"/>
          <w:highlight w:val="none"/>
          <w:lang w:val="en-US" w:eastAsia="zh-CN"/>
        </w:rPr>
        <w:t>30</w:t>
      </w:r>
      <w:r>
        <w:rPr>
          <w:rFonts w:cs="汉仪书宋二简"/>
          <w:b/>
          <w:color w:val="auto"/>
          <w:spacing w:val="0"/>
          <w:highlight w:val="none"/>
        </w:rPr>
        <w:t>日</w:t>
      </w:r>
    </w:p>
    <w:sectPr>
      <w:footerReference r:id="rId3" w:type="default"/>
      <w:footerReference r:id="rId4" w:type="even"/>
      <w:pgSz w:w="11907" w:h="16839"/>
      <w:pgMar w:top="1258" w:right="1259" w:bottom="1616" w:left="1440" w:header="851" w:footer="635" w:gutter="0"/>
      <w:cols w:space="720" w:num="1"/>
      <w:docGrid w:type="linesAndChar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46C4B"/>
    <w:multiLevelType w:val="singleLevel"/>
    <w:tmpl w:val="76346C4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MjBkNjNjZjAzMTk2M2YzYjc5MGNkMmY1MDk0MDAifQ=="/>
  </w:docVars>
  <w:rsids>
    <w:rsidRoot w:val="001B0760"/>
    <w:rsid w:val="00001766"/>
    <w:rsid w:val="000026CD"/>
    <w:rsid w:val="000060AF"/>
    <w:rsid w:val="00006A79"/>
    <w:rsid w:val="00006E1A"/>
    <w:rsid w:val="000070F8"/>
    <w:rsid w:val="000079DB"/>
    <w:rsid w:val="0001061B"/>
    <w:rsid w:val="000106AE"/>
    <w:rsid w:val="000109B3"/>
    <w:rsid w:val="000124AF"/>
    <w:rsid w:val="0001401B"/>
    <w:rsid w:val="0001510C"/>
    <w:rsid w:val="00015170"/>
    <w:rsid w:val="00015CEF"/>
    <w:rsid w:val="000168E4"/>
    <w:rsid w:val="0001752A"/>
    <w:rsid w:val="0002385B"/>
    <w:rsid w:val="00026A22"/>
    <w:rsid w:val="00030A26"/>
    <w:rsid w:val="00030F3C"/>
    <w:rsid w:val="000327C8"/>
    <w:rsid w:val="000334C9"/>
    <w:rsid w:val="00033748"/>
    <w:rsid w:val="0003417F"/>
    <w:rsid w:val="000346D1"/>
    <w:rsid w:val="000359A7"/>
    <w:rsid w:val="000362CA"/>
    <w:rsid w:val="000365C0"/>
    <w:rsid w:val="00040ABC"/>
    <w:rsid w:val="000412D3"/>
    <w:rsid w:val="00041787"/>
    <w:rsid w:val="00043D33"/>
    <w:rsid w:val="00046177"/>
    <w:rsid w:val="0005256D"/>
    <w:rsid w:val="00052704"/>
    <w:rsid w:val="00052E74"/>
    <w:rsid w:val="00053367"/>
    <w:rsid w:val="0005505D"/>
    <w:rsid w:val="000556F7"/>
    <w:rsid w:val="00055AD2"/>
    <w:rsid w:val="0005782C"/>
    <w:rsid w:val="00060388"/>
    <w:rsid w:val="00061417"/>
    <w:rsid w:val="00061455"/>
    <w:rsid w:val="000631DA"/>
    <w:rsid w:val="00065C68"/>
    <w:rsid w:val="00067354"/>
    <w:rsid w:val="0006791E"/>
    <w:rsid w:val="00071B30"/>
    <w:rsid w:val="00071FAB"/>
    <w:rsid w:val="000724C8"/>
    <w:rsid w:val="00072B08"/>
    <w:rsid w:val="000744D2"/>
    <w:rsid w:val="00074680"/>
    <w:rsid w:val="0007471C"/>
    <w:rsid w:val="00074AA9"/>
    <w:rsid w:val="00075529"/>
    <w:rsid w:val="00076534"/>
    <w:rsid w:val="00077BFD"/>
    <w:rsid w:val="00080699"/>
    <w:rsid w:val="00082700"/>
    <w:rsid w:val="00083160"/>
    <w:rsid w:val="00084F6E"/>
    <w:rsid w:val="00085BC2"/>
    <w:rsid w:val="00085BC9"/>
    <w:rsid w:val="00086115"/>
    <w:rsid w:val="0008629A"/>
    <w:rsid w:val="0008795F"/>
    <w:rsid w:val="00090533"/>
    <w:rsid w:val="000911A5"/>
    <w:rsid w:val="00093257"/>
    <w:rsid w:val="000937BB"/>
    <w:rsid w:val="00097A13"/>
    <w:rsid w:val="00097BD2"/>
    <w:rsid w:val="000A0D87"/>
    <w:rsid w:val="000A14C2"/>
    <w:rsid w:val="000A22DE"/>
    <w:rsid w:val="000A24A1"/>
    <w:rsid w:val="000A28CF"/>
    <w:rsid w:val="000A2BFF"/>
    <w:rsid w:val="000A3516"/>
    <w:rsid w:val="000A4A2D"/>
    <w:rsid w:val="000A55C2"/>
    <w:rsid w:val="000A74BF"/>
    <w:rsid w:val="000B077D"/>
    <w:rsid w:val="000B1C55"/>
    <w:rsid w:val="000B1CB8"/>
    <w:rsid w:val="000B210A"/>
    <w:rsid w:val="000B247F"/>
    <w:rsid w:val="000C04B8"/>
    <w:rsid w:val="000C09C4"/>
    <w:rsid w:val="000C0EA7"/>
    <w:rsid w:val="000C1368"/>
    <w:rsid w:val="000C18DF"/>
    <w:rsid w:val="000C1ACF"/>
    <w:rsid w:val="000C2507"/>
    <w:rsid w:val="000C3172"/>
    <w:rsid w:val="000C3442"/>
    <w:rsid w:val="000C3610"/>
    <w:rsid w:val="000C72A4"/>
    <w:rsid w:val="000D112E"/>
    <w:rsid w:val="000D1C3F"/>
    <w:rsid w:val="000D3C8B"/>
    <w:rsid w:val="000D4EEA"/>
    <w:rsid w:val="000D5640"/>
    <w:rsid w:val="000D5645"/>
    <w:rsid w:val="000D5C19"/>
    <w:rsid w:val="000E0634"/>
    <w:rsid w:val="000E065B"/>
    <w:rsid w:val="000E06CE"/>
    <w:rsid w:val="000E0DD2"/>
    <w:rsid w:val="000E17A4"/>
    <w:rsid w:val="000E1985"/>
    <w:rsid w:val="000E20C0"/>
    <w:rsid w:val="000E276A"/>
    <w:rsid w:val="000E3E15"/>
    <w:rsid w:val="000E4765"/>
    <w:rsid w:val="000E4AA3"/>
    <w:rsid w:val="000E56FE"/>
    <w:rsid w:val="000E5E25"/>
    <w:rsid w:val="000E6A41"/>
    <w:rsid w:val="000F0661"/>
    <w:rsid w:val="000F08D3"/>
    <w:rsid w:val="000F1299"/>
    <w:rsid w:val="000F1D9B"/>
    <w:rsid w:val="000F29A1"/>
    <w:rsid w:val="000F4CFF"/>
    <w:rsid w:val="000F5B2A"/>
    <w:rsid w:val="000F7BA7"/>
    <w:rsid w:val="0010141F"/>
    <w:rsid w:val="00102EDC"/>
    <w:rsid w:val="0010337B"/>
    <w:rsid w:val="0010353B"/>
    <w:rsid w:val="00105814"/>
    <w:rsid w:val="00105B3A"/>
    <w:rsid w:val="00111161"/>
    <w:rsid w:val="001121A2"/>
    <w:rsid w:val="00117054"/>
    <w:rsid w:val="0012098B"/>
    <w:rsid w:val="00120E5E"/>
    <w:rsid w:val="00120F85"/>
    <w:rsid w:val="00122D63"/>
    <w:rsid w:val="001248F7"/>
    <w:rsid w:val="00127B47"/>
    <w:rsid w:val="00127E4F"/>
    <w:rsid w:val="00133566"/>
    <w:rsid w:val="00133654"/>
    <w:rsid w:val="00133EE1"/>
    <w:rsid w:val="001348A1"/>
    <w:rsid w:val="00134C60"/>
    <w:rsid w:val="0013668A"/>
    <w:rsid w:val="00137882"/>
    <w:rsid w:val="00137BBB"/>
    <w:rsid w:val="00142521"/>
    <w:rsid w:val="0014458C"/>
    <w:rsid w:val="0014744B"/>
    <w:rsid w:val="0015006E"/>
    <w:rsid w:val="00150223"/>
    <w:rsid w:val="0015176D"/>
    <w:rsid w:val="00151CF7"/>
    <w:rsid w:val="00152653"/>
    <w:rsid w:val="001532F7"/>
    <w:rsid w:val="00153BEC"/>
    <w:rsid w:val="00153C03"/>
    <w:rsid w:val="00156768"/>
    <w:rsid w:val="001577D3"/>
    <w:rsid w:val="001615D4"/>
    <w:rsid w:val="001627B4"/>
    <w:rsid w:val="00162BD1"/>
    <w:rsid w:val="00162D67"/>
    <w:rsid w:val="00163729"/>
    <w:rsid w:val="00164A6D"/>
    <w:rsid w:val="00164BD6"/>
    <w:rsid w:val="00167E25"/>
    <w:rsid w:val="001700EF"/>
    <w:rsid w:val="001709C4"/>
    <w:rsid w:val="00171124"/>
    <w:rsid w:val="0017134A"/>
    <w:rsid w:val="00171E0F"/>
    <w:rsid w:val="001733F9"/>
    <w:rsid w:val="00176655"/>
    <w:rsid w:val="00176E9D"/>
    <w:rsid w:val="00180876"/>
    <w:rsid w:val="00182132"/>
    <w:rsid w:val="001823AF"/>
    <w:rsid w:val="00182D17"/>
    <w:rsid w:val="00183AF5"/>
    <w:rsid w:val="00185110"/>
    <w:rsid w:val="00187E31"/>
    <w:rsid w:val="00190892"/>
    <w:rsid w:val="00190B43"/>
    <w:rsid w:val="00195148"/>
    <w:rsid w:val="0019676C"/>
    <w:rsid w:val="00197595"/>
    <w:rsid w:val="001A2027"/>
    <w:rsid w:val="001B0308"/>
    <w:rsid w:val="001B0760"/>
    <w:rsid w:val="001B0864"/>
    <w:rsid w:val="001B09C8"/>
    <w:rsid w:val="001B2199"/>
    <w:rsid w:val="001B26DC"/>
    <w:rsid w:val="001B2C86"/>
    <w:rsid w:val="001B4180"/>
    <w:rsid w:val="001B57EE"/>
    <w:rsid w:val="001B648E"/>
    <w:rsid w:val="001B7AF8"/>
    <w:rsid w:val="001C2355"/>
    <w:rsid w:val="001C59FA"/>
    <w:rsid w:val="001C70AB"/>
    <w:rsid w:val="001C7657"/>
    <w:rsid w:val="001C76B8"/>
    <w:rsid w:val="001D05D4"/>
    <w:rsid w:val="001D1015"/>
    <w:rsid w:val="001D2D0C"/>
    <w:rsid w:val="001D68F3"/>
    <w:rsid w:val="001D754E"/>
    <w:rsid w:val="001E0EE9"/>
    <w:rsid w:val="001E1DE8"/>
    <w:rsid w:val="001E2F9C"/>
    <w:rsid w:val="001E3611"/>
    <w:rsid w:val="001E647F"/>
    <w:rsid w:val="001F2450"/>
    <w:rsid w:val="001F2A77"/>
    <w:rsid w:val="001F2DB9"/>
    <w:rsid w:val="001F5A6E"/>
    <w:rsid w:val="002003CF"/>
    <w:rsid w:val="00200AB4"/>
    <w:rsid w:val="00202155"/>
    <w:rsid w:val="00203968"/>
    <w:rsid w:val="002058D4"/>
    <w:rsid w:val="00207F66"/>
    <w:rsid w:val="00211593"/>
    <w:rsid w:val="00211FFF"/>
    <w:rsid w:val="00212BA0"/>
    <w:rsid w:val="00212D99"/>
    <w:rsid w:val="00216AF7"/>
    <w:rsid w:val="00217AA4"/>
    <w:rsid w:val="00220485"/>
    <w:rsid w:val="002206C9"/>
    <w:rsid w:val="00221CF0"/>
    <w:rsid w:val="00224C8B"/>
    <w:rsid w:val="002252ED"/>
    <w:rsid w:val="00225459"/>
    <w:rsid w:val="00225A2F"/>
    <w:rsid w:val="00225FF9"/>
    <w:rsid w:val="002270A2"/>
    <w:rsid w:val="0022790D"/>
    <w:rsid w:val="002313EC"/>
    <w:rsid w:val="002316CD"/>
    <w:rsid w:val="002356CD"/>
    <w:rsid w:val="00235C7B"/>
    <w:rsid w:val="00236EE0"/>
    <w:rsid w:val="00237CBC"/>
    <w:rsid w:val="002402A5"/>
    <w:rsid w:val="00240604"/>
    <w:rsid w:val="002455E0"/>
    <w:rsid w:val="00245789"/>
    <w:rsid w:val="00245831"/>
    <w:rsid w:val="00246BB1"/>
    <w:rsid w:val="0024771E"/>
    <w:rsid w:val="00252918"/>
    <w:rsid w:val="00254B4F"/>
    <w:rsid w:val="0025661D"/>
    <w:rsid w:val="00257CAF"/>
    <w:rsid w:val="002605B2"/>
    <w:rsid w:val="00261D8C"/>
    <w:rsid w:val="00261F07"/>
    <w:rsid w:val="00263277"/>
    <w:rsid w:val="002655C4"/>
    <w:rsid w:val="00266E16"/>
    <w:rsid w:val="00267338"/>
    <w:rsid w:val="00274936"/>
    <w:rsid w:val="00276099"/>
    <w:rsid w:val="00276495"/>
    <w:rsid w:val="00276796"/>
    <w:rsid w:val="00282EAD"/>
    <w:rsid w:val="0028676C"/>
    <w:rsid w:val="00290749"/>
    <w:rsid w:val="002908F0"/>
    <w:rsid w:val="00290912"/>
    <w:rsid w:val="00291533"/>
    <w:rsid w:val="00292E86"/>
    <w:rsid w:val="00293E1F"/>
    <w:rsid w:val="00295107"/>
    <w:rsid w:val="0029651B"/>
    <w:rsid w:val="00296A2F"/>
    <w:rsid w:val="00296E1F"/>
    <w:rsid w:val="002A0C40"/>
    <w:rsid w:val="002A1BCB"/>
    <w:rsid w:val="002A203F"/>
    <w:rsid w:val="002A3425"/>
    <w:rsid w:val="002A3815"/>
    <w:rsid w:val="002A5771"/>
    <w:rsid w:val="002A66A3"/>
    <w:rsid w:val="002B1073"/>
    <w:rsid w:val="002B4042"/>
    <w:rsid w:val="002B46B4"/>
    <w:rsid w:val="002B5AC6"/>
    <w:rsid w:val="002B7E9E"/>
    <w:rsid w:val="002C0150"/>
    <w:rsid w:val="002C0158"/>
    <w:rsid w:val="002C0F6E"/>
    <w:rsid w:val="002C26D2"/>
    <w:rsid w:val="002C4B03"/>
    <w:rsid w:val="002C52BE"/>
    <w:rsid w:val="002C5D3E"/>
    <w:rsid w:val="002C6573"/>
    <w:rsid w:val="002C71C2"/>
    <w:rsid w:val="002C7228"/>
    <w:rsid w:val="002D0624"/>
    <w:rsid w:val="002D1882"/>
    <w:rsid w:val="002D340C"/>
    <w:rsid w:val="002D3808"/>
    <w:rsid w:val="002D412D"/>
    <w:rsid w:val="002D4798"/>
    <w:rsid w:val="002D5569"/>
    <w:rsid w:val="002D5B55"/>
    <w:rsid w:val="002D5C44"/>
    <w:rsid w:val="002D7296"/>
    <w:rsid w:val="002E033E"/>
    <w:rsid w:val="002E0620"/>
    <w:rsid w:val="002E0F5B"/>
    <w:rsid w:val="002E117E"/>
    <w:rsid w:val="002E159C"/>
    <w:rsid w:val="002E2EEF"/>
    <w:rsid w:val="002E444F"/>
    <w:rsid w:val="002E518B"/>
    <w:rsid w:val="002E7608"/>
    <w:rsid w:val="002F158A"/>
    <w:rsid w:val="002F1CDD"/>
    <w:rsid w:val="002F34AD"/>
    <w:rsid w:val="002F3BAE"/>
    <w:rsid w:val="002F43F8"/>
    <w:rsid w:val="002F48AB"/>
    <w:rsid w:val="002F7F92"/>
    <w:rsid w:val="003011EB"/>
    <w:rsid w:val="0030185F"/>
    <w:rsid w:val="00301F90"/>
    <w:rsid w:val="00304003"/>
    <w:rsid w:val="00306FF6"/>
    <w:rsid w:val="00310725"/>
    <w:rsid w:val="003123D9"/>
    <w:rsid w:val="00313201"/>
    <w:rsid w:val="00313A41"/>
    <w:rsid w:val="0031517E"/>
    <w:rsid w:val="00315C49"/>
    <w:rsid w:val="00316886"/>
    <w:rsid w:val="0031779E"/>
    <w:rsid w:val="00321D33"/>
    <w:rsid w:val="0032214B"/>
    <w:rsid w:val="00322E35"/>
    <w:rsid w:val="00323A9C"/>
    <w:rsid w:val="003263A6"/>
    <w:rsid w:val="00330C81"/>
    <w:rsid w:val="00331CBB"/>
    <w:rsid w:val="00335530"/>
    <w:rsid w:val="0034186A"/>
    <w:rsid w:val="00342EC9"/>
    <w:rsid w:val="00345D7A"/>
    <w:rsid w:val="00345E0E"/>
    <w:rsid w:val="00350B19"/>
    <w:rsid w:val="0035331D"/>
    <w:rsid w:val="00353B9E"/>
    <w:rsid w:val="00354764"/>
    <w:rsid w:val="003577EC"/>
    <w:rsid w:val="003629EB"/>
    <w:rsid w:val="00362D1A"/>
    <w:rsid w:val="003668A1"/>
    <w:rsid w:val="00370F6F"/>
    <w:rsid w:val="00371255"/>
    <w:rsid w:val="00371B4C"/>
    <w:rsid w:val="00371BFE"/>
    <w:rsid w:val="00371F77"/>
    <w:rsid w:val="00372687"/>
    <w:rsid w:val="0037329D"/>
    <w:rsid w:val="00373DA7"/>
    <w:rsid w:val="003775CC"/>
    <w:rsid w:val="0038242D"/>
    <w:rsid w:val="0038427C"/>
    <w:rsid w:val="003857F6"/>
    <w:rsid w:val="00385BBD"/>
    <w:rsid w:val="00385C7B"/>
    <w:rsid w:val="00385E7F"/>
    <w:rsid w:val="00387EA7"/>
    <w:rsid w:val="003903C5"/>
    <w:rsid w:val="00392A74"/>
    <w:rsid w:val="003935C0"/>
    <w:rsid w:val="00397697"/>
    <w:rsid w:val="003A339D"/>
    <w:rsid w:val="003A39B8"/>
    <w:rsid w:val="003A4637"/>
    <w:rsid w:val="003B2350"/>
    <w:rsid w:val="003B3A89"/>
    <w:rsid w:val="003B3B13"/>
    <w:rsid w:val="003B455C"/>
    <w:rsid w:val="003B51A5"/>
    <w:rsid w:val="003B5D7D"/>
    <w:rsid w:val="003C25B9"/>
    <w:rsid w:val="003C2A51"/>
    <w:rsid w:val="003C2AE6"/>
    <w:rsid w:val="003C2E0A"/>
    <w:rsid w:val="003C5635"/>
    <w:rsid w:val="003C5DC7"/>
    <w:rsid w:val="003C70BF"/>
    <w:rsid w:val="003D1235"/>
    <w:rsid w:val="003D1A85"/>
    <w:rsid w:val="003D2691"/>
    <w:rsid w:val="003D2DAC"/>
    <w:rsid w:val="003D34B9"/>
    <w:rsid w:val="003D7D6F"/>
    <w:rsid w:val="003E2B0F"/>
    <w:rsid w:val="003E5A8E"/>
    <w:rsid w:val="003E6575"/>
    <w:rsid w:val="003E697A"/>
    <w:rsid w:val="003F1175"/>
    <w:rsid w:val="003F141B"/>
    <w:rsid w:val="003F246E"/>
    <w:rsid w:val="003F2788"/>
    <w:rsid w:val="003F2C50"/>
    <w:rsid w:val="003F3BA0"/>
    <w:rsid w:val="003F410E"/>
    <w:rsid w:val="003F46A0"/>
    <w:rsid w:val="003F55A1"/>
    <w:rsid w:val="00400FD9"/>
    <w:rsid w:val="00401019"/>
    <w:rsid w:val="004031E2"/>
    <w:rsid w:val="00403846"/>
    <w:rsid w:val="0040480C"/>
    <w:rsid w:val="00404BAA"/>
    <w:rsid w:val="004050C6"/>
    <w:rsid w:val="004051AE"/>
    <w:rsid w:val="0040723C"/>
    <w:rsid w:val="00410F97"/>
    <w:rsid w:val="00411DC3"/>
    <w:rsid w:val="00412BAD"/>
    <w:rsid w:val="004143D3"/>
    <w:rsid w:val="00414CBA"/>
    <w:rsid w:val="004161FB"/>
    <w:rsid w:val="0041745F"/>
    <w:rsid w:val="004200CB"/>
    <w:rsid w:val="00422586"/>
    <w:rsid w:val="0042782A"/>
    <w:rsid w:val="00427E40"/>
    <w:rsid w:val="0043151B"/>
    <w:rsid w:val="00432A97"/>
    <w:rsid w:val="00432DE9"/>
    <w:rsid w:val="004331D5"/>
    <w:rsid w:val="00433B04"/>
    <w:rsid w:val="004345CB"/>
    <w:rsid w:val="00435FE7"/>
    <w:rsid w:val="00440109"/>
    <w:rsid w:val="00440DE5"/>
    <w:rsid w:val="00441386"/>
    <w:rsid w:val="0044188C"/>
    <w:rsid w:val="00444EB0"/>
    <w:rsid w:val="00444F80"/>
    <w:rsid w:val="00445D8C"/>
    <w:rsid w:val="00447E77"/>
    <w:rsid w:val="00452C27"/>
    <w:rsid w:val="0045639D"/>
    <w:rsid w:val="004568FC"/>
    <w:rsid w:val="0046354F"/>
    <w:rsid w:val="00464964"/>
    <w:rsid w:val="004703CC"/>
    <w:rsid w:val="00471BB9"/>
    <w:rsid w:val="00472752"/>
    <w:rsid w:val="00473280"/>
    <w:rsid w:val="00475654"/>
    <w:rsid w:val="004803ED"/>
    <w:rsid w:val="00483CCE"/>
    <w:rsid w:val="00483F68"/>
    <w:rsid w:val="0048468B"/>
    <w:rsid w:val="00484DEB"/>
    <w:rsid w:val="00492759"/>
    <w:rsid w:val="004947B2"/>
    <w:rsid w:val="0049590A"/>
    <w:rsid w:val="00496456"/>
    <w:rsid w:val="004966B5"/>
    <w:rsid w:val="00496B0E"/>
    <w:rsid w:val="00496BC8"/>
    <w:rsid w:val="00497003"/>
    <w:rsid w:val="00497386"/>
    <w:rsid w:val="004A0683"/>
    <w:rsid w:val="004A1621"/>
    <w:rsid w:val="004A2032"/>
    <w:rsid w:val="004A2D27"/>
    <w:rsid w:val="004A3E1C"/>
    <w:rsid w:val="004A4302"/>
    <w:rsid w:val="004A466B"/>
    <w:rsid w:val="004A4B81"/>
    <w:rsid w:val="004A678E"/>
    <w:rsid w:val="004B1030"/>
    <w:rsid w:val="004B1371"/>
    <w:rsid w:val="004B2E46"/>
    <w:rsid w:val="004B5A85"/>
    <w:rsid w:val="004B6C3D"/>
    <w:rsid w:val="004C025A"/>
    <w:rsid w:val="004C0597"/>
    <w:rsid w:val="004C1B1F"/>
    <w:rsid w:val="004C2C84"/>
    <w:rsid w:val="004C4341"/>
    <w:rsid w:val="004C7A80"/>
    <w:rsid w:val="004E1582"/>
    <w:rsid w:val="004E1A55"/>
    <w:rsid w:val="004E2784"/>
    <w:rsid w:val="004E486B"/>
    <w:rsid w:val="004E6EC0"/>
    <w:rsid w:val="004F157D"/>
    <w:rsid w:val="004F2437"/>
    <w:rsid w:val="004F25B2"/>
    <w:rsid w:val="004F2E5E"/>
    <w:rsid w:val="004F340A"/>
    <w:rsid w:val="004F7284"/>
    <w:rsid w:val="00500715"/>
    <w:rsid w:val="00503AF1"/>
    <w:rsid w:val="005040F2"/>
    <w:rsid w:val="00504724"/>
    <w:rsid w:val="005057C5"/>
    <w:rsid w:val="00505E11"/>
    <w:rsid w:val="00505F3B"/>
    <w:rsid w:val="0050750F"/>
    <w:rsid w:val="00510237"/>
    <w:rsid w:val="00510F18"/>
    <w:rsid w:val="005111A0"/>
    <w:rsid w:val="0051279E"/>
    <w:rsid w:val="005129C6"/>
    <w:rsid w:val="005161BD"/>
    <w:rsid w:val="00517A12"/>
    <w:rsid w:val="0052043A"/>
    <w:rsid w:val="005216B0"/>
    <w:rsid w:val="00521C0C"/>
    <w:rsid w:val="0052214B"/>
    <w:rsid w:val="00522F9E"/>
    <w:rsid w:val="005233A4"/>
    <w:rsid w:val="00523857"/>
    <w:rsid w:val="0052730B"/>
    <w:rsid w:val="0052783E"/>
    <w:rsid w:val="005279E9"/>
    <w:rsid w:val="00530420"/>
    <w:rsid w:val="005316E3"/>
    <w:rsid w:val="00537862"/>
    <w:rsid w:val="00537D5E"/>
    <w:rsid w:val="00540A6E"/>
    <w:rsid w:val="00540ED0"/>
    <w:rsid w:val="00541D4A"/>
    <w:rsid w:val="005421D1"/>
    <w:rsid w:val="00542AE2"/>
    <w:rsid w:val="0054440B"/>
    <w:rsid w:val="00544F6C"/>
    <w:rsid w:val="0054570A"/>
    <w:rsid w:val="00546F60"/>
    <w:rsid w:val="005505CA"/>
    <w:rsid w:val="00552A85"/>
    <w:rsid w:val="00552C18"/>
    <w:rsid w:val="00552C88"/>
    <w:rsid w:val="005548EB"/>
    <w:rsid w:val="0055573E"/>
    <w:rsid w:val="00560DBA"/>
    <w:rsid w:val="005614E2"/>
    <w:rsid w:val="005649DD"/>
    <w:rsid w:val="00565887"/>
    <w:rsid w:val="00566BCF"/>
    <w:rsid w:val="00570FB2"/>
    <w:rsid w:val="0057122E"/>
    <w:rsid w:val="0057206D"/>
    <w:rsid w:val="00572B25"/>
    <w:rsid w:val="00572C1B"/>
    <w:rsid w:val="00574785"/>
    <w:rsid w:val="005808DE"/>
    <w:rsid w:val="00580E6D"/>
    <w:rsid w:val="00581479"/>
    <w:rsid w:val="005819CC"/>
    <w:rsid w:val="00582344"/>
    <w:rsid w:val="005830DF"/>
    <w:rsid w:val="0058467E"/>
    <w:rsid w:val="005848C1"/>
    <w:rsid w:val="00585371"/>
    <w:rsid w:val="005855FB"/>
    <w:rsid w:val="00587F3C"/>
    <w:rsid w:val="00592243"/>
    <w:rsid w:val="00592887"/>
    <w:rsid w:val="0059294F"/>
    <w:rsid w:val="00594753"/>
    <w:rsid w:val="00595912"/>
    <w:rsid w:val="00597227"/>
    <w:rsid w:val="005A0024"/>
    <w:rsid w:val="005A1499"/>
    <w:rsid w:val="005A1743"/>
    <w:rsid w:val="005A21F6"/>
    <w:rsid w:val="005A2F1D"/>
    <w:rsid w:val="005A4909"/>
    <w:rsid w:val="005A4CB1"/>
    <w:rsid w:val="005A55D1"/>
    <w:rsid w:val="005A5A36"/>
    <w:rsid w:val="005A5E9E"/>
    <w:rsid w:val="005B0068"/>
    <w:rsid w:val="005B2EF5"/>
    <w:rsid w:val="005B37A9"/>
    <w:rsid w:val="005B7A94"/>
    <w:rsid w:val="005C08B7"/>
    <w:rsid w:val="005C0A62"/>
    <w:rsid w:val="005C0CA9"/>
    <w:rsid w:val="005C178A"/>
    <w:rsid w:val="005C31F5"/>
    <w:rsid w:val="005C37EE"/>
    <w:rsid w:val="005C5CCF"/>
    <w:rsid w:val="005C69D1"/>
    <w:rsid w:val="005C6F42"/>
    <w:rsid w:val="005D060C"/>
    <w:rsid w:val="005D0674"/>
    <w:rsid w:val="005D20FC"/>
    <w:rsid w:val="005D2409"/>
    <w:rsid w:val="005D2A4D"/>
    <w:rsid w:val="005D2CB1"/>
    <w:rsid w:val="005D34C5"/>
    <w:rsid w:val="005D5987"/>
    <w:rsid w:val="005D6EBB"/>
    <w:rsid w:val="005D79F6"/>
    <w:rsid w:val="005E0ACD"/>
    <w:rsid w:val="005E0DF8"/>
    <w:rsid w:val="005E15A1"/>
    <w:rsid w:val="005E1EF8"/>
    <w:rsid w:val="005E40B1"/>
    <w:rsid w:val="005E6377"/>
    <w:rsid w:val="005E6574"/>
    <w:rsid w:val="005E79A3"/>
    <w:rsid w:val="005F1497"/>
    <w:rsid w:val="005F22DB"/>
    <w:rsid w:val="005F2E73"/>
    <w:rsid w:val="005F4660"/>
    <w:rsid w:val="005F4B42"/>
    <w:rsid w:val="005F5156"/>
    <w:rsid w:val="005F53D5"/>
    <w:rsid w:val="00601AAC"/>
    <w:rsid w:val="00603D5C"/>
    <w:rsid w:val="006046FA"/>
    <w:rsid w:val="00605677"/>
    <w:rsid w:val="00606A97"/>
    <w:rsid w:val="0060769C"/>
    <w:rsid w:val="006101DD"/>
    <w:rsid w:val="0061494D"/>
    <w:rsid w:val="00615157"/>
    <w:rsid w:val="006168F6"/>
    <w:rsid w:val="006202A8"/>
    <w:rsid w:val="00620DE8"/>
    <w:rsid w:val="00623A43"/>
    <w:rsid w:val="00623FA1"/>
    <w:rsid w:val="00625554"/>
    <w:rsid w:val="0062578D"/>
    <w:rsid w:val="00626444"/>
    <w:rsid w:val="00626F2C"/>
    <w:rsid w:val="00627C0A"/>
    <w:rsid w:val="006313CC"/>
    <w:rsid w:val="006335FA"/>
    <w:rsid w:val="00636168"/>
    <w:rsid w:val="00637D45"/>
    <w:rsid w:val="006400B4"/>
    <w:rsid w:val="00640422"/>
    <w:rsid w:val="00640519"/>
    <w:rsid w:val="006410AB"/>
    <w:rsid w:val="00642602"/>
    <w:rsid w:val="0064411A"/>
    <w:rsid w:val="006449ED"/>
    <w:rsid w:val="00644FFE"/>
    <w:rsid w:val="00645B5B"/>
    <w:rsid w:val="0064629D"/>
    <w:rsid w:val="00650A13"/>
    <w:rsid w:val="0065330E"/>
    <w:rsid w:val="00653825"/>
    <w:rsid w:val="00654721"/>
    <w:rsid w:val="00656D71"/>
    <w:rsid w:val="00661516"/>
    <w:rsid w:val="00661626"/>
    <w:rsid w:val="006618FD"/>
    <w:rsid w:val="0066348D"/>
    <w:rsid w:val="00663C96"/>
    <w:rsid w:val="00664FB8"/>
    <w:rsid w:val="0066703C"/>
    <w:rsid w:val="00667259"/>
    <w:rsid w:val="00667A9B"/>
    <w:rsid w:val="00670584"/>
    <w:rsid w:val="00670FA9"/>
    <w:rsid w:val="006728BA"/>
    <w:rsid w:val="00673830"/>
    <w:rsid w:val="00674536"/>
    <w:rsid w:val="00676023"/>
    <w:rsid w:val="006777B8"/>
    <w:rsid w:val="00680876"/>
    <w:rsid w:val="0068151E"/>
    <w:rsid w:val="00681597"/>
    <w:rsid w:val="00684EC4"/>
    <w:rsid w:val="00685EFC"/>
    <w:rsid w:val="00686325"/>
    <w:rsid w:val="00686591"/>
    <w:rsid w:val="0068746E"/>
    <w:rsid w:val="00687BF8"/>
    <w:rsid w:val="0069080C"/>
    <w:rsid w:val="0069149C"/>
    <w:rsid w:val="0069215B"/>
    <w:rsid w:val="00694034"/>
    <w:rsid w:val="006940C8"/>
    <w:rsid w:val="00695429"/>
    <w:rsid w:val="00696941"/>
    <w:rsid w:val="00696D26"/>
    <w:rsid w:val="006A20A7"/>
    <w:rsid w:val="006A3391"/>
    <w:rsid w:val="006A562F"/>
    <w:rsid w:val="006A731D"/>
    <w:rsid w:val="006B0F3F"/>
    <w:rsid w:val="006B1AA9"/>
    <w:rsid w:val="006B29DF"/>
    <w:rsid w:val="006B4781"/>
    <w:rsid w:val="006B49E7"/>
    <w:rsid w:val="006B69C4"/>
    <w:rsid w:val="006B69CD"/>
    <w:rsid w:val="006B6CB0"/>
    <w:rsid w:val="006C3EE4"/>
    <w:rsid w:val="006C4DFE"/>
    <w:rsid w:val="006C538A"/>
    <w:rsid w:val="006C6589"/>
    <w:rsid w:val="006D1214"/>
    <w:rsid w:val="006D2FDA"/>
    <w:rsid w:val="006D3BB1"/>
    <w:rsid w:val="006D3CE1"/>
    <w:rsid w:val="006D4762"/>
    <w:rsid w:val="006D5974"/>
    <w:rsid w:val="006D6711"/>
    <w:rsid w:val="006D6FD9"/>
    <w:rsid w:val="006E2090"/>
    <w:rsid w:val="006E2D74"/>
    <w:rsid w:val="006E452A"/>
    <w:rsid w:val="006E4630"/>
    <w:rsid w:val="006E70D8"/>
    <w:rsid w:val="006F0365"/>
    <w:rsid w:val="006F0AC7"/>
    <w:rsid w:val="006F2AF9"/>
    <w:rsid w:val="006F2BFB"/>
    <w:rsid w:val="006F5A6C"/>
    <w:rsid w:val="006F6EDA"/>
    <w:rsid w:val="00700246"/>
    <w:rsid w:val="00700F6A"/>
    <w:rsid w:val="00701AD3"/>
    <w:rsid w:val="00704BE6"/>
    <w:rsid w:val="00705B9F"/>
    <w:rsid w:val="0070766C"/>
    <w:rsid w:val="0071485D"/>
    <w:rsid w:val="007166D5"/>
    <w:rsid w:val="00717C3D"/>
    <w:rsid w:val="007209B1"/>
    <w:rsid w:val="00721D70"/>
    <w:rsid w:val="00725498"/>
    <w:rsid w:val="00725ADF"/>
    <w:rsid w:val="00726EA8"/>
    <w:rsid w:val="007271E5"/>
    <w:rsid w:val="007307AB"/>
    <w:rsid w:val="00730E1C"/>
    <w:rsid w:val="00732F3F"/>
    <w:rsid w:val="0073543E"/>
    <w:rsid w:val="00736A15"/>
    <w:rsid w:val="00737E3D"/>
    <w:rsid w:val="00740564"/>
    <w:rsid w:val="00741956"/>
    <w:rsid w:val="00742098"/>
    <w:rsid w:val="00742817"/>
    <w:rsid w:val="00742F42"/>
    <w:rsid w:val="00745C05"/>
    <w:rsid w:val="007468FF"/>
    <w:rsid w:val="007506D5"/>
    <w:rsid w:val="007507E3"/>
    <w:rsid w:val="00753E1B"/>
    <w:rsid w:val="00754333"/>
    <w:rsid w:val="007549BA"/>
    <w:rsid w:val="00755C81"/>
    <w:rsid w:val="00757662"/>
    <w:rsid w:val="0075785F"/>
    <w:rsid w:val="00761FE5"/>
    <w:rsid w:val="00763C8C"/>
    <w:rsid w:val="00765684"/>
    <w:rsid w:val="007679D0"/>
    <w:rsid w:val="0077000F"/>
    <w:rsid w:val="00770CC9"/>
    <w:rsid w:val="00771672"/>
    <w:rsid w:val="007720B4"/>
    <w:rsid w:val="0077221C"/>
    <w:rsid w:val="00772EA1"/>
    <w:rsid w:val="00772F1F"/>
    <w:rsid w:val="007730AD"/>
    <w:rsid w:val="00775819"/>
    <w:rsid w:val="0077650B"/>
    <w:rsid w:val="007773CB"/>
    <w:rsid w:val="00782C68"/>
    <w:rsid w:val="0078626C"/>
    <w:rsid w:val="0079099F"/>
    <w:rsid w:val="00790F53"/>
    <w:rsid w:val="00791CF1"/>
    <w:rsid w:val="00796D9F"/>
    <w:rsid w:val="007A17F5"/>
    <w:rsid w:val="007A29CC"/>
    <w:rsid w:val="007A2CA0"/>
    <w:rsid w:val="007A488D"/>
    <w:rsid w:val="007A4A5D"/>
    <w:rsid w:val="007A5A15"/>
    <w:rsid w:val="007A5CF0"/>
    <w:rsid w:val="007A6287"/>
    <w:rsid w:val="007A73E8"/>
    <w:rsid w:val="007B0951"/>
    <w:rsid w:val="007B1787"/>
    <w:rsid w:val="007B2004"/>
    <w:rsid w:val="007B2984"/>
    <w:rsid w:val="007B4486"/>
    <w:rsid w:val="007B5EDB"/>
    <w:rsid w:val="007B7E20"/>
    <w:rsid w:val="007C2298"/>
    <w:rsid w:val="007C272F"/>
    <w:rsid w:val="007C2F27"/>
    <w:rsid w:val="007C401C"/>
    <w:rsid w:val="007C4C89"/>
    <w:rsid w:val="007C4F5D"/>
    <w:rsid w:val="007C582F"/>
    <w:rsid w:val="007C5A7E"/>
    <w:rsid w:val="007C5FB1"/>
    <w:rsid w:val="007D2B8A"/>
    <w:rsid w:val="007D334D"/>
    <w:rsid w:val="007D34A2"/>
    <w:rsid w:val="007D3545"/>
    <w:rsid w:val="007D3AB9"/>
    <w:rsid w:val="007D3E89"/>
    <w:rsid w:val="007D4269"/>
    <w:rsid w:val="007D44A4"/>
    <w:rsid w:val="007D6A65"/>
    <w:rsid w:val="007D6CAF"/>
    <w:rsid w:val="007D7CDE"/>
    <w:rsid w:val="007E0420"/>
    <w:rsid w:val="007E0759"/>
    <w:rsid w:val="007E0B4B"/>
    <w:rsid w:val="007E3CBC"/>
    <w:rsid w:val="007E71B4"/>
    <w:rsid w:val="007F0671"/>
    <w:rsid w:val="007F13A8"/>
    <w:rsid w:val="007F2B6D"/>
    <w:rsid w:val="007F57F1"/>
    <w:rsid w:val="007F5AE0"/>
    <w:rsid w:val="007F6C26"/>
    <w:rsid w:val="008011E3"/>
    <w:rsid w:val="00801CCE"/>
    <w:rsid w:val="00802F75"/>
    <w:rsid w:val="00806B87"/>
    <w:rsid w:val="00811400"/>
    <w:rsid w:val="008116D2"/>
    <w:rsid w:val="00815923"/>
    <w:rsid w:val="00816034"/>
    <w:rsid w:val="00816B50"/>
    <w:rsid w:val="00821FEF"/>
    <w:rsid w:val="00822F33"/>
    <w:rsid w:val="00824A54"/>
    <w:rsid w:val="00826828"/>
    <w:rsid w:val="008275B3"/>
    <w:rsid w:val="008304FC"/>
    <w:rsid w:val="00832287"/>
    <w:rsid w:val="00834702"/>
    <w:rsid w:val="00834BD5"/>
    <w:rsid w:val="00836B31"/>
    <w:rsid w:val="00837DFF"/>
    <w:rsid w:val="0084023B"/>
    <w:rsid w:val="00841948"/>
    <w:rsid w:val="008447F2"/>
    <w:rsid w:val="00852658"/>
    <w:rsid w:val="008528AB"/>
    <w:rsid w:val="00852CE8"/>
    <w:rsid w:val="00854528"/>
    <w:rsid w:val="0086068D"/>
    <w:rsid w:val="008620A0"/>
    <w:rsid w:val="00866DDB"/>
    <w:rsid w:val="00867D68"/>
    <w:rsid w:val="00870099"/>
    <w:rsid w:val="00870E4C"/>
    <w:rsid w:val="0087366E"/>
    <w:rsid w:val="0087376E"/>
    <w:rsid w:val="008758C2"/>
    <w:rsid w:val="00876016"/>
    <w:rsid w:val="00876470"/>
    <w:rsid w:val="00880491"/>
    <w:rsid w:val="00880513"/>
    <w:rsid w:val="00880998"/>
    <w:rsid w:val="00880A03"/>
    <w:rsid w:val="00883603"/>
    <w:rsid w:val="00884163"/>
    <w:rsid w:val="00884F13"/>
    <w:rsid w:val="0088512A"/>
    <w:rsid w:val="008867B2"/>
    <w:rsid w:val="00890531"/>
    <w:rsid w:val="008911BC"/>
    <w:rsid w:val="008911FE"/>
    <w:rsid w:val="008922F3"/>
    <w:rsid w:val="00894298"/>
    <w:rsid w:val="0089435B"/>
    <w:rsid w:val="00896070"/>
    <w:rsid w:val="008A0ACD"/>
    <w:rsid w:val="008A2D38"/>
    <w:rsid w:val="008A5202"/>
    <w:rsid w:val="008A557A"/>
    <w:rsid w:val="008A71F6"/>
    <w:rsid w:val="008A769A"/>
    <w:rsid w:val="008A782D"/>
    <w:rsid w:val="008B375D"/>
    <w:rsid w:val="008B3A22"/>
    <w:rsid w:val="008B4092"/>
    <w:rsid w:val="008B4167"/>
    <w:rsid w:val="008B4B50"/>
    <w:rsid w:val="008C0E53"/>
    <w:rsid w:val="008C6006"/>
    <w:rsid w:val="008C6C2E"/>
    <w:rsid w:val="008D0253"/>
    <w:rsid w:val="008D0EB8"/>
    <w:rsid w:val="008D17F5"/>
    <w:rsid w:val="008D1965"/>
    <w:rsid w:val="008D1F47"/>
    <w:rsid w:val="008D476C"/>
    <w:rsid w:val="008D79C2"/>
    <w:rsid w:val="008E19A9"/>
    <w:rsid w:val="008E22EE"/>
    <w:rsid w:val="008E34CE"/>
    <w:rsid w:val="008E3869"/>
    <w:rsid w:val="008E45E3"/>
    <w:rsid w:val="008E6D67"/>
    <w:rsid w:val="008E7F5B"/>
    <w:rsid w:val="008F42FB"/>
    <w:rsid w:val="008F686E"/>
    <w:rsid w:val="008F7020"/>
    <w:rsid w:val="009004CA"/>
    <w:rsid w:val="00901CE7"/>
    <w:rsid w:val="00907290"/>
    <w:rsid w:val="00911A34"/>
    <w:rsid w:val="00913453"/>
    <w:rsid w:val="00913A29"/>
    <w:rsid w:val="00914D70"/>
    <w:rsid w:val="00916645"/>
    <w:rsid w:val="00916724"/>
    <w:rsid w:val="00916798"/>
    <w:rsid w:val="00916E2B"/>
    <w:rsid w:val="009178F4"/>
    <w:rsid w:val="00920777"/>
    <w:rsid w:val="00920ABC"/>
    <w:rsid w:val="009212D2"/>
    <w:rsid w:val="00923B25"/>
    <w:rsid w:val="0092463B"/>
    <w:rsid w:val="00924886"/>
    <w:rsid w:val="00930717"/>
    <w:rsid w:val="00930D10"/>
    <w:rsid w:val="00930DCC"/>
    <w:rsid w:val="0093440D"/>
    <w:rsid w:val="00942284"/>
    <w:rsid w:val="00942913"/>
    <w:rsid w:val="00945B91"/>
    <w:rsid w:val="009471AD"/>
    <w:rsid w:val="009503C3"/>
    <w:rsid w:val="00950D52"/>
    <w:rsid w:val="00951CD2"/>
    <w:rsid w:val="00951DC1"/>
    <w:rsid w:val="009538CA"/>
    <w:rsid w:val="00953BFD"/>
    <w:rsid w:val="00956A8D"/>
    <w:rsid w:val="0096028E"/>
    <w:rsid w:val="00960E09"/>
    <w:rsid w:val="00964947"/>
    <w:rsid w:val="00966098"/>
    <w:rsid w:val="00966D92"/>
    <w:rsid w:val="00967B3D"/>
    <w:rsid w:val="009704F1"/>
    <w:rsid w:val="00970FD5"/>
    <w:rsid w:val="009711DE"/>
    <w:rsid w:val="009712C3"/>
    <w:rsid w:val="00971BBC"/>
    <w:rsid w:val="009749C2"/>
    <w:rsid w:val="009756E1"/>
    <w:rsid w:val="009757C7"/>
    <w:rsid w:val="009762DB"/>
    <w:rsid w:val="00981ED2"/>
    <w:rsid w:val="0098737D"/>
    <w:rsid w:val="009874FE"/>
    <w:rsid w:val="00987FA8"/>
    <w:rsid w:val="009933A4"/>
    <w:rsid w:val="009948B3"/>
    <w:rsid w:val="0099702E"/>
    <w:rsid w:val="009A10F8"/>
    <w:rsid w:val="009A17CA"/>
    <w:rsid w:val="009A4929"/>
    <w:rsid w:val="009A5D98"/>
    <w:rsid w:val="009A75C2"/>
    <w:rsid w:val="009B23CE"/>
    <w:rsid w:val="009B3111"/>
    <w:rsid w:val="009B6C5C"/>
    <w:rsid w:val="009C1B04"/>
    <w:rsid w:val="009C1FB8"/>
    <w:rsid w:val="009C2C2D"/>
    <w:rsid w:val="009C2D85"/>
    <w:rsid w:val="009C34D1"/>
    <w:rsid w:val="009C3659"/>
    <w:rsid w:val="009C48FE"/>
    <w:rsid w:val="009C77DD"/>
    <w:rsid w:val="009D0C61"/>
    <w:rsid w:val="009D1B79"/>
    <w:rsid w:val="009D21DE"/>
    <w:rsid w:val="009D2EA6"/>
    <w:rsid w:val="009D3146"/>
    <w:rsid w:val="009D43E2"/>
    <w:rsid w:val="009D52C0"/>
    <w:rsid w:val="009D5C97"/>
    <w:rsid w:val="009D5E35"/>
    <w:rsid w:val="009D6606"/>
    <w:rsid w:val="009E0030"/>
    <w:rsid w:val="009E0CC0"/>
    <w:rsid w:val="009E1116"/>
    <w:rsid w:val="009E2D90"/>
    <w:rsid w:val="009E2E8C"/>
    <w:rsid w:val="009E335D"/>
    <w:rsid w:val="009E53A2"/>
    <w:rsid w:val="009F1CEF"/>
    <w:rsid w:val="009F2DF0"/>
    <w:rsid w:val="009F319B"/>
    <w:rsid w:val="009F4632"/>
    <w:rsid w:val="009F5720"/>
    <w:rsid w:val="00A04DD2"/>
    <w:rsid w:val="00A0552C"/>
    <w:rsid w:val="00A10116"/>
    <w:rsid w:val="00A1084E"/>
    <w:rsid w:val="00A112C9"/>
    <w:rsid w:val="00A1155C"/>
    <w:rsid w:val="00A115ED"/>
    <w:rsid w:val="00A16BD8"/>
    <w:rsid w:val="00A22379"/>
    <w:rsid w:val="00A23E1E"/>
    <w:rsid w:val="00A24353"/>
    <w:rsid w:val="00A27192"/>
    <w:rsid w:val="00A274B6"/>
    <w:rsid w:val="00A300A2"/>
    <w:rsid w:val="00A317F8"/>
    <w:rsid w:val="00A330F1"/>
    <w:rsid w:val="00A3362C"/>
    <w:rsid w:val="00A34B5E"/>
    <w:rsid w:val="00A3517C"/>
    <w:rsid w:val="00A35F36"/>
    <w:rsid w:val="00A36A8A"/>
    <w:rsid w:val="00A37822"/>
    <w:rsid w:val="00A37D6F"/>
    <w:rsid w:val="00A42F8D"/>
    <w:rsid w:val="00A43BAF"/>
    <w:rsid w:val="00A44303"/>
    <w:rsid w:val="00A465AE"/>
    <w:rsid w:val="00A50B71"/>
    <w:rsid w:val="00A520DD"/>
    <w:rsid w:val="00A540C7"/>
    <w:rsid w:val="00A543EA"/>
    <w:rsid w:val="00A54A63"/>
    <w:rsid w:val="00A60FA3"/>
    <w:rsid w:val="00A6288C"/>
    <w:rsid w:val="00A67CA4"/>
    <w:rsid w:val="00A71CA7"/>
    <w:rsid w:val="00A75C55"/>
    <w:rsid w:val="00A7709A"/>
    <w:rsid w:val="00A805AC"/>
    <w:rsid w:val="00A80FA6"/>
    <w:rsid w:val="00A81D24"/>
    <w:rsid w:val="00A90AAA"/>
    <w:rsid w:val="00A92D52"/>
    <w:rsid w:val="00A93640"/>
    <w:rsid w:val="00A94045"/>
    <w:rsid w:val="00A96D36"/>
    <w:rsid w:val="00A96E80"/>
    <w:rsid w:val="00A97AB0"/>
    <w:rsid w:val="00AA0273"/>
    <w:rsid w:val="00AA0A87"/>
    <w:rsid w:val="00AA4DF2"/>
    <w:rsid w:val="00AA5E44"/>
    <w:rsid w:val="00AA7E63"/>
    <w:rsid w:val="00AB0363"/>
    <w:rsid w:val="00AB1369"/>
    <w:rsid w:val="00AB1BE9"/>
    <w:rsid w:val="00AB1E26"/>
    <w:rsid w:val="00AB3DF1"/>
    <w:rsid w:val="00AB3E43"/>
    <w:rsid w:val="00AB5825"/>
    <w:rsid w:val="00AB6070"/>
    <w:rsid w:val="00AB60B4"/>
    <w:rsid w:val="00AC1557"/>
    <w:rsid w:val="00AC29DC"/>
    <w:rsid w:val="00AC690A"/>
    <w:rsid w:val="00AD3238"/>
    <w:rsid w:val="00AD3E58"/>
    <w:rsid w:val="00AD66F3"/>
    <w:rsid w:val="00AE03C8"/>
    <w:rsid w:val="00AE1083"/>
    <w:rsid w:val="00AE2BBF"/>
    <w:rsid w:val="00AE48B2"/>
    <w:rsid w:val="00AE60CB"/>
    <w:rsid w:val="00AE6C29"/>
    <w:rsid w:val="00AE6E7A"/>
    <w:rsid w:val="00AF0303"/>
    <w:rsid w:val="00AF0C95"/>
    <w:rsid w:val="00AF0CB2"/>
    <w:rsid w:val="00AF34B8"/>
    <w:rsid w:val="00AF48FE"/>
    <w:rsid w:val="00AF6402"/>
    <w:rsid w:val="00AF7821"/>
    <w:rsid w:val="00AF7B55"/>
    <w:rsid w:val="00B00A2D"/>
    <w:rsid w:val="00B0215B"/>
    <w:rsid w:val="00B0257E"/>
    <w:rsid w:val="00B06AD4"/>
    <w:rsid w:val="00B06B6C"/>
    <w:rsid w:val="00B07E05"/>
    <w:rsid w:val="00B12040"/>
    <w:rsid w:val="00B12827"/>
    <w:rsid w:val="00B12E0F"/>
    <w:rsid w:val="00B14C5A"/>
    <w:rsid w:val="00B15AF4"/>
    <w:rsid w:val="00B16330"/>
    <w:rsid w:val="00B17100"/>
    <w:rsid w:val="00B20306"/>
    <w:rsid w:val="00B2198D"/>
    <w:rsid w:val="00B233C1"/>
    <w:rsid w:val="00B26CE3"/>
    <w:rsid w:val="00B274B2"/>
    <w:rsid w:val="00B3305A"/>
    <w:rsid w:val="00B335DB"/>
    <w:rsid w:val="00B33654"/>
    <w:rsid w:val="00B349D0"/>
    <w:rsid w:val="00B36F84"/>
    <w:rsid w:val="00B36FA6"/>
    <w:rsid w:val="00B37DEC"/>
    <w:rsid w:val="00B40D9E"/>
    <w:rsid w:val="00B42DFB"/>
    <w:rsid w:val="00B4316C"/>
    <w:rsid w:val="00B44F00"/>
    <w:rsid w:val="00B45B45"/>
    <w:rsid w:val="00B45ED5"/>
    <w:rsid w:val="00B525D8"/>
    <w:rsid w:val="00B53261"/>
    <w:rsid w:val="00B535F7"/>
    <w:rsid w:val="00B539DA"/>
    <w:rsid w:val="00B53BED"/>
    <w:rsid w:val="00B54BD7"/>
    <w:rsid w:val="00B56A00"/>
    <w:rsid w:val="00B624CD"/>
    <w:rsid w:val="00B6347B"/>
    <w:rsid w:val="00B63F59"/>
    <w:rsid w:val="00B64D38"/>
    <w:rsid w:val="00B64DD4"/>
    <w:rsid w:val="00B6505B"/>
    <w:rsid w:val="00B65651"/>
    <w:rsid w:val="00B657C6"/>
    <w:rsid w:val="00B6689F"/>
    <w:rsid w:val="00B70E72"/>
    <w:rsid w:val="00B72BA3"/>
    <w:rsid w:val="00B75195"/>
    <w:rsid w:val="00B7700A"/>
    <w:rsid w:val="00B7719D"/>
    <w:rsid w:val="00B806C7"/>
    <w:rsid w:val="00B80759"/>
    <w:rsid w:val="00B81A64"/>
    <w:rsid w:val="00B8200A"/>
    <w:rsid w:val="00B82C7C"/>
    <w:rsid w:val="00B835F7"/>
    <w:rsid w:val="00B862F0"/>
    <w:rsid w:val="00B8796D"/>
    <w:rsid w:val="00B9066E"/>
    <w:rsid w:val="00B90AAC"/>
    <w:rsid w:val="00B90F9F"/>
    <w:rsid w:val="00B91C32"/>
    <w:rsid w:val="00B91EE8"/>
    <w:rsid w:val="00B93E45"/>
    <w:rsid w:val="00B952F6"/>
    <w:rsid w:val="00B96A4B"/>
    <w:rsid w:val="00BA06FF"/>
    <w:rsid w:val="00BA0E12"/>
    <w:rsid w:val="00BA1BFF"/>
    <w:rsid w:val="00BA29ED"/>
    <w:rsid w:val="00BA4AA8"/>
    <w:rsid w:val="00BA5FD1"/>
    <w:rsid w:val="00BA6733"/>
    <w:rsid w:val="00BA6B87"/>
    <w:rsid w:val="00BA7056"/>
    <w:rsid w:val="00BB021C"/>
    <w:rsid w:val="00BB0B18"/>
    <w:rsid w:val="00BB197C"/>
    <w:rsid w:val="00BB2828"/>
    <w:rsid w:val="00BB6160"/>
    <w:rsid w:val="00BB7862"/>
    <w:rsid w:val="00BC14AD"/>
    <w:rsid w:val="00BC1D9B"/>
    <w:rsid w:val="00BC6BE1"/>
    <w:rsid w:val="00BC72F8"/>
    <w:rsid w:val="00BC73B7"/>
    <w:rsid w:val="00BD06AC"/>
    <w:rsid w:val="00BD2299"/>
    <w:rsid w:val="00BD22DF"/>
    <w:rsid w:val="00BD39BA"/>
    <w:rsid w:val="00BD51B3"/>
    <w:rsid w:val="00BD5634"/>
    <w:rsid w:val="00BD6C01"/>
    <w:rsid w:val="00BE36BB"/>
    <w:rsid w:val="00BE4B23"/>
    <w:rsid w:val="00BF0A7B"/>
    <w:rsid w:val="00BF1123"/>
    <w:rsid w:val="00BF3CDA"/>
    <w:rsid w:val="00BF458F"/>
    <w:rsid w:val="00BF4D9F"/>
    <w:rsid w:val="00BF4EA4"/>
    <w:rsid w:val="00BF55A5"/>
    <w:rsid w:val="00C02735"/>
    <w:rsid w:val="00C029BA"/>
    <w:rsid w:val="00C02FF6"/>
    <w:rsid w:val="00C035D1"/>
    <w:rsid w:val="00C03FB6"/>
    <w:rsid w:val="00C0410E"/>
    <w:rsid w:val="00C04332"/>
    <w:rsid w:val="00C04C81"/>
    <w:rsid w:val="00C04E11"/>
    <w:rsid w:val="00C04E6E"/>
    <w:rsid w:val="00C07708"/>
    <w:rsid w:val="00C10536"/>
    <w:rsid w:val="00C109F5"/>
    <w:rsid w:val="00C110CA"/>
    <w:rsid w:val="00C16DA0"/>
    <w:rsid w:val="00C20503"/>
    <w:rsid w:val="00C21DE1"/>
    <w:rsid w:val="00C231A8"/>
    <w:rsid w:val="00C24D99"/>
    <w:rsid w:val="00C2638B"/>
    <w:rsid w:val="00C31230"/>
    <w:rsid w:val="00C31F73"/>
    <w:rsid w:val="00C329E9"/>
    <w:rsid w:val="00C32B01"/>
    <w:rsid w:val="00C3381C"/>
    <w:rsid w:val="00C34BB9"/>
    <w:rsid w:val="00C3636B"/>
    <w:rsid w:val="00C36E61"/>
    <w:rsid w:val="00C37946"/>
    <w:rsid w:val="00C37C35"/>
    <w:rsid w:val="00C42226"/>
    <w:rsid w:val="00C44791"/>
    <w:rsid w:val="00C45CF9"/>
    <w:rsid w:val="00C46F16"/>
    <w:rsid w:val="00C50C96"/>
    <w:rsid w:val="00C50ECD"/>
    <w:rsid w:val="00C53666"/>
    <w:rsid w:val="00C53C2A"/>
    <w:rsid w:val="00C53D30"/>
    <w:rsid w:val="00C54914"/>
    <w:rsid w:val="00C5529B"/>
    <w:rsid w:val="00C56359"/>
    <w:rsid w:val="00C570D1"/>
    <w:rsid w:val="00C5758A"/>
    <w:rsid w:val="00C607DD"/>
    <w:rsid w:val="00C610A8"/>
    <w:rsid w:val="00C62E6B"/>
    <w:rsid w:val="00C64854"/>
    <w:rsid w:val="00C65A88"/>
    <w:rsid w:val="00C66DC0"/>
    <w:rsid w:val="00C706D9"/>
    <w:rsid w:val="00C7079B"/>
    <w:rsid w:val="00C720DE"/>
    <w:rsid w:val="00C72134"/>
    <w:rsid w:val="00C72478"/>
    <w:rsid w:val="00C726FA"/>
    <w:rsid w:val="00C72F7A"/>
    <w:rsid w:val="00C74248"/>
    <w:rsid w:val="00C756CA"/>
    <w:rsid w:val="00C7723F"/>
    <w:rsid w:val="00C807AF"/>
    <w:rsid w:val="00C808F2"/>
    <w:rsid w:val="00C81FC3"/>
    <w:rsid w:val="00C8205B"/>
    <w:rsid w:val="00C823D7"/>
    <w:rsid w:val="00C82A6F"/>
    <w:rsid w:val="00C841B9"/>
    <w:rsid w:val="00C86960"/>
    <w:rsid w:val="00C95BDF"/>
    <w:rsid w:val="00C9681E"/>
    <w:rsid w:val="00C96EEC"/>
    <w:rsid w:val="00CA1222"/>
    <w:rsid w:val="00CA15E1"/>
    <w:rsid w:val="00CA1F14"/>
    <w:rsid w:val="00CA4A01"/>
    <w:rsid w:val="00CA4AC3"/>
    <w:rsid w:val="00CA61D0"/>
    <w:rsid w:val="00CA7F55"/>
    <w:rsid w:val="00CB02CE"/>
    <w:rsid w:val="00CB1383"/>
    <w:rsid w:val="00CB1E35"/>
    <w:rsid w:val="00CB2789"/>
    <w:rsid w:val="00CB3458"/>
    <w:rsid w:val="00CB4487"/>
    <w:rsid w:val="00CB5A4A"/>
    <w:rsid w:val="00CB5C8D"/>
    <w:rsid w:val="00CB5E2F"/>
    <w:rsid w:val="00CC0109"/>
    <w:rsid w:val="00CC1ED9"/>
    <w:rsid w:val="00CC27F9"/>
    <w:rsid w:val="00CC3DA9"/>
    <w:rsid w:val="00CC677A"/>
    <w:rsid w:val="00CD01E2"/>
    <w:rsid w:val="00CD0B94"/>
    <w:rsid w:val="00CD2EC8"/>
    <w:rsid w:val="00CD3C59"/>
    <w:rsid w:val="00CD5C7A"/>
    <w:rsid w:val="00CD5E59"/>
    <w:rsid w:val="00CD6144"/>
    <w:rsid w:val="00CD6421"/>
    <w:rsid w:val="00CD6AA2"/>
    <w:rsid w:val="00CE29EB"/>
    <w:rsid w:val="00CE2B54"/>
    <w:rsid w:val="00CE306A"/>
    <w:rsid w:val="00CE3D7C"/>
    <w:rsid w:val="00CE6830"/>
    <w:rsid w:val="00CE6845"/>
    <w:rsid w:val="00CE7432"/>
    <w:rsid w:val="00CF0CDC"/>
    <w:rsid w:val="00CF18DF"/>
    <w:rsid w:val="00CF2140"/>
    <w:rsid w:val="00CF395D"/>
    <w:rsid w:val="00CF3BF4"/>
    <w:rsid w:val="00CF538C"/>
    <w:rsid w:val="00CF56D3"/>
    <w:rsid w:val="00CF6D0E"/>
    <w:rsid w:val="00D00211"/>
    <w:rsid w:val="00D00ED1"/>
    <w:rsid w:val="00D00EDE"/>
    <w:rsid w:val="00D02A5E"/>
    <w:rsid w:val="00D03120"/>
    <w:rsid w:val="00D052F3"/>
    <w:rsid w:val="00D07A95"/>
    <w:rsid w:val="00D10820"/>
    <w:rsid w:val="00D112A4"/>
    <w:rsid w:val="00D12261"/>
    <w:rsid w:val="00D1230A"/>
    <w:rsid w:val="00D12BFF"/>
    <w:rsid w:val="00D149A9"/>
    <w:rsid w:val="00D15AC9"/>
    <w:rsid w:val="00D21DBB"/>
    <w:rsid w:val="00D22ED8"/>
    <w:rsid w:val="00D231FF"/>
    <w:rsid w:val="00D24C34"/>
    <w:rsid w:val="00D25542"/>
    <w:rsid w:val="00D26B57"/>
    <w:rsid w:val="00D30220"/>
    <w:rsid w:val="00D314A3"/>
    <w:rsid w:val="00D33A09"/>
    <w:rsid w:val="00D33C83"/>
    <w:rsid w:val="00D33E83"/>
    <w:rsid w:val="00D346A1"/>
    <w:rsid w:val="00D350FB"/>
    <w:rsid w:val="00D35449"/>
    <w:rsid w:val="00D36AD1"/>
    <w:rsid w:val="00D37F12"/>
    <w:rsid w:val="00D41A96"/>
    <w:rsid w:val="00D44484"/>
    <w:rsid w:val="00D44FCE"/>
    <w:rsid w:val="00D4631B"/>
    <w:rsid w:val="00D47453"/>
    <w:rsid w:val="00D47CA6"/>
    <w:rsid w:val="00D51A46"/>
    <w:rsid w:val="00D53D42"/>
    <w:rsid w:val="00D55B62"/>
    <w:rsid w:val="00D56E07"/>
    <w:rsid w:val="00D56F3E"/>
    <w:rsid w:val="00D5751A"/>
    <w:rsid w:val="00D610B4"/>
    <w:rsid w:val="00D62AEC"/>
    <w:rsid w:val="00D65379"/>
    <w:rsid w:val="00D66FD5"/>
    <w:rsid w:val="00D67645"/>
    <w:rsid w:val="00D71445"/>
    <w:rsid w:val="00D7181D"/>
    <w:rsid w:val="00D7213F"/>
    <w:rsid w:val="00D72D97"/>
    <w:rsid w:val="00D7490A"/>
    <w:rsid w:val="00D763C8"/>
    <w:rsid w:val="00D804F7"/>
    <w:rsid w:val="00D85185"/>
    <w:rsid w:val="00D956D0"/>
    <w:rsid w:val="00D95BB7"/>
    <w:rsid w:val="00DA1330"/>
    <w:rsid w:val="00DA2205"/>
    <w:rsid w:val="00DA691D"/>
    <w:rsid w:val="00DB14F2"/>
    <w:rsid w:val="00DB4798"/>
    <w:rsid w:val="00DB5840"/>
    <w:rsid w:val="00DC1AA4"/>
    <w:rsid w:val="00DC3E3B"/>
    <w:rsid w:val="00DC799A"/>
    <w:rsid w:val="00DD08DA"/>
    <w:rsid w:val="00DD0EDA"/>
    <w:rsid w:val="00DD1050"/>
    <w:rsid w:val="00DD40BA"/>
    <w:rsid w:val="00DD41FB"/>
    <w:rsid w:val="00DD7E0B"/>
    <w:rsid w:val="00DE02B6"/>
    <w:rsid w:val="00DE27F4"/>
    <w:rsid w:val="00DE2BD3"/>
    <w:rsid w:val="00DE3C40"/>
    <w:rsid w:val="00DE6262"/>
    <w:rsid w:val="00DE6386"/>
    <w:rsid w:val="00DF15D5"/>
    <w:rsid w:val="00DF3432"/>
    <w:rsid w:val="00DF3EB5"/>
    <w:rsid w:val="00DF7556"/>
    <w:rsid w:val="00DF7BD6"/>
    <w:rsid w:val="00E00378"/>
    <w:rsid w:val="00E0199A"/>
    <w:rsid w:val="00E021FF"/>
    <w:rsid w:val="00E022F9"/>
    <w:rsid w:val="00E02A9D"/>
    <w:rsid w:val="00E03391"/>
    <w:rsid w:val="00E0653A"/>
    <w:rsid w:val="00E06831"/>
    <w:rsid w:val="00E07907"/>
    <w:rsid w:val="00E07AAA"/>
    <w:rsid w:val="00E116ED"/>
    <w:rsid w:val="00E130B1"/>
    <w:rsid w:val="00E130C6"/>
    <w:rsid w:val="00E15ED3"/>
    <w:rsid w:val="00E16147"/>
    <w:rsid w:val="00E163D2"/>
    <w:rsid w:val="00E164AC"/>
    <w:rsid w:val="00E2158F"/>
    <w:rsid w:val="00E248A6"/>
    <w:rsid w:val="00E24CE7"/>
    <w:rsid w:val="00E26258"/>
    <w:rsid w:val="00E27A27"/>
    <w:rsid w:val="00E27D64"/>
    <w:rsid w:val="00E3003A"/>
    <w:rsid w:val="00E30A6E"/>
    <w:rsid w:val="00E30B39"/>
    <w:rsid w:val="00E32956"/>
    <w:rsid w:val="00E33A07"/>
    <w:rsid w:val="00E35EE8"/>
    <w:rsid w:val="00E3653C"/>
    <w:rsid w:val="00E375AD"/>
    <w:rsid w:val="00E413C0"/>
    <w:rsid w:val="00E44A46"/>
    <w:rsid w:val="00E44C8E"/>
    <w:rsid w:val="00E4634E"/>
    <w:rsid w:val="00E470BC"/>
    <w:rsid w:val="00E50E23"/>
    <w:rsid w:val="00E5478F"/>
    <w:rsid w:val="00E60E1C"/>
    <w:rsid w:val="00E612C2"/>
    <w:rsid w:val="00E6135C"/>
    <w:rsid w:val="00E623E2"/>
    <w:rsid w:val="00E64063"/>
    <w:rsid w:val="00E64F70"/>
    <w:rsid w:val="00E65E43"/>
    <w:rsid w:val="00E6780C"/>
    <w:rsid w:val="00E67CA1"/>
    <w:rsid w:val="00E70028"/>
    <w:rsid w:val="00E75553"/>
    <w:rsid w:val="00E804B6"/>
    <w:rsid w:val="00E81C8C"/>
    <w:rsid w:val="00E8283E"/>
    <w:rsid w:val="00E83586"/>
    <w:rsid w:val="00E86772"/>
    <w:rsid w:val="00E86CA7"/>
    <w:rsid w:val="00E90F68"/>
    <w:rsid w:val="00E92BE0"/>
    <w:rsid w:val="00EA15E1"/>
    <w:rsid w:val="00EA1EA5"/>
    <w:rsid w:val="00EA4F89"/>
    <w:rsid w:val="00EA5EF3"/>
    <w:rsid w:val="00EA644A"/>
    <w:rsid w:val="00EB0586"/>
    <w:rsid w:val="00EB47FC"/>
    <w:rsid w:val="00EB4950"/>
    <w:rsid w:val="00EB5643"/>
    <w:rsid w:val="00EC081D"/>
    <w:rsid w:val="00EC25E0"/>
    <w:rsid w:val="00EC36FE"/>
    <w:rsid w:val="00EC43D6"/>
    <w:rsid w:val="00EC4758"/>
    <w:rsid w:val="00EC4B0B"/>
    <w:rsid w:val="00EC6C80"/>
    <w:rsid w:val="00EC7AC4"/>
    <w:rsid w:val="00ED607A"/>
    <w:rsid w:val="00ED6FEC"/>
    <w:rsid w:val="00ED7301"/>
    <w:rsid w:val="00ED7EDF"/>
    <w:rsid w:val="00EE6F6B"/>
    <w:rsid w:val="00EF08D8"/>
    <w:rsid w:val="00EF1275"/>
    <w:rsid w:val="00EF3324"/>
    <w:rsid w:val="00EF3C0E"/>
    <w:rsid w:val="00EF42F6"/>
    <w:rsid w:val="00EF6EA0"/>
    <w:rsid w:val="00F0000E"/>
    <w:rsid w:val="00F02B30"/>
    <w:rsid w:val="00F054C0"/>
    <w:rsid w:val="00F066F2"/>
    <w:rsid w:val="00F11989"/>
    <w:rsid w:val="00F11E62"/>
    <w:rsid w:val="00F17D2C"/>
    <w:rsid w:val="00F218E2"/>
    <w:rsid w:val="00F21CEC"/>
    <w:rsid w:val="00F21F50"/>
    <w:rsid w:val="00F220C5"/>
    <w:rsid w:val="00F23CCA"/>
    <w:rsid w:val="00F244A6"/>
    <w:rsid w:val="00F2797C"/>
    <w:rsid w:val="00F30F7F"/>
    <w:rsid w:val="00F31671"/>
    <w:rsid w:val="00F319B2"/>
    <w:rsid w:val="00F32573"/>
    <w:rsid w:val="00F3298B"/>
    <w:rsid w:val="00F36A35"/>
    <w:rsid w:val="00F36E5C"/>
    <w:rsid w:val="00F41289"/>
    <w:rsid w:val="00F416C8"/>
    <w:rsid w:val="00F50DD9"/>
    <w:rsid w:val="00F5172A"/>
    <w:rsid w:val="00F52C7A"/>
    <w:rsid w:val="00F53617"/>
    <w:rsid w:val="00F53F69"/>
    <w:rsid w:val="00F5400A"/>
    <w:rsid w:val="00F57228"/>
    <w:rsid w:val="00F60022"/>
    <w:rsid w:val="00F6146F"/>
    <w:rsid w:val="00F61906"/>
    <w:rsid w:val="00F6615C"/>
    <w:rsid w:val="00F676A6"/>
    <w:rsid w:val="00F67C01"/>
    <w:rsid w:val="00F67F56"/>
    <w:rsid w:val="00F707C9"/>
    <w:rsid w:val="00F70B76"/>
    <w:rsid w:val="00F72412"/>
    <w:rsid w:val="00F737DB"/>
    <w:rsid w:val="00F73E93"/>
    <w:rsid w:val="00F74663"/>
    <w:rsid w:val="00F74BF1"/>
    <w:rsid w:val="00F74D55"/>
    <w:rsid w:val="00F75049"/>
    <w:rsid w:val="00F83145"/>
    <w:rsid w:val="00F84F01"/>
    <w:rsid w:val="00F908B0"/>
    <w:rsid w:val="00F90A64"/>
    <w:rsid w:val="00FA184D"/>
    <w:rsid w:val="00FA333B"/>
    <w:rsid w:val="00FA588D"/>
    <w:rsid w:val="00FA5B2F"/>
    <w:rsid w:val="00FA5EE4"/>
    <w:rsid w:val="00FA659A"/>
    <w:rsid w:val="00FB0F40"/>
    <w:rsid w:val="00FB28B7"/>
    <w:rsid w:val="00FB338D"/>
    <w:rsid w:val="00FB3654"/>
    <w:rsid w:val="00FB3B83"/>
    <w:rsid w:val="00FB5A66"/>
    <w:rsid w:val="00FB7877"/>
    <w:rsid w:val="00FC0608"/>
    <w:rsid w:val="00FC1A2B"/>
    <w:rsid w:val="00FC2026"/>
    <w:rsid w:val="00FC3BFE"/>
    <w:rsid w:val="00FC40A9"/>
    <w:rsid w:val="00FC594A"/>
    <w:rsid w:val="00FC6239"/>
    <w:rsid w:val="00FC6EE5"/>
    <w:rsid w:val="00FC76BD"/>
    <w:rsid w:val="00FD0F24"/>
    <w:rsid w:val="00FD2097"/>
    <w:rsid w:val="00FD2BFD"/>
    <w:rsid w:val="00FD322C"/>
    <w:rsid w:val="00FD3402"/>
    <w:rsid w:val="00FD72F9"/>
    <w:rsid w:val="00FE01C5"/>
    <w:rsid w:val="00FE536C"/>
    <w:rsid w:val="00FE5608"/>
    <w:rsid w:val="00FE6491"/>
    <w:rsid w:val="00FE6A56"/>
    <w:rsid w:val="00FF291A"/>
    <w:rsid w:val="00FF5900"/>
    <w:rsid w:val="00FF6C68"/>
    <w:rsid w:val="00FF7150"/>
    <w:rsid w:val="01120BFB"/>
    <w:rsid w:val="012E1A6B"/>
    <w:rsid w:val="012F5F9F"/>
    <w:rsid w:val="0189298B"/>
    <w:rsid w:val="01A0133E"/>
    <w:rsid w:val="029F4519"/>
    <w:rsid w:val="02A42637"/>
    <w:rsid w:val="032E0D96"/>
    <w:rsid w:val="033944E4"/>
    <w:rsid w:val="04FB3F3C"/>
    <w:rsid w:val="06170B0B"/>
    <w:rsid w:val="064E52EE"/>
    <w:rsid w:val="072514C5"/>
    <w:rsid w:val="0743608A"/>
    <w:rsid w:val="074A763F"/>
    <w:rsid w:val="07CE5652"/>
    <w:rsid w:val="083E5566"/>
    <w:rsid w:val="08A161C8"/>
    <w:rsid w:val="094F3E5D"/>
    <w:rsid w:val="095009BF"/>
    <w:rsid w:val="09703FC8"/>
    <w:rsid w:val="09C60F69"/>
    <w:rsid w:val="0A3F7251"/>
    <w:rsid w:val="0AAB7307"/>
    <w:rsid w:val="0AC77248"/>
    <w:rsid w:val="0AD02443"/>
    <w:rsid w:val="0B3E6778"/>
    <w:rsid w:val="0BD43457"/>
    <w:rsid w:val="0C4D5E73"/>
    <w:rsid w:val="0C94103A"/>
    <w:rsid w:val="0EF31B8E"/>
    <w:rsid w:val="112E78A0"/>
    <w:rsid w:val="11775EC4"/>
    <w:rsid w:val="11B92A49"/>
    <w:rsid w:val="11CB59F2"/>
    <w:rsid w:val="123437A9"/>
    <w:rsid w:val="136178EF"/>
    <w:rsid w:val="13E5514D"/>
    <w:rsid w:val="147D2C33"/>
    <w:rsid w:val="14AA431E"/>
    <w:rsid w:val="156E48EB"/>
    <w:rsid w:val="161A1704"/>
    <w:rsid w:val="16573E43"/>
    <w:rsid w:val="172850A5"/>
    <w:rsid w:val="17747BCC"/>
    <w:rsid w:val="184B3060"/>
    <w:rsid w:val="184F1A66"/>
    <w:rsid w:val="1ABC2111"/>
    <w:rsid w:val="1B2B0DED"/>
    <w:rsid w:val="1B4D1399"/>
    <w:rsid w:val="1B9B267D"/>
    <w:rsid w:val="1BB342E7"/>
    <w:rsid w:val="1D3D38FE"/>
    <w:rsid w:val="1EE918B3"/>
    <w:rsid w:val="2231019D"/>
    <w:rsid w:val="22B92A5D"/>
    <w:rsid w:val="2323539F"/>
    <w:rsid w:val="2426733E"/>
    <w:rsid w:val="24AE1F6D"/>
    <w:rsid w:val="25827FE3"/>
    <w:rsid w:val="25D062A0"/>
    <w:rsid w:val="26AC1B08"/>
    <w:rsid w:val="280F416A"/>
    <w:rsid w:val="284073F3"/>
    <w:rsid w:val="28481466"/>
    <w:rsid w:val="299A06EC"/>
    <w:rsid w:val="29CB6C4B"/>
    <w:rsid w:val="2A0E6DD8"/>
    <w:rsid w:val="2A6B391F"/>
    <w:rsid w:val="2CCA4108"/>
    <w:rsid w:val="2CD85254"/>
    <w:rsid w:val="2D471177"/>
    <w:rsid w:val="2DDB0944"/>
    <w:rsid w:val="2EB9731A"/>
    <w:rsid w:val="2EC7134E"/>
    <w:rsid w:val="302E0081"/>
    <w:rsid w:val="305B17BE"/>
    <w:rsid w:val="314E11DD"/>
    <w:rsid w:val="3195329C"/>
    <w:rsid w:val="32D85008"/>
    <w:rsid w:val="3319594D"/>
    <w:rsid w:val="33AD0775"/>
    <w:rsid w:val="33EA4A78"/>
    <w:rsid w:val="359C3ACF"/>
    <w:rsid w:val="3630364D"/>
    <w:rsid w:val="36876DE1"/>
    <w:rsid w:val="36A30028"/>
    <w:rsid w:val="36E170F1"/>
    <w:rsid w:val="37B8322F"/>
    <w:rsid w:val="387D4FFD"/>
    <w:rsid w:val="38CD56D8"/>
    <w:rsid w:val="3A3A0304"/>
    <w:rsid w:val="3A8D5D64"/>
    <w:rsid w:val="3BE04591"/>
    <w:rsid w:val="3C2B494D"/>
    <w:rsid w:val="3C74776C"/>
    <w:rsid w:val="3CC959A0"/>
    <w:rsid w:val="3D114F6B"/>
    <w:rsid w:val="3DE07E60"/>
    <w:rsid w:val="3DE35284"/>
    <w:rsid w:val="3EAC08BB"/>
    <w:rsid w:val="3F14202C"/>
    <w:rsid w:val="3F411998"/>
    <w:rsid w:val="3F442EF6"/>
    <w:rsid w:val="3F4557C7"/>
    <w:rsid w:val="3F6305DB"/>
    <w:rsid w:val="40392EED"/>
    <w:rsid w:val="403A72E0"/>
    <w:rsid w:val="40A71CBD"/>
    <w:rsid w:val="42A17017"/>
    <w:rsid w:val="42A45BA1"/>
    <w:rsid w:val="42C66ADE"/>
    <w:rsid w:val="43014CCF"/>
    <w:rsid w:val="43440BA3"/>
    <w:rsid w:val="436150B5"/>
    <w:rsid w:val="44115704"/>
    <w:rsid w:val="44B72547"/>
    <w:rsid w:val="44F1299A"/>
    <w:rsid w:val="45124D4B"/>
    <w:rsid w:val="45217315"/>
    <w:rsid w:val="46996B00"/>
    <w:rsid w:val="46CD6DE0"/>
    <w:rsid w:val="46F22939"/>
    <w:rsid w:val="470D6CA2"/>
    <w:rsid w:val="478A62D6"/>
    <w:rsid w:val="47FA7215"/>
    <w:rsid w:val="48446E8D"/>
    <w:rsid w:val="487D3FFF"/>
    <w:rsid w:val="48CB646C"/>
    <w:rsid w:val="49D225A2"/>
    <w:rsid w:val="4A0C7204"/>
    <w:rsid w:val="4B225F82"/>
    <w:rsid w:val="4B4E52DE"/>
    <w:rsid w:val="4C28130F"/>
    <w:rsid w:val="4CDC6C97"/>
    <w:rsid w:val="4EAA7E3F"/>
    <w:rsid w:val="503E1682"/>
    <w:rsid w:val="524F3068"/>
    <w:rsid w:val="529967CD"/>
    <w:rsid w:val="52B158F7"/>
    <w:rsid w:val="53E11070"/>
    <w:rsid w:val="54257A79"/>
    <w:rsid w:val="56BD775E"/>
    <w:rsid w:val="56CA1A0D"/>
    <w:rsid w:val="570374D0"/>
    <w:rsid w:val="57513033"/>
    <w:rsid w:val="58E340EF"/>
    <w:rsid w:val="5955742B"/>
    <w:rsid w:val="59AA4D0E"/>
    <w:rsid w:val="59AF6A43"/>
    <w:rsid w:val="5A04162B"/>
    <w:rsid w:val="5B334F9C"/>
    <w:rsid w:val="5B6E278C"/>
    <w:rsid w:val="5B821711"/>
    <w:rsid w:val="5BBA3240"/>
    <w:rsid w:val="5C3E2762"/>
    <w:rsid w:val="5D12622D"/>
    <w:rsid w:val="5D1F6E63"/>
    <w:rsid w:val="5D4B4C85"/>
    <w:rsid w:val="5E2036DA"/>
    <w:rsid w:val="5E2751A9"/>
    <w:rsid w:val="5E5B0247"/>
    <w:rsid w:val="5FFC4240"/>
    <w:rsid w:val="605369FA"/>
    <w:rsid w:val="61AA7B34"/>
    <w:rsid w:val="61CD4682"/>
    <w:rsid w:val="61EF72C5"/>
    <w:rsid w:val="639B6C37"/>
    <w:rsid w:val="64105646"/>
    <w:rsid w:val="653A1F91"/>
    <w:rsid w:val="65D703D8"/>
    <w:rsid w:val="678C7E10"/>
    <w:rsid w:val="67A1722B"/>
    <w:rsid w:val="688D371D"/>
    <w:rsid w:val="693302B1"/>
    <w:rsid w:val="69A602BC"/>
    <w:rsid w:val="69B13C18"/>
    <w:rsid w:val="69D85B83"/>
    <w:rsid w:val="6A007FE9"/>
    <w:rsid w:val="6A5F10A0"/>
    <w:rsid w:val="6B853307"/>
    <w:rsid w:val="6BF920D8"/>
    <w:rsid w:val="6CB01570"/>
    <w:rsid w:val="6CE5175A"/>
    <w:rsid w:val="6DDD1345"/>
    <w:rsid w:val="6E070259"/>
    <w:rsid w:val="6F00421E"/>
    <w:rsid w:val="6F7A0BBD"/>
    <w:rsid w:val="70492344"/>
    <w:rsid w:val="705E019D"/>
    <w:rsid w:val="70B571AA"/>
    <w:rsid w:val="711D38B2"/>
    <w:rsid w:val="71AB58E6"/>
    <w:rsid w:val="73312DD0"/>
    <w:rsid w:val="733812D2"/>
    <w:rsid w:val="736D5A76"/>
    <w:rsid w:val="73C07104"/>
    <w:rsid w:val="73C1409D"/>
    <w:rsid w:val="758E2F77"/>
    <w:rsid w:val="75984814"/>
    <w:rsid w:val="7625563A"/>
    <w:rsid w:val="76B74E3F"/>
    <w:rsid w:val="7705522D"/>
    <w:rsid w:val="770F2B28"/>
    <w:rsid w:val="774E5A0A"/>
    <w:rsid w:val="77C8615C"/>
    <w:rsid w:val="787A5D8F"/>
    <w:rsid w:val="78A865D7"/>
    <w:rsid w:val="79EA5FC9"/>
    <w:rsid w:val="7A894A92"/>
    <w:rsid w:val="7AD12413"/>
    <w:rsid w:val="7BD02B3B"/>
    <w:rsid w:val="7BEC481B"/>
    <w:rsid w:val="7C13739F"/>
    <w:rsid w:val="7E403E1D"/>
    <w:rsid w:val="7E6A7295"/>
    <w:rsid w:val="7E9418B3"/>
    <w:rsid w:val="7EF437BD"/>
    <w:rsid w:val="7F1B1858"/>
    <w:rsid w:val="7F2E06B8"/>
    <w:rsid w:val="7FB91994"/>
    <w:rsid w:val="7FB94134"/>
    <w:rsid w:val="C8DF63EA"/>
    <w:rsid w:val="F9D79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80" w:lineRule="exact"/>
    </w:pPr>
    <w:rPr>
      <w:rFonts w:ascii="仿宋_GB2312" w:hAnsi="宋体" w:eastAsia="仿宋_GB2312"/>
      <w:sz w:val="32"/>
    </w:rPr>
  </w:style>
  <w:style w:type="paragraph" w:styleId="3">
    <w:name w:val="Body Text Indent"/>
    <w:basedOn w:val="1"/>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4">
    <w:name w:val="Body Text Indent 2"/>
    <w:basedOn w:val="1"/>
    <w:link w:val="13"/>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5">
    <w:name w:val="Balloon Text"/>
    <w:basedOn w:val="1"/>
    <w:link w:val="16"/>
    <w:semiHidden/>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正文文本缩进 2 Char"/>
    <w:link w:val="4"/>
    <w:qFormat/>
    <w:uiPriority w:val="0"/>
    <w:rPr>
      <w:rFonts w:ascii="汉仪书宋二简" w:hAnsi="汉仪书宋二简" w:eastAsia="汉仪书宋二简"/>
      <w:spacing w:val="20"/>
      <w:w w:val="110"/>
      <w:kern w:val="10"/>
      <w:sz w:val="23"/>
      <w:szCs w:val="23"/>
    </w:rPr>
  </w:style>
  <w:style w:type="character" w:customStyle="1" w:styleId="14">
    <w:name w:val="s2"/>
    <w:basedOn w:val="10"/>
    <w:qFormat/>
    <w:uiPriority w:val="0"/>
  </w:style>
  <w:style w:type="character" w:customStyle="1" w:styleId="15">
    <w:name w:val="s1"/>
    <w:basedOn w:val="10"/>
    <w:qFormat/>
    <w:uiPriority w:val="0"/>
  </w:style>
  <w:style w:type="character" w:customStyle="1" w:styleId="16">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4741</Words>
  <Characters>5004</Characters>
  <Lines>32</Lines>
  <Paragraphs>9</Paragraphs>
  <TotalTime>0</TotalTime>
  <ScaleCrop>false</ScaleCrop>
  <LinksUpToDate>false</LinksUpToDate>
  <CharactersWithSpaces>5015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2001-01-01T08:36:00Z</dcterms:created>
  <dc:creator>Administrator</dc:creator>
  <cp:lastModifiedBy>月夜初星</cp:lastModifiedBy>
  <cp:lastPrinted>2021-07-07T18:33:00Z</cp:lastPrinted>
  <dcterms:modified xsi:type="dcterms:W3CDTF">2022-08-29T06:13:44Z</dcterms:modified>
  <dc:title>深圳市土地使用权出让公告</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BE0B42E5F810460E9675358575E95848</vt:lpwstr>
  </property>
</Properties>
</file>