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440" w:firstLineChars="100"/>
        <w:outlineLvl w:val="0"/>
        <w:rPr>
          <w:rFonts w:ascii="方正小标宋简体" w:eastAsia="方正小标宋简体"/>
          <w:sz w:val="44"/>
          <w:szCs w:val="44"/>
          <w:highlight w:val="none"/>
        </w:rPr>
      </w:pPr>
      <w:r>
        <w:rPr>
          <w:rFonts w:hint="eastAsia" w:ascii="方正小标宋简体" w:eastAsia="方正小标宋简体"/>
          <w:sz w:val="44"/>
          <w:szCs w:val="44"/>
          <w:highlight w:val="none"/>
        </w:rPr>
        <w:t>深圳市国有建设用地使用权出让竞买人</w:t>
      </w:r>
    </w:p>
    <w:p>
      <w:pPr>
        <w:spacing w:line="560" w:lineRule="exact"/>
        <w:jc w:val="center"/>
        <w:outlineLvl w:val="0"/>
        <w:rPr>
          <w:rFonts w:ascii="方正小标宋简体" w:eastAsia="方正小标宋简体"/>
          <w:b/>
          <w:bCs/>
          <w:sz w:val="44"/>
          <w:szCs w:val="44"/>
          <w:highlight w:val="none"/>
        </w:rPr>
      </w:pPr>
      <w:r>
        <w:rPr>
          <w:rFonts w:hint="eastAsia" w:ascii="方正小标宋简体" w:eastAsia="方正小标宋简体"/>
          <w:sz w:val="44"/>
          <w:szCs w:val="44"/>
          <w:highlight w:val="none"/>
        </w:rPr>
        <w:t>关联性审查操作指引</w:t>
      </w:r>
    </w:p>
    <w:p>
      <w:pPr>
        <w:spacing w:line="560" w:lineRule="exact"/>
        <w:ind w:firstLine="640" w:firstLineChars="200"/>
        <w:rPr>
          <w:rFonts w:ascii="仿宋_GB2312" w:eastAsia="仿宋_GB2312"/>
          <w:sz w:val="32"/>
          <w:szCs w:val="32"/>
          <w:highlight w:val="none"/>
        </w:rPr>
      </w:pP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根据深圳市土地使用权出让公告（深土交告[202</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44</w:t>
      </w:r>
      <w:r>
        <w:rPr>
          <w:rFonts w:hint="eastAsia" w:ascii="仿宋_GB2312" w:eastAsia="仿宋_GB2312"/>
          <w:sz w:val="32"/>
          <w:szCs w:val="32"/>
          <w:highlight w:val="none"/>
        </w:rPr>
        <w:t>号、深土交告[202</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45</w:t>
      </w:r>
      <w:r>
        <w:rPr>
          <w:rFonts w:hint="eastAsia" w:ascii="仿宋_GB2312" w:eastAsia="仿宋_GB2312"/>
          <w:sz w:val="32"/>
          <w:szCs w:val="32"/>
          <w:highlight w:val="none"/>
        </w:rPr>
        <w:t>号、深土交告[202</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46</w:t>
      </w:r>
      <w:r>
        <w:rPr>
          <w:rFonts w:hint="eastAsia" w:ascii="仿宋_GB2312" w:eastAsia="仿宋_GB2312"/>
          <w:sz w:val="32"/>
          <w:szCs w:val="32"/>
          <w:highlight w:val="none"/>
        </w:rPr>
        <w:t>号、深土交告[202</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47</w:t>
      </w:r>
      <w:r>
        <w:rPr>
          <w:rFonts w:hint="eastAsia" w:ascii="仿宋_GB2312" w:eastAsia="仿宋_GB2312"/>
          <w:sz w:val="32"/>
          <w:szCs w:val="32"/>
          <w:highlight w:val="none"/>
        </w:rPr>
        <w:t>号</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深土交告[202</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48</w:t>
      </w:r>
      <w:r>
        <w:rPr>
          <w:rFonts w:hint="eastAsia" w:ascii="仿宋_GB2312" w:eastAsia="仿宋_GB2312"/>
          <w:sz w:val="32"/>
          <w:szCs w:val="32"/>
          <w:highlight w:val="none"/>
        </w:rPr>
        <w:t>号）</w:t>
      </w:r>
      <w:bookmarkStart w:id="0" w:name="_GoBack"/>
      <w:bookmarkEnd w:id="0"/>
      <w:r>
        <w:rPr>
          <w:rFonts w:hint="eastAsia" w:ascii="仿宋_GB2312" w:eastAsia="仿宋_GB2312"/>
          <w:sz w:val="32"/>
          <w:szCs w:val="32"/>
          <w:highlight w:val="none"/>
        </w:rPr>
        <w:t>，特制定本操作指引。</w:t>
      </w:r>
    </w:p>
    <w:p>
      <w:pPr>
        <w:spacing w:line="560" w:lineRule="exact"/>
        <w:ind w:firstLine="640" w:firstLineChars="200"/>
        <w:outlineLvl w:val="0"/>
        <w:rPr>
          <w:rFonts w:ascii="黑体" w:hAnsi="黑体" w:eastAsia="黑体" w:cs="黑体"/>
          <w:sz w:val="32"/>
          <w:szCs w:val="32"/>
          <w:highlight w:val="none"/>
        </w:rPr>
      </w:pPr>
      <w:r>
        <w:rPr>
          <w:rFonts w:hint="eastAsia" w:ascii="黑体" w:hAnsi="黑体" w:eastAsia="黑体" w:cs="黑体"/>
          <w:sz w:val="32"/>
          <w:szCs w:val="32"/>
          <w:highlight w:val="none"/>
        </w:rPr>
        <w:t>一、审查程序</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（一）宗地竞买申请人需在申请确认竞买资格环节提交加盖公章的承诺函（附件1），承诺按公告中对竞买人的规定要求参加宗地竞买。未提交承诺函的竞买人，竞买资格不予确认。</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二）宗地竞买申请人需在申请确认竞买资格环节提交加盖公章的能体现竞买人所有涉及直接控股、间接控股的股东结构关系的树形图（控股关系查询资料截止到交纳竞买保证金日）。未提交树形图的，竞买资格不予确认。</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（三）深圳交易集团有限公司（深圳公共资源交易中心，以下简称公共资源交易中心）在现场竞价活动结束后逐宗公示参加现场摇号的竞买人名单。</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（四）现场竞价转摇号的宗地，公共资源交易中心组织现场摇号，摇号结束后公示成交结果。竞买人对进入摇号环节的竞得人主体资格有异议的，可于成交结果公示后3个工作日内向公共资源交易中心提出</w:t>
      </w:r>
      <w:r>
        <w:rPr>
          <w:rFonts w:hint="eastAsia" w:ascii="仿宋_GB2312" w:eastAsia="仿宋_GB2312"/>
          <w:sz w:val="32"/>
          <w:szCs w:val="32"/>
          <w:highlight w:val="none"/>
          <w:lang w:eastAsia="zh-CN"/>
        </w:rPr>
        <w:t>异议</w:t>
      </w:r>
      <w:r>
        <w:rPr>
          <w:rFonts w:hint="eastAsia" w:ascii="仿宋_GB2312" w:eastAsia="仿宋_GB2312"/>
          <w:sz w:val="32"/>
          <w:szCs w:val="32"/>
          <w:highlight w:val="none"/>
        </w:rPr>
        <w:t>。</w:t>
      </w:r>
    </w:p>
    <w:p>
      <w:pPr>
        <w:spacing w:line="560" w:lineRule="exact"/>
        <w:ind w:firstLine="640" w:firstLineChars="200"/>
        <w:outlineLvl w:val="0"/>
        <w:rPr>
          <w:rFonts w:ascii="黑体" w:hAnsi="黑体" w:eastAsia="黑体" w:cs="黑体"/>
          <w:sz w:val="32"/>
          <w:szCs w:val="32"/>
          <w:highlight w:val="none"/>
        </w:rPr>
      </w:pPr>
      <w:r>
        <w:rPr>
          <w:rFonts w:hint="eastAsia" w:ascii="黑体" w:hAnsi="黑体" w:eastAsia="黑体" w:cs="黑体"/>
          <w:sz w:val="32"/>
          <w:szCs w:val="32"/>
          <w:highlight w:val="none"/>
        </w:rPr>
        <w:t>二、职责分工</w:t>
      </w:r>
    </w:p>
    <w:p>
      <w:pPr>
        <w:spacing w:line="560" w:lineRule="exact"/>
        <w:ind w:firstLine="640" w:firstLineChars="200"/>
        <w:jc w:val="left"/>
        <w:outlineLvl w:val="0"/>
        <w:rPr>
          <w:rFonts w:ascii="仿宋_GB2312" w:eastAsia="仿宋_GB2312"/>
          <w:sz w:val="32"/>
          <w:szCs w:val="32"/>
          <w:highlight w:val="none"/>
        </w:rPr>
      </w:pPr>
      <w:r>
        <w:rPr>
          <w:rFonts w:hint="eastAsia" w:ascii="仿宋_GB2312" w:eastAsia="仿宋_GB2312"/>
          <w:sz w:val="32"/>
          <w:szCs w:val="32"/>
          <w:highlight w:val="none"/>
        </w:rPr>
        <w:t>（一）公共资源交易中心负责发布挂牌公告；受理咨询和竞买申请；确认竞买资格；组织电脑报价或现场竞价活动、组织现场摇号活动；负责在成交后公示成交结果，受理和处理竞买人对关联性审查结果的</w:t>
      </w:r>
      <w:r>
        <w:rPr>
          <w:rFonts w:hint="eastAsia" w:ascii="仿宋_GB2312" w:eastAsia="仿宋_GB2312"/>
          <w:sz w:val="32"/>
          <w:szCs w:val="32"/>
          <w:highlight w:val="none"/>
          <w:lang w:eastAsia="zh-CN"/>
        </w:rPr>
        <w:t>异议</w:t>
      </w:r>
      <w:r>
        <w:rPr>
          <w:rFonts w:hint="eastAsia" w:ascii="仿宋_GB2312" w:eastAsia="仿宋_GB2312"/>
          <w:sz w:val="32"/>
          <w:szCs w:val="32"/>
          <w:highlight w:val="none"/>
        </w:rPr>
        <w:t>。</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（二）深圳市市场监督管理局（以下简称市市场监督管理局）协助深圳市规划和自然资源局（以下简称市规划和自然资源局）、公共资源交易中心，就审核关联企业竞买资格涉及的</w:t>
      </w:r>
      <w:r>
        <w:rPr>
          <w:rFonts w:hint="eastAsia" w:ascii="仿宋_GB2312" w:eastAsia="仿宋_GB2312"/>
          <w:sz w:val="32"/>
          <w:szCs w:val="32"/>
          <w:highlight w:val="none"/>
          <w:lang w:eastAsia="zh-CN"/>
        </w:rPr>
        <w:t>异议</w:t>
      </w:r>
      <w:r>
        <w:rPr>
          <w:rFonts w:hint="eastAsia" w:ascii="仿宋_GB2312" w:eastAsia="仿宋_GB2312"/>
          <w:sz w:val="32"/>
          <w:szCs w:val="32"/>
          <w:highlight w:val="none"/>
        </w:rPr>
        <w:t>和投诉事宜开展相关复查和认定工作。</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（三）市规划和自然资源局受理和处理竞买人对关联性审查结果的投诉工作。</w:t>
      </w:r>
    </w:p>
    <w:p>
      <w:pPr>
        <w:spacing w:line="560" w:lineRule="exact"/>
        <w:ind w:firstLine="640" w:firstLineChars="200"/>
        <w:outlineLvl w:val="0"/>
        <w:rPr>
          <w:rFonts w:ascii="黑体" w:hAnsi="黑体" w:eastAsia="黑体" w:cs="黑体"/>
          <w:sz w:val="32"/>
          <w:szCs w:val="32"/>
          <w:highlight w:val="none"/>
        </w:rPr>
      </w:pPr>
      <w:r>
        <w:rPr>
          <w:rFonts w:hint="eastAsia" w:ascii="黑体" w:hAnsi="黑体" w:eastAsia="黑体" w:cs="黑体"/>
          <w:sz w:val="32"/>
          <w:szCs w:val="32"/>
          <w:highlight w:val="none"/>
        </w:rPr>
        <w:t>三、竞买人存在关联性的处理</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认定竞买人违反竞买人关联性要求的，根据出让公告、竞买须知相关规定作出处理。</w:t>
      </w:r>
    </w:p>
    <w:p>
      <w:pPr>
        <w:spacing w:line="560" w:lineRule="exact"/>
        <w:ind w:firstLine="640" w:firstLineChars="200"/>
        <w:outlineLvl w:val="0"/>
        <w:rPr>
          <w:rFonts w:ascii="黑体" w:hAnsi="黑体" w:eastAsia="黑体" w:cs="黑体"/>
          <w:sz w:val="32"/>
          <w:szCs w:val="32"/>
          <w:highlight w:val="none"/>
        </w:rPr>
      </w:pPr>
      <w:r>
        <w:rPr>
          <w:rFonts w:hint="eastAsia" w:ascii="黑体" w:hAnsi="黑体" w:eastAsia="黑体" w:cs="黑体"/>
          <w:sz w:val="32"/>
          <w:szCs w:val="32"/>
          <w:highlight w:val="none"/>
        </w:rPr>
        <w:t>四、</w:t>
      </w:r>
      <w:r>
        <w:rPr>
          <w:rFonts w:hint="eastAsia" w:ascii="黑体" w:hAnsi="黑体" w:eastAsia="黑体" w:cs="黑体"/>
          <w:sz w:val="32"/>
          <w:szCs w:val="32"/>
          <w:highlight w:val="none"/>
          <w:lang w:eastAsia="zh-CN"/>
        </w:rPr>
        <w:t>异议</w:t>
      </w:r>
      <w:r>
        <w:rPr>
          <w:rFonts w:hint="eastAsia" w:ascii="黑体" w:hAnsi="黑体" w:eastAsia="黑体" w:cs="黑体"/>
          <w:sz w:val="32"/>
          <w:szCs w:val="32"/>
          <w:highlight w:val="none"/>
        </w:rPr>
        <w:t>及投诉</w:t>
      </w:r>
    </w:p>
    <w:p>
      <w:pPr>
        <w:pStyle w:val="7"/>
        <w:widowControl/>
        <w:spacing w:beforeAutospacing="0" w:afterAutospacing="0"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（一）根据出让公告，参与竞买活动的竞买人对其他竞买人关联性资格审查结果有异议的，应当自知道或者应当知道其权益受到损害之日起3个工作日内向公共资源交易中心以书面形式提出</w:t>
      </w:r>
      <w:r>
        <w:rPr>
          <w:rFonts w:hint="eastAsia" w:ascii="仿宋_GB2312" w:eastAsia="仿宋_GB2312"/>
          <w:sz w:val="32"/>
          <w:szCs w:val="32"/>
          <w:highlight w:val="none"/>
          <w:lang w:eastAsia="zh-CN"/>
        </w:rPr>
        <w:t>异议</w:t>
      </w:r>
      <w:r>
        <w:rPr>
          <w:rFonts w:hint="eastAsia" w:ascii="仿宋_GB2312" w:eastAsia="仿宋_GB2312"/>
          <w:sz w:val="32"/>
          <w:szCs w:val="32"/>
          <w:highlight w:val="none"/>
        </w:rPr>
        <w:t>。</w:t>
      </w:r>
    </w:p>
    <w:p>
      <w:pPr>
        <w:pStyle w:val="7"/>
        <w:widowControl/>
        <w:spacing w:beforeAutospacing="0" w:afterAutospacing="0"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（二）竞买人提出</w:t>
      </w:r>
      <w:r>
        <w:rPr>
          <w:rFonts w:hint="eastAsia" w:ascii="仿宋_GB2312" w:eastAsia="仿宋_GB2312"/>
          <w:sz w:val="32"/>
          <w:szCs w:val="32"/>
          <w:highlight w:val="none"/>
          <w:lang w:eastAsia="zh-CN"/>
        </w:rPr>
        <w:t>异议</w:t>
      </w:r>
      <w:r>
        <w:rPr>
          <w:rFonts w:hint="eastAsia" w:ascii="仿宋_GB2312" w:eastAsia="仿宋_GB2312"/>
          <w:sz w:val="32"/>
          <w:szCs w:val="32"/>
          <w:highlight w:val="none"/>
        </w:rPr>
        <w:t>应当提交</w:t>
      </w:r>
      <w:r>
        <w:rPr>
          <w:rFonts w:hint="eastAsia" w:ascii="仿宋_GB2312" w:eastAsia="仿宋_GB2312"/>
          <w:sz w:val="32"/>
          <w:szCs w:val="32"/>
          <w:highlight w:val="none"/>
          <w:lang w:eastAsia="zh-CN"/>
        </w:rPr>
        <w:t>异议</w:t>
      </w:r>
      <w:r>
        <w:rPr>
          <w:rFonts w:hint="eastAsia" w:ascii="仿宋_GB2312" w:eastAsia="仿宋_GB2312"/>
          <w:sz w:val="32"/>
          <w:szCs w:val="32"/>
          <w:highlight w:val="none"/>
        </w:rPr>
        <w:t>函和必要的证明材料。</w:t>
      </w:r>
      <w:r>
        <w:rPr>
          <w:rFonts w:hint="eastAsia" w:ascii="仿宋_GB2312" w:eastAsia="仿宋_GB2312"/>
          <w:sz w:val="32"/>
          <w:szCs w:val="32"/>
          <w:highlight w:val="none"/>
          <w:lang w:eastAsia="zh-CN"/>
        </w:rPr>
        <w:t>异议</w:t>
      </w:r>
      <w:r>
        <w:rPr>
          <w:rFonts w:hint="eastAsia" w:ascii="仿宋_GB2312" w:eastAsia="仿宋_GB2312"/>
          <w:sz w:val="32"/>
          <w:szCs w:val="32"/>
          <w:highlight w:val="none"/>
        </w:rPr>
        <w:t>函应当包括下列内容：</w:t>
      </w:r>
    </w:p>
    <w:p>
      <w:pPr>
        <w:pStyle w:val="7"/>
        <w:widowControl/>
        <w:spacing w:beforeAutospacing="0" w:afterAutospacing="0"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1、竞买人名称、地址、邮编、联系人及联系电话；</w:t>
      </w:r>
    </w:p>
    <w:p>
      <w:pPr>
        <w:pStyle w:val="7"/>
        <w:widowControl/>
        <w:spacing w:beforeAutospacing="0" w:afterAutospacing="0"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2、</w:t>
      </w:r>
      <w:r>
        <w:rPr>
          <w:rFonts w:hint="eastAsia" w:ascii="仿宋_GB2312" w:eastAsia="仿宋_GB2312"/>
          <w:sz w:val="32"/>
          <w:szCs w:val="32"/>
          <w:highlight w:val="none"/>
          <w:lang w:eastAsia="zh-CN"/>
        </w:rPr>
        <w:t>异议</w:t>
      </w:r>
      <w:r>
        <w:rPr>
          <w:rFonts w:hint="eastAsia" w:ascii="仿宋_GB2312" w:eastAsia="仿宋_GB2312"/>
          <w:sz w:val="32"/>
          <w:szCs w:val="32"/>
          <w:highlight w:val="none"/>
        </w:rPr>
        <w:t>宗地号；</w:t>
      </w:r>
    </w:p>
    <w:p>
      <w:pPr>
        <w:pStyle w:val="7"/>
        <w:widowControl/>
        <w:spacing w:beforeAutospacing="0" w:afterAutospacing="0"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3、具体、明确的</w:t>
      </w:r>
      <w:r>
        <w:rPr>
          <w:rFonts w:hint="eastAsia" w:ascii="仿宋_GB2312" w:eastAsia="仿宋_GB2312"/>
          <w:sz w:val="32"/>
          <w:szCs w:val="32"/>
          <w:highlight w:val="none"/>
          <w:lang w:eastAsia="zh-CN"/>
        </w:rPr>
        <w:t>异议</w:t>
      </w:r>
      <w:r>
        <w:rPr>
          <w:rFonts w:hint="eastAsia" w:ascii="仿宋_GB2312" w:eastAsia="仿宋_GB2312"/>
          <w:sz w:val="32"/>
          <w:szCs w:val="32"/>
          <w:highlight w:val="none"/>
        </w:rPr>
        <w:t>事项、</w:t>
      </w:r>
      <w:r>
        <w:rPr>
          <w:rFonts w:hint="eastAsia" w:ascii="仿宋_GB2312" w:eastAsia="仿宋_GB2312"/>
          <w:sz w:val="32"/>
          <w:szCs w:val="32"/>
          <w:highlight w:val="none"/>
          <w:lang w:eastAsia="zh-CN"/>
        </w:rPr>
        <w:t>异议</w:t>
      </w:r>
      <w:r>
        <w:rPr>
          <w:rFonts w:hint="eastAsia" w:ascii="仿宋_GB2312" w:eastAsia="仿宋_GB2312"/>
          <w:sz w:val="32"/>
          <w:szCs w:val="32"/>
          <w:highlight w:val="none"/>
        </w:rPr>
        <w:t>请求，相关事实依据；</w:t>
      </w:r>
    </w:p>
    <w:p>
      <w:pPr>
        <w:pStyle w:val="7"/>
        <w:widowControl/>
        <w:spacing w:beforeAutospacing="0" w:afterAutospacing="0"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4、提出</w:t>
      </w:r>
      <w:r>
        <w:rPr>
          <w:rFonts w:hint="eastAsia" w:ascii="仿宋_GB2312" w:eastAsia="仿宋_GB2312"/>
          <w:sz w:val="32"/>
          <w:szCs w:val="32"/>
          <w:highlight w:val="none"/>
          <w:lang w:eastAsia="zh-CN"/>
        </w:rPr>
        <w:t>异议</w:t>
      </w:r>
      <w:r>
        <w:rPr>
          <w:rFonts w:hint="eastAsia" w:ascii="仿宋_GB2312" w:eastAsia="仿宋_GB2312"/>
          <w:sz w:val="32"/>
          <w:szCs w:val="32"/>
          <w:highlight w:val="none"/>
        </w:rPr>
        <w:t>的日期。</w:t>
      </w:r>
    </w:p>
    <w:p>
      <w:pPr>
        <w:pStyle w:val="7"/>
        <w:widowControl/>
        <w:spacing w:beforeAutospacing="0" w:afterAutospacing="0"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上述资料应当由竞买人的法定代表人或者其授权代表签字或者盖章，并加盖公章。</w:t>
      </w:r>
    </w:p>
    <w:p>
      <w:pPr>
        <w:pStyle w:val="7"/>
        <w:widowControl/>
        <w:spacing w:beforeAutospacing="0" w:afterAutospacing="0"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（三）公共资源交易中心自收到书面</w:t>
      </w:r>
      <w:r>
        <w:rPr>
          <w:rFonts w:hint="eastAsia" w:ascii="仿宋_GB2312" w:eastAsia="仿宋_GB2312"/>
          <w:sz w:val="32"/>
          <w:szCs w:val="32"/>
          <w:highlight w:val="none"/>
          <w:lang w:eastAsia="zh-CN"/>
        </w:rPr>
        <w:t>异议</w:t>
      </w:r>
      <w:r>
        <w:rPr>
          <w:rFonts w:hint="eastAsia" w:ascii="仿宋_GB2312" w:eastAsia="仿宋_GB2312"/>
          <w:sz w:val="32"/>
          <w:szCs w:val="32"/>
          <w:highlight w:val="none"/>
        </w:rPr>
        <w:t>材料之日起7个工作日内就</w:t>
      </w:r>
      <w:r>
        <w:rPr>
          <w:rFonts w:hint="eastAsia" w:ascii="仿宋_GB2312" w:eastAsia="仿宋_GB2312"/>
          <w:sz w:val="32"/>
          <w:szCs w:val="32"/>
          <w:highlight w:val="none"/>
          <w:lang w:eastAsia="zh-CN"/>
        </w:rPr>
        <w:t>异议</w:t>
      </w:r>
      <w:r>
        <w:rPr>
          <w:rFonts w:hint="eastAsia" w:ascii="仿宋_GB2312" w:eastAsia="仿宋_GB2312"/>
          <w:sz w:val="32"/>
          <w:szCs w:val="32"/>
          <w:highlight w:val="none"/>
        </w:rPr>
        <w:t>事项书面答复竞买人。</w:t>
      </w:r>
    </w:p>
    <w:p>
      <w:pPr>
        <w:pStyle w:val="7"/>
        <w:widowControl/>
        <w:spacing w:beforeAutospacing="0" w:afterAutospacing="0"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公共资源交易中心核实</w:t>
      </w:r>
      <w:r>
        <w:rPr>
          <w:rFonts w:hint="eastAsia" w:ascii="仿宋_GB2312" w:eastAsia="仿宋_GB2312"/>
          <w:sz w:val="32"/>
          <w:szCs w:val="32"/>
          <w:highlight w:val="none"/>
          <w:lang w:eastAsia="zh-CN"/>
        </w:rPr>
        <w:t>异议</w:t>
      </w:r>
      <w:r>
        <w:rPr>
          <w:rFonts w:hint="eastAsia" w:ascii="仿宋_GB2312" w:eastAsia="仿宋_GB2312"/>
          <w:sz w:val="32"/>
          <w:szCs w:val="32"/>
          <w:highlight w:val="none"/>
        </w:rPr>
        <w:t>事项不成立，书面答复竞买人并说明理由。核实</w:t>
      </w:r>
      <w:r>
        <w:rPr>
          <w:rFonts w:hint="eastAsia" w:ascii="仿宋_GB2312" w:eastAsia="仿宋_GB2312"/>
          <w:sz w:val="32"/>
          <w:szCs w:val="32"/>
          <w:highlight w:val="none"/>
          <w:lang w:eastAsia="zh-CN"/>
        </w:rPr>
        <w:t>异议</w:t>
      </w:r>
      <w:r>
        <w:rPr>
          <w:rFonts w:hint="eastAsia" w:ascii="仿宋_GB2312" w:eastAsia="仿宋_GB2312"/>
          <w:sz w:val="32"/>
          <w:szCs w:val="32"/>
          <w:highlight w:val="none"/>
        </w:rPr>
        <w:t>事项成立，公共资源交易中心将</w:t>
      </w:r>
      <w:r>
        <w:rPr>
          <w:rFonts w:hint="eastAsia" w:ascii="仿宋_GB2312" w:eastAsia="仿宋_GB2312"/>
          <w:sz w:val="32"/>
          <w:szCs w:val="32"/>
          <w:highlight w:val="none"/>
          <w:lang w:eastAsia="zh-CN"/>
        </w:rPr>
        <w:t>异议</w:t>
      </w:r>
      <w:r>
        <w:rPr>
          <w:rFonts w:hint="eastAsia" w:ascii="仿宋_GB2312" w:eastAsia="仿宋_GB2312"/>
          <w:sz w:val="32"/>
          <w:szCs w:val="32"/>
          <w:highlight w:val="none"/>
        </w:rPr>
        <w:t>事项及证明材料报市规划和自然资源局，由市规划和自然资源局会同市市场监督管理局就相关宗地竞买人关联性资格审查结果进行复核和认定，并作出处理。</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（四）根据出让公告，对公共资源交易中心的答复不满意或者公共资源交易中心未在规定时间内答复的，提出</w:t>
      </w:r>
      <w:r>
        <w:rPr>
          <w:rFonts w:hint="eastAsia" w:ascii="仿宋_GB2312" w:eastAsia="仿宋_GB2312"/>
          <w:sz w:val="32"/>
          <w:szCs w:val="32"/>
          <w:highlight w:val="none"/>
          <w:lang w:eastAsia="zh-CN"/>
        </w:rPr>
        <w:t>异议</w:t>
      </w:r>
      <w:r>
        <w:rPr>
          <w:rFonts w:hint="eastAsia" w:ascii="仿宋_GB2312" w:eastAsia="仿宋_GB2312"/>
          <w:sz w:val="32"/>
          <w:szCs w:val="32"/>
          <w:highlight w:val="none"/>
        </w:rPr>
        <w:t>的竞买人可以在答复期满后15个工作日内向市规划和自然资源局投诉。</w:t>
      </w:r>
    </w:p>
    <w:p>
      <w:pPr>
        <w:spacing w:line="560" w:lineRule="exact"/>
        <w:ind w:firstLine="640" w:firstLineChars="200"/>
        <w:rPr>
          <w:rFonts w:ascii="仿宋_GB2312" w:eastAsia="仿宋_GB2312"/>
          <w:sz w:val="32"/>
          <w:szCs w:val="32"/>
          <w:highlight w:val="none"/>
        </w:rPr>
      </w:pP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附件：关于竞买人关联性的承诺函</w:t>
      </w:r>
    </w:p>
    <w:p>
      <w:pPr>
        <w:spacing w:line="560" w:lineRule="exact"/>
        <w:ind w:firstLine="640" w:firstLineChars="200"/>
        <w:jc w:val="right"/>
        <w:rPr>
          <w:rFonts w:ascii="仿宋_GB2312" w:eastAsia="仿宋_GB2312"/>
          <w:sz w:val="32"/>
          <w:szCs w:val="32"/>
        </w:rPr>
      </w:pPr>
    </w:p>
    <w:p>
      <w:pPr>
        <w:outlineLvl w:val="0"/>
        <w:rPr>
          <w:rFonts w:ascii="仿宋_GB2312" w:eastAsia="仿宋_GB2312"/>
          <w:sz w:val="32"/>
          <w:szCs w:val="32"/>
        </w:rPr>
      </w:pPr>
      <w:r>
        <w:rPr>
          <w:rFonts w:hint="eastAsia" w:ascii="仿宋_GB2312" w:eastAsia="仿宋_GB2312"/>
          <w:sz w:val="32"/>
          <w:szCs w:val="32"/>
        </w:rPr>
        <w:br w:type="page"/>
      </w:r>
    </w:p>
    <w:p>
      <w:pPr>
        <w:pStyle w:val="7"/>
        <w:widowControl/>
        <w:spacing w:beforeAutospacing="0" w:after="20" w:afterAutospacing="0" w:line="560" w:lineRule="exact"/>
        <w:outlineLvl w:val="0"/>
        <w:rPr>
          <w:rFonts w:ascii="仿宋_GB2312" w:eastAsia="仿宋_GB2312"/>
          <w:sz w:val="32"/>
          <w:szCs w:val="32"/>
        </w:rPr>
      </w:pPr>
      <w:r>
        <w:rPr>
          <w:rFonts w:hint="eastAsia" w:ascii="黑体" w:hAnsi="黑体" w:eastAsia="黑体" w:cs="黑体"/>
          <w:sz w:val="32"/>
          <w:szCs w:val="32"/>
        </w:rPr>
        <w:t xml:space="preserve">附件 </w:t>
      </w:r>
    </w:p>
    <w:p>
      <w:pPr>
        <w:widowControl/>
        <w:shd w:val="clear" w:color="auto" w:fill="FFFFFF"/>
        <w:jc w:val="center"/>
        <w:outlineLvl w:val="0"/>
        <w:rPr>
          <w:rFonts w:ascii="方正小标宋简体" w:hAnsi="宋体" w:eastAsia="方正小标宋简体" w:cs="宋体"/>
          <w:color w:val="333333"/>
          <w:kern w:val="0"/>
          <w:sz w:val="44"/>
          <w:szCs w:val="44"/>
        </w:rPr>
      </w:pPr>
      <w:r>
        <w:rPr>
          <w:rFonts w:hint="eastAsia" w:ascii="方正小标宋简体" w:hAnsi="宋体" w:eastAsia="方正小标宋简体" w:cs="宋体"/>
          <w:color w:val="333333"/>
          <w:kern w:val="0"/>
          <w:sz w:val="44"/>
          <w:szCs w:val="44"/>
        </w:rPr>
        <w:t>关于竞买人关联性的承诺函 </w:t>
      </w:r>
    </w:p>
    <w:p>
      <w:pPr>
        <w:widowControl/>
        <w:shd w:val="clear" w:color="auto" w:fill="FFFFFF"/>
        <w:jc w:val="center"/>
        <w:rPr>
          <w:rFonts w:ascii="宋体" w:hAnsi="宋体" w:eastAsia="宋体" w:cs="宋体"/>
          <w:color w:val="333333"/>
          <w:kern w:val="0"/>
          <w:sz w:val="18"/>
          <w:szCs w:val="18"/>
        </w:rPr>
      </w:pPr>
    </w:p>
    <w:p>
      <w:pPr>
        <w:widowControl/>
        <w:shd w:val="clear" w:color="auto" w:fill="FFFFFF"/>
        <w:spacing w:line="600" w:lineRule="atLeast"/>
        <w:jc w:val="left"/>
        <w:rPr>
          <w:rFonts w:ascii="仿宋_GB2312" w:hAnsi="宋体" w:eastAsia="仿宋_GB2312" w:cs="宋体"/>
          <w:color w:val="333333"/>
          <w:kern w:val="0"/>
          <w:sz w:val="32"/>
          <w:szCs w:val="32"/>
        </w:rPr>
      </w:pPr>
      <w:r>
        <w:rPr>
          <w:rFonts w:hint="eastAsia" w:ascii="仿宋_GB2312" w:hAnsi="宋体" w:eastAsia="仿宋_GB2312" w:cs="宋体"/>
          <w:color w:val="333333"/>
          <w:kern w:val="0"/>
          <w:sz w:val="32"/>
          <w:szCs w:val="32"/>
        </w:rPr>
        <w:t>深圳交易集团有限公司（深圳公共资源交易中心）：</w:t>
      </w:r>
    </w:p>
    <w:p>
      <w:pPr>
        <w:widowControl/>
        <w:shd w:val="clear" w:color="auto" w:fill="FFFFFF"/>
        <w:spacing w:line="600" w:lineRule="atLeast"/>
        <w:ind w:firstLine="627"/>
        <w:jc w:val="left"/>
        <w:rPr>
          <w:rFonts w:ascii="宋体" w:hAnsi="宋体" w:eastAsia="宋体" w:cs="宋体"/>
          <w:color w:val="333333"/>
          <w:kern w:val="0"/>
          <w:sz w:val="18"/>
          <w:szCs w:val="18"/>
        </w:rPr>
      </w:pPr>
      <w:r>
        <w:rPr>
          <w:rFonts w:hint="eastAsia" w:ascii="仿宋_GB2312" w:hAnsi="宋体" w:eastAsia="仿宋_GB2312" w:cs="宋体"/>
          <w:color w:val="333333"/>
          <w:kern w:val="0"/>
          <w:sz w:val="32"/>
          <w:szCs w:val="32"/>
        </w:rPr>
        <w:t>我公司自愿报名参加深圳市</w:t>
      </w:r>
      <w:r>
        <w:rPr>
          <w:rFonts w:hint="eastAsia" w:ascii="仿宋_GB2312" w:hAnsi="宋体" w:eastAsia="仿宋_GB2312" w:cs="宋体"/>
          <w:color w:val="333333"/>
          <w:kern w:val="0"/>
          <w:sz w:val="32"/>
          <w:szCs w:val="32"/>
          <w:u w:val="single"/>
        </w:rPr>
        <w:t>       </w:t>
      </w:r>
      <w:r>
        <w:rPr>
          <w:rFonts w:hint="eastAsia" w:ascii="仿宋_GB2312" w:hAnsi="宋体" w:eastAsia="仿宋_GB2312" w:cs="宋体"/>
          <w:color w:val="333333"/>
          <w:kern w:val="0"/>
          <w:sz w:val="32"/>
          <w:szCs w:val="32"/>
        </w:rPr>
        <w:t>区宗地号为</w:t>
      </w:r>
      <w:r>
        <w:rPr>
          <w:rFonts w:hint="eastAsia" w:ascii="仿宋_GB2312" w:hAnsi="宋体" w:eastAsia="仿宋_GB2312" w:cs="宋体"/>
          <w:color w:val="333333"/>
          <w:kern w:val="0"/>
          <w:sz w:val="32"/>
          <w:szCs w:val="32"/>
          <w:u w:val="single"/>
        </w:rPr>
        <w:t>              </w:t>
      </w:r>
      <w:r>
        <w:rPr>
          <w:rFonts w:hint="eastAsia" w:ascii="仿宋_GB2312" w:hAnsi="宋体" w:eastAsia="仿宋_GB2312" w:cs="宋体"/>
          <w:color w:val="333333"/>
          <w:kern w:val="0"/>
          <w:sz w:val="32"/>
          <w:szCs w:val="32"/>
        </w:rPr>
        <w:t>的土地使用权的竞买。为</w:t>
      </w:r>
      <w:r>
        <w:rPr>
          <w:rFonts w:hint="eastAsia" w:ascii="仿宋_GB2312" w:eastAsia="仿宋_GB2312"/>
          <w:sz w:val="32"/>
          <w:szCs w:val="32"/>
        </w:rPr>
        <w:t>维护深圳土地交易市场的公开、公平、公正</w:t>
      </w:r>
      <w:r>
        <w:rPr>
          <w:rFonts w:hint="eastAsia" w:ascii="仿宋_GB2312" w:hAnsi="宋体" w:eastAsia="仿宋_GB2312" w:cs="宋体"/>
          <w:color w:val="333333"/>
          <w:kern w:val="0"/>
          <w:sz w:val="32"/>
          <w:szCs w:val="32"/>
        </w:rPr>
        <w:t>，现郑重承诺如下：</w:t>
      </w:r>
    </w:p>
    <w:p>
      <w:pPr>
        <w:widowControl/>
        <w:shd w:val="clear" w:color="auto" w:fill="FFFFFF"/>
        <w:spacing w:line="600" w:lineRule="atLeast"/>
        <w:ind w:firstLine="640"/>
        <w:jc w:val="left"/>
        <w:rPr>
          <w:rFonts w:ascii="仿宋_GB2312" w:hAnsi="宋体" w:eastAsia="仿宋_GB2312" w:cs="宋体"/>
          <w:color w:val="333333"/>
          <w:kern w:val="0"/>
          <w:sz w:val="32"/>
          <w:szCs w:val="32"/>
        </w:rPr>
      </w:pPr>
      <w:r>
        <w:rPr>
          <w:rFonts w:hint="eastAsia" w:ascii="仿宋_GB2312" w:hAnsi="宋体" w:eastAsia="仿宋_GB2312" w:cs="宋体"/>
          <w:color w:val="333333"/>
          <w:kern w:val="0"/>
          <w:sz w:val="32"/>
          <w:szCs w:val="32"/>
        </w:rPr>
        <w:t>我公司已知晓“同一企业及其控股的各个公司，不得参加同一宗地的竞买。”这一竞买关联性要求。</w:t>
      </w:r>
    </w:p>
    <w:p>
      <w:pPr>
        <w:widowControl/>
        <w:shd w:val="clear" w:color="auto" w:fill="FFFFFF"/>
        <w:spacing w:line="600" w:lineRule="atLeast"/>
        <w:ind w:firstLine="640"/>
        <w:jc w:val="left"/>
        <w:rPr>
          <w:rFonts w:ascii="仿宋_GB2312" w:hAnsi="宋体" w:eastAsia="仿宋_GB2312" w:cs="宋体"/>
          <w:color w:val="333333"/>
          <w:kern w:val="0"/>
          <w:sz w:val="32"/>
          <w:szCs w:val="32"/>
        </w:rPr>
      </w:pPr>
      <w:r>
        <w:rPr>
          <w:rFonts w:hint="eastAsia" w:ascii="仿宋_GB2312" w:hAnsi="宋体" w:eastAsia="仿宋_GB2312" w:cs="宋体"/>
          <w:color w:val="333333"/>
          <w:kern w:val="0"/>
          <w:sz w:val="32"/>
          <w:szCs w:val="32"/>
        </w:rPr>
        <w:t>如违反要求，我公司愿意接受取消竞买、竞得资格，已交纳的竞买保证金不予退还的后果。</w:t>
      </w:r>
    </w:p>
    <w:p>
      <w:pPr>
        <w:widowControl/>
        <w:shd w:val="clear" w:color="auto" w:fill="FFFFFF"/>
        <w:spacing w:line="600" w:lineRule="atLeast"/>
        <w:ind w:firstLine="640"/>
        <w:jc w:val="left"/>
        <w:rPr>
          <w:rFonts w:ascii="仿宋_GB2312" w:hAnsi="宋体" w:eastAsia="仿宋_GB2312" w:cs="宋体"/>
          <w:color w:val="333333"/>
          <w:kern w:val="0"/>
          <w:sz w:val="32"/>
          <w:szCs w:val="32"/>
        </w:rPr>
      </w:pPr>
    </w:p>
    <w:p>
      <w:pPr>
        <w:widowControl/>
        <w:shd w:val="clear" w:color="auto" w:fill="FFFFFF"/>
        <w:spacing w:line="360" w:lineRule="atLeast"/>
        <w:ind w:right="1280" w:firstLine="3840"/>
        <w:jc w:val="right"/>
        <w:rPr>
          <w:rFonts w:ascii="仿宋" w:hAnsi="仿宋" w:eastAsia="仿宋" w:cs="宋体"/>
          <w:color w:val="000000"/>
          <w:kern w:val="0"/>
          <w:sz w:val="32"/>
          <w:szCs w:val="32"/>
        </w:rPr>
      </w:pPr>
    </w:p>
    <w:p>
      <w:pPr>
        <w:widowControl/>
        <w:shd w:val="clear" w:color="auto" w:fill="FFFFFF"/>
        <w:spacing w:line="360" w:lineRule="atLeast"/>
        <w:ind w:right="1280" w:firstLine="3840"/>
        <w:jc w:val="right"/>
        <w:rPr>
          <w:rFonts w:ascii="仿宋" w:hAnsi="仿宋" w:eastAsia="仿宋" w:cs="宋体"/>
          <w:color w:val="000000"/>
          <w:kern w:val="0"/>
          <w:sz w:val="32"/>
          <w:szCs w:val="32"/>
        </w:rPr>
      </w:pPr>
    </w:p>
    <w:p>
      <w:pPr>
        <w:widowControl/>
        <w:shd w:val="clear" w:color="auto" w:fill="FFFFFF"/>
        <w:spacing w:line="360" w:lineRule="atLeast"/>
        <w:ind w:right="1280" w:firstLine="3840"/>
        <w:jc w:val="right"/>
        <w:rPr>
          <w:rFonts w:ascii="仿宋" w:hAnsi="仿宋" w:eastAsia="仿宋" w:cs="宋体"/>
          <w:color w:val="000000"/>
          <w:kern w:val="0"/>
          <w:sz w:val="32"/>
          <w:szCs w:val="32"/>
        </w:rPr>
      </w:pPr>
    </w:p>
    <w:p>
      <w:pPr>
        <w:widowControl/>
        <w:shd w:val="clear" w:color="auto" w:fill="FFFFFF"/>
        <w:spacing w:line="360" w:lineRule="atLeast"/>
        <w:ind w:right="1280" w:firstLine="3840"/>
        <w:jc w:val="right"/>
        <w:rPr>
          <w:rFonts w:ascii="仿宋" w:hAnsi="仿宋" w:eastAsia="仿宋" w:cs="宋体"/>
          <w:color w:val="000000"/>
          <w:kern w:val="0"/>
          <w:sz w:val="32"/>
          <w:szCs w:val="32"/>
        </w:rPr>
      </w:pPr>
    </w:p>
    <w:p>
      <w:pPr>
        <w:widowControl/>
        <w:shd w:val="clear" w:color="auto" w:fill="FFFFFF"/>
        <w:spacing w:line="360" w:lineRule="atLeast"/>
        <w:ind w:right="1280" w:firstLine="3840"/>
        <w:jc w:val="right"/>
        <w:rPr>
          <w:rFonts w:ascii="宋体" w:hAnsi="宋体" w:eastAsia="宋体" w:cs="宋体"/>
          <w:color w:val="333333"/>
          <w:kern w:val="0"/>
          <w:sz w:val="18"/>
          <w:szCs w:val="18"/>
        </w:rPr>
      </w:pPr>
      <w:r>
        <w:rPr>
          <w:rFonts w:hint="eastAsia" w:ascii="仿宋" w:hAnsi="仿宋" w:eastAsia="仿宋" w:cs="宋体"/>
          <w:color w:val="000000"/>
          <w:kern w:val="0"/>
          <w:sz w:val="32"/>
          <w:szCs w:val="32"/>
        </w:rPr>
        <w:t>承诺人（公章）：</w:t>
      </w:r>
    </w:p>
    <w:p>
      <w:pPr>
        <w:widowControl/>
        <w:shd w:val="clear" w:color="auto" w:fill="FFFFFF"/>
        <w:spacing w:line="360" w:lineRule="atLeast"/>
        <w:ind w:firstLine="640"/>
        <w:jc w:val="right"/>
        <w:rPr>
          <w:rFonts w:ascii="仿宋" w:hAnsi="仿宋" w:eastAsia="仿宋" w:cs="宋体"/>
          <w:color w:val="000000"/>
          <w:kern w:val="0"/>
          <w:sz w:val="32"/>
          <w:szCs w:val="32"/>
        </w:rPr>
      </w:pPr>
      <w:r>
        <w:rPr>
          <w:rFonts w:hint="eastAsia" w:ascii="仿宋" w:hAnsi="仿宋" w:eastAsia="仿宋" w:cs="宋体"/>
          <w:color w:val="000000"/>
          <w:kern w:val="0"/>
          <w:sz w:val="32"/>
          <w:szCs w:val="32"/>
        </w:rPr>
        <w:t>承诺人法定代表人或受托人签字：</w:t>
      </w:r>
    </w:p>
    <w:p>
      <w:pPr>
        <w:pStyle w:val="7"/>
        <w:widowControl/>
        <w:spacing w:after="20" w:line="560" w:lineRule="exact"/>
        <w:ind w:firstLine="4480" w:firstLineChars="1400"/>
      </w:pPr>
      <w:r>
        <w:rPr>
          <w:rFonts w:hint="default" w:ascii="仿宋" w:hAnsi="仿宋" w:eastAsia="仿宋" w:cs="宋体"/>
          <w:color w:val="000000"/>
          <w:sz w:val="32"/>
          <w:szCs w:val="32"/>
          <w:lang w:val="en-IE"/>
        </w:rPr>
        <w:t xml:space="preserve">  </w:t>
      </w:r>
      <w:r>
        <w:rPr>
          <w:rFonts w:hint="eastAsia" w:ascii="仿宋" w:hAnsi="仿宋" w:eastAsia="仿宋" w:cs="宋体"/>
          <w:color w:val="000000"/>
          <w:sz w:val="32"/>
          <w:szCs w:val="32"/>
        </w:rPr>
        <w:t xml:space="preserve">年  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5A3341"/>
    <w:rsid w:val="00123EC4"/>
    <w:rsid w:val="00131879"/>
    <w:rsid w:val="00164259"/>
    <w:rsid w:val="00175AE1"/>
    <w:rsid w:val="001F3389"/>
    <w:rsid w:val="002C45EC"/>
    <w:rsid w:val="002D0C6F"/>
    <w:rsid w:val="00345ED2"/>
    <w:rsid w:val="00351A1D"/>
    <w:rsid w:val="003C41C9"/>
    <w:rsid w:val="00414737"/>
    <w:rsid w:val="00462340"/>
    <w:rsid w:val="00465269"/>
    <w:rsid w:val="004D0FA5"/>
    <w:rsid w:val="00526C1F"/>
    <w:rsid w:val="006518F8"/>
    <w:rsid w:val="006A07AC"/>
    <w:rsid w:val="00741ADB"/>
    <w:rsid w:val="00747730"/>
    <w:rsid w:val="007652A5"/>
    <w:rsid w:val="00767DDB"/>
    <w:rsid w:val="00786555"/>
    <w:rsid w:val="00812E4E"/>
    <w:rsid w:val="008358F0"/>
    <w:rsid w:val="0084020E"/>
    <w:rsid w:val="00874A44"/>
    <w:rsid w:val="00991231"/>
    <w:rsid w:val="009E0110"/>
    <w:rsid w:val="00A172C5"/>
    <w:rsid w:val="00A3126E"/>
    <w:rsid w:val="00A360FD"/>
    <w:rsid w:val="00A833C3"/>
    <w:rsid w:val="00B279B6"/>
    <w:rsid w:val="00B41E4E"/>
    <w:rsid w:val="00C111DD"/>
    <w:rsid w:val="00CD0A15"/>
    <w:rsid w:val="00CF0694"/>
    <w:rsid w:val="00D03B18"/>
    <w:rsid w:val="00EB7C8A"/>
    <w:rsid w:val="00ED1170"/>
    <w:rsid w:val="00F15176"/>
    <w:rsid w:val="00F653F5"/>
    <w:rsid w:val="00FC52FE"/>
    <w:rsid w:val="00FE12E3"/>
    <w:rsid w:val="0193795B"/>
    <w:rsid w:val="01E8319E"/>
    <w:rsid w:val="022F6AC7"/>
    <w:rsid w:val="04747C72"/>
    <w:rsid w:val="066C454A"/>
    <w:rsid w:val="06DB5DBF"/>
    <w:rsid w:val="07520F7F"/>
    <w:rsid w:val="08F6315E"/>
    <w:rsid w:val="09002E9F"/>
    <w:rsid w:val="09040F2D"/>
    <w:rsid w:val="0C5429AF"/>
    <w:rsid w:val="0D212B98"/>
    <w:rsid w:val="0DF93A0E"/>
    <w:rsid w:val="0F4562C6"/>
    <w:rsid w:val="0FC8026D"/>
    <w:rsid w:val="0FFF0617"/>
    <w:rsid w:val="101C6671"/>
    <w:rsid w:val="10B529DF"/>
    <w:rsid w:val="12186232"/>
    <w:rsid w:val="1249001F"/>
    <w:rsid w:val="12A87649"/>
    <w:rsid w:val="12ED2E75"/>
    <w:rsid w:val="137B58CE"/>
    <w:rsid w:val="138C7EE2"/>
    <w:rsid w:val="13972D2B"/>
    <w:rsid w:val="13ED11E8"/>
    <w:rsid w:val="144B4BA7"/>
    <w:rsid w:val="1505041E"/>
    <w:rsid w:val="16311B8B"/>
    <w:rsid w:val="16364DE9"/>
    <w:rsid w:val="173D0AFB"/>
    <w:rsid w:val="19BD2717"/>
    <w:rsid w:val="1AFC12E8"/>
    <w:rsid w:val="1AFF766F"/>
    <w:rsid w:val="1C0126E6"/>
    <w:rsid w:val="1C7A0B31"/>
    <w:rsid w:val="1CC7696F"/>
    <w:rsid w:val="1D0F31CB"/>
    <w:rsid w:val="1E5D3DC8"/>
    <w:rsid w:val="1EAA5B7D"/>
    <w:rsid w:val="1F8074E1"/>
    <w:rsid w:val="206C7606"/>
    <w:rsid w:val="208A7389"/>
    <w:rsid w:val="219F179A"/>
    <w:rsid w:val="21DB6680"/>
    <w:rsid w:val="22525C20"/>
    <w:rsid w:val="22DA0DA2"/>
    <w:rsid w:val="24357391"/>
    <w:rsid w:val="24570ACD"/>
    <w:rsid w:val="2520101F"/>
    <w:rsid w:val="25414AFB"/>
    <w:rsid w:val="2657007C"/>
    <w:rsid w:val="26A23044"/>
    <w:rsid w:val="26AB2F41"/>
    <w:rsid w:val="2C5D1DD8"/>
    <w:rsid w:val="2DD25527"/>
    <w:rsid w:val="2E2629A0"/>
    <w:rsid w:val="2F64792F"/>
    <w:rsid w:val="30153DE3"/>
    <w:rsid w:val="33507D03"/>
    <w:rsid w:val="35192D71"/>
    <w:rsid w:val="37165BB5"/>
    <w:rsid w:val="37963112"/>
    <w:rsid w:val="3B0A3D02"/>
    <w:rsid w:val="40E438B7"/>
    <w:rsid w:val="429262BA"/>
    <w:rsid w:val="42B27CED"/>
    <w:rsid w:val="43E1607F"/>
    <w:rsid w:val="4566279C"/>
    <w:rsid w:val="499C476E"/>
    <w:rsid w:val="49C51EA6"/>
    <w:rsid w:val="4AFA0300"/>
    <w:rsid w:val="4BAD6256"/>
    <w:rsid w:val="4BD020A2"/>
    <w:rsid w:val="4D69444D"/>
    <w:rsid w:val="4DE4581D"/>
    <w:rsid w:val="505B6C87"/>
    <w:rsid w:val="50AB02BE"/>
    <w:rsid w:val="50D64A21"/>
    <w:rsid w:val="51EA0D31"/>
    <w:rsid w:val="52232399"/>
    <w:rsid w:val="56127EE1"/>
    <w:rsid w:val="573633A8"/>
    <w:rsid w:val="590272A1"/>
    <w:rsid w:val="595A3341"/>
    <w:rsid w:val="5B2F3B47"/>
    <w:rsid w:val="5B747F63"/>
    <w:rsid w:val="5C2F770A"/>
    <w:rsid w:val="5DFE1941"/>
    <w:rsid w:val="5FF40AC1"/>
    <w:rsid w:val="60E11FAA"/>
    <w:rsid w:val="617D1117"/>
    <w:rsid w:val="63A35F95"/>
    <w:rsid w:val="63F61020"/>
    <w:rsid w:val="65157C6D"/>
    <w:rsid w:val="65357F13"/>
    <w:rsid w:val="68EC6437"/>
    <w:rsid w:val="6A2E5DB1"/>
    <w:rsid w:val="6C7E663B"/>
    <w:rsid w:val="6D3404BF"/>
    <w:rsid w:val="6E045CB4"/>
    <w:rsid w:val="6E350BA2"/>
    <w:rsid w:val="6EC96A38"/>
    <w:rsid w:val="6F4A13D9"/>
    <w:rsid w:val="71BA320D"/>
    <w:rsid w:val="71E375DB"/>
    <w:rsid w:val="72AB1C8B"/>
    <w:rsid w:val="72FB1904"/>
    <w:rsid w:val="730108DE"/>
    <w:rsid w:val="74247EC7"/>
    <w:rsid w:val="7620186B"/>
    <w:rsid w:val="79436C20"/>
    <w:rsid w:val="7C230FF3"/>
    <w:rsid w:val="7EE37FE6"/>
    <w:rsid w:val="7F3C3D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link w:val="13"/>
    <w:qFormat/>
    <w:uiPriority w:val="0"/>
    <w:rPr>
      <w:sz w:val="18"/>
      <w:szCs w:val="18"/>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Autospacing="1" w:afterAutospacing="1"/>
      <w:jc w:val="left"/>
    </w:pPr>
    <w:rPr>
      <w:rFonts w:cs="Times New Roman"/>
      <w:kern w:val="0"/>
      <w:sz w:val="24"/>
    </w:rPr>
  </w:style>
  <w:style w:type="character" w:styleId="10">
    <w:name w:val="Hyperlink"/>
    <w:basedOn w:val="9"/>
    <w:qFormat/>
    <w:uiPriority w:val="0"/>
    <w:rPr>
      <w:color w:val="0000FF"/>
      <w:u w:val="single"/>
    </w:rPr>
  </w:style>
  <w:style w:type="character" w:customStyle="1" w:styleId="11">
    <w:name w:val="页眉 Char"/>
    <w:basedOn w:val="9"/>
    <w:link w:val="6"/>
    <w:qFormat/>
    <w:uiPriority w:val="0"/>
    <w:rPr>
      <w:rFonts w:asciiTheme="minorHAnsi" w:hAnsiTheme="minorHAnsi" w:eastAsiaTheme="minorEastAsia" w:cstheme="minorBidi"/>
      <w:kern w:val="2"/>
      <w:sz w:val="18"/>
      <w:szCs w:val="18"/>
    </w:rPr>
  </w:style>
  <w:style w:type="character" w:customStyle="1" w:styleId="12">
    <w:name w:val="页脚 Char"/>
    <w:basedOn w:val="9"/>
    <w:link w:val="5"/>
    <w:qFormat/>
    <w:uiPriority w:val="0"/>
    <w:rPr>
      <w:rFonts w:asciiTheme="minorHAnsi" w:hAnsiTheme="minorHAnsi" w:eastAsiaTheme="minorEastAsia" w:cstheme="minorBidi"/>
      <w:kern w:val="2"/>
      <w:sz w:val="18"/>
      <w:szCs w:val="18"/>
    </w:rPr>
  </w:style>
  <w:style w:type="character" w:customStyle="1" w:styleId="13">
    <w:name w:val="批注框文本 Char"/>
    <w:basedOn w:val="9"/>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229</Words>
  <Characters>1307</Characters>
  <Lines>10</Lines>
  <Paragraphs>3</Paragraphs>
  <TotalTime>1</TotalTime>
  <ScaleCrop>false</ScaleCrop>
  <LinksUpToDate>false</LinksUpToDate>
  <CharactersWithSpaces>1533</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2021-09-14T03:03:00Z</dcterms:created>
  <dc:creator>月夜初星</dc:creator>
  <cp:lastModifiedBy>PP</cp:lastModifiedBy>
  <cp:lastPrinted>2021-09-14T03:38:00Z</cp:lastPrinted>
  <dcterms:modified xsi:type="dcterms:W3CDTF">2022-08-29T06:48:05Z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4C67973C1804433A84FC2C99A0A1103F</vt:lpwstr>
  </property>
</Properties>
</file>