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cs="Times New Roman" w:asciiTheme="majorEastAsia" w:hAnsiTheme="majorEastAsia" w:eastAsiaTheme="majorEastAsia"/>
          <w:b/>
          <w:spacing w:val="20"/>
          <w:w w:val="110"/>
          <w:kern w:val="10"/>
          <w:sz w:val="40"/>
          <w:szCs w:val="24"/>
        </w:rPr>
      </w:pPr>
      <w:r>
        <w:rPr>
          <w:rFonts w:hint="eastAsia" w:cs="Times New Roman" w:asciiTheme="majorEastAsia" w:hAnsiTheme="majorEastAsia" w:eastAsiaTheme="majorEastAsia"/>
          <w:b/>
          <w:spacing w:val="20"/>
          <w:w w:val="110"/>
          <w:kern w:val="10"/>
          <w:sz w:val="40"/>
          <w:szCs w:val="24"/>
        </w:rPr>
        <w:t>深圳市土地使用权出让公告</w:t>
      </w:r>
    </w:p>
    <w:p>
      <w:pPr>
        <w:tabs>
          <w:tab w:val="left" w:pos="8460"/>
        </w:tabs>
        <w:spacing w:line="400" w:lineRule="exact"/>
        <w:jc w:val="center"/>
        <w:rPr>
          <w:rFonts w:cs="Times New Roman" w:asciiTheme="minorEastAsia" w:hAnsiTheme="minorEastAsia"/>
          <w:color w:val="000000"/>
          <w:spacing w:val="20"/>
          <w:w w:val="110"/>
          <w:kern w:val="10"/>
          <w:sz w:val="23"/>
          <w:szCs w:val="24"/>
        </w:rPr>
      </w:pPr>
      <w:r>
        <w:rPr>
          <w:rFonts w:hint="eastAsia" w:cs="Times New Roman" w:asciiTheme="minorEastAsia" w:hAnsiTheme="minorEastAsia"/>
          <w:color w:val="000000"/>
          <w:spacing w:val="20"/>
          <w:w w:val="110"/>
          <w:kern w:val="10"/>
          <w:sz w:val="23"/>
          <w:szCs w:val="24"/>
        </w:rPr>
        <w:t>深土交告〔2022〕</w:t>
      </w:r>
      <w:r>
        <w:rPr>
          <w:rFonts w:hint="eastAsia" w:cs="Times New Roman" w:asciiTheme="minorEastAsia" w:hAnsiTheme="minorEastAsia"/>
          <w:color w:val="000000"/>
          <w:spacing w:val="20"/>
          <w:w w:val="110"/>
          <w:kern w:val="10"/>
          <w:sz w:val="23"/>
          <w:szCs w:val="24"/>
          <w:lang w:val="en-US" w:eastAsia="zh-CN"/>
        </w:rPr>
        <w:t>44</w:t>
      </w:r>
      <w:r>
        <w:rPr>
          <w:rFonts w:hint="eastAsia" w:cs="Times New Roman" w:asciiTheme="minorEastAsia" w:hAnsiTheme="minorEastAsia"/>
          <w:color w:val="000000"/>
          <w:spacing w:val="20"/>
          <w:w w:val="110"/>
          <w:kern w:val="10"/>
          <w:sz w:val="23"/>
          <w:szCs w:val="24"/>
        </w:rPr>
        <w:t>号</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根据有关法律、法规，深圳市规划和自然资源局（以下简称市规划和自然资源局）委托深圳交易集团有限公司（深圳公共资源交易中心）（以下简称“公共资源交易中心”），在深圳市福田区红荔西路8007号土地房产交易大厦（以下简称交易大厦）3楼，以挂牌方式公开出让宗地代码为</w:t>
      </w:r>
      <w:r>
        <w:rPr>
          <w:rFonts w:cs="Times New Roman" w:asciiTheme="minorEastAsia" w:hAnsiTheme="minorEastAsia"/>
          <w:spacing w:val="20"/>
          <w:w w:val="110"/>
          <w:kern w:val="10"/>
          <w:sz w:val="23"/>
          <w:szCs w:val="23"/>
        </w:rPr>
        <w:t>440310201003GB00464</w:t>
      </w:r>
      <w:r>
        <w:rPr>
          <w:rFonts w:hint="eastAsia" w:cs="Times New Roman" w:asciiTheme="minorEastAsia" w:hAnsiTheme="minorEastAsia"/>
          <w:spacing w:val="20"/>
          <w:w w:val="110"/>
          <w:kern w:val="10"/>
          <w:sz w:val="23"/>
          <w:szCs w:val="23"/>
        </w:rPr>
        <w:t>等两宗地的使用权，公告期自2022年8月</w:t>
      </w:r>
      <w:r>
        <w:rPr>
          <w:rFonts w:cs="Times New Roman" w:asciiTheme="minorEastAsia" w:hAnsiTheme="minorEastAsia"/>
          <w:spacing w:val="20"/>
          <w:w w:val="110"/>
          <w:kern w:val="10"/>
          <w:sz w:val="23"/>
          <w:szCs w:val="23"/>
        </w:rPr>
        <w:t>30</w:t>
      </w:r>
      <w:r>
        <w:rPr>
          <w:rFonts w:hint="eastAsia" w:cs="Times New Roman" w:asciiTheme="minorEastAsia" w:hAnsiTheme="minorEastAsia"/>
          <w:spacing w:val="20"/>
          <w:w w:val="110"/>
          <w:kern w:val="10"/>
          <w:sz w:val="23"/>
          <w:szCs w:val="23"/>
        </w:rPr>
        <w:t>日至2022年9月1</w:t>
      </w:r>
      <w:r>
        <w:rPr>
          <w:rFonts w:cs="Times New Roman" w:asciiTheme="minorEastAsia" w:hAnsiTheme="minorEastAsia"/>
          <w:spacing w:val="20"/>
          <w:w w:val="110"/>
          <w:kern w:val="10"/>
          <w:sz w:val="23"/>
          <w:szCs w:val="23"/>
        </w:rPr>
        <w:t>8</w:t>
      </w:r>
      <w:r>
        <w:rPr>
          <w:rFonts w:hint="eastAsia" w:cs="Times New Roman" w:asciiTheme="minorEastAsia" w:hAnsiTheme="minorEastAsia"/>
          <w:spacing w:val="20"/>
          <w:w w:val="110"/>
          <w:kern w:val="10"/>
          <w:sz w:val="23"/>
          <w:szCs w:val="23"/>
        </w:rPr>
        <w:t>日，挂牌期自2022年9月1</w:t>
      </w:r>
      <w:r>
        <w:rPr>
          <w:rFonts w:cs="Times New Roman" w:asciiTheme="minorEastAsia" w:hAnsiTheme="minorEastAsia"/>
          <w:spacing w:val="20"/>
          <w:w w:val="110"/>
          <w:kern w:val="10"/>
          <w:sz w:val="23"/>
          <w:szCs w:val="23"/>
        </w:rPr>
        <w:t>9</w:t>
      </w:r>
      <w:r>
        <w:rPr>
          <w:rFonts w:hint="eastAsia" w:cs="Times New Roman" w:asciiTheme="minorEastAsia" w:hAnsiTheme="minorEastAsia"/>
          <w:spacing w:val="20"/>
          <w:w w:val="110"/>
          <w:kern w:val="10"/>
          <w:sz w:val="23"/>
          <w:szCs w:val="23"/>
        </w:rPr>
        <w:t>日至2022年9月2</w:t>
      </w:r>
      <w:r>
        <w:rPr>
          <w:rFonts w:cs="Times New Roman" w:asciiTheme="minorEastAsia" w:hAnsiTheme="minorEastAsia"/>
          <w:spacing w:val="20"/>
          <w:w w:val="110"/>
          <w:kern w:val="10"/>
          <w:sz w:val="23"/>
          <w:szCs w:val="23"/>
        </w:rPr>
        <w:t>8</w:t>
      </w:r>
      <w:r>
        <w:rPr>
          <w:rFonts w:hint="eastAsia" w:cs="Times New Roman" w:asciiTheme="minorEastAsia" w:hAnsiTheme="minorEastAsia"/>
          <w:spacing w:val="20"/>
          <w:w w:val="110"/>
          <w:kern w:val="10"/>
          <w:sz w:val="23"/>
          <w:szCs w:val="23"/>
        </w:rPr>
        <w:t>日</w:t>
      </w:r>
      <w:r>
        <w:rPr>
          <w:rFonts w:hint="eastAsia" w:cs="Times New Roman" w:asciiTheme="minorEastAsia" w:hAnsiTheme="minorEastAsia"/>
          <w:spacing w:val="20"/>
          <w:w w:val="110"/>
          <w:kern w:val="10"/>
          <w:sz w:val="23"/>
          <w:szCs w:val="23"/>
          <w:lang w:val="en-US" w:eastAsia="zh-CN"/>
        </w:rPr>
        <w:t>15</w:t>
      </w:r>
      <w:r>
        <w:rPr>
          <w:rFonts w:hint="eastAsia" w:cs="Times New Roman" w:asciiTheme="minorEastAsia" w:hAnsiTheme="minorEastAsia"/>
          <w:spacing w:val="20"/>
          <w:w w:val="110"/>
          <w:kern w:val="10"/>
          <w:sz w:val="23"/>
          <w:szCs w:val="23"/>
        </w:rPr>
        <w:t>时止。现予公告。</w:t>
      </w:r>
    </w:p>
    <w:tbl>
      <w:tblPr>
        <w:tblStyle w:val="8"/>
        <w:tblpPr w:leftFromText="180" w:rightFromText="180" w:vertAnchor="text" w:horzAnchor="page" w:tblpX="319" w:tblpY="566"/>
        <w:tblOverlap w:val="never"/>
        <w:tblW w:w="11375" w:type="dxa"/>
        <w:tblInd w:w="0" w:type="dxa"/>
        <w:shd w:val="clear" w:color="auto" w:fill="FFFFFF"/>
        <w:tblLayout w:type="fixed"/>
        <w:tblCellMar>
          <w:top w:w="15" w:type="dxa"/>
          <w:left w:w="15" w:type="dxa"/>
          <w:bottom w:w="15" w:type="dxa"/>
          <w:right w:w="15" w:type="dxa"/>
        </w:tblCellMar>
      </w:tblPr>
      <w:tblGrid>
        <w:gridCol w:w="977"/>
        <w:gridCol w:w="814"/>
        <w:gridCol w:w="840"/>
        <w:gridCol w:w="1474"/>
        <w:gridCol w:w="969"/>
        <w:gridCol w:w="1003"/>
        <w:gridCol w:w="1054"/>
        <w:gridCol w:w="1106"/>
        <w:gridCol w:w="1040"/>
        <w:gridCol w:w="835"/>
        <w:gridCol w:w="725"/>
        <w:gridCol w:w="538"/>
      </w:tblGrid>
      <w:tr>
        <w:tblPrEx>
          <w:shd w:val="clear" w:color="auto" w:fill="FFFFFF"/>
          <w:tblCellMar>
            <w:top w:w="15" w:type="dxa"/>
            <w:left w:w="15" w:type="dxa"/>
            <w:bottom w:w="15" w:type="dxa"/>
            <w:right w:w="15" w:type="dxa"/>
          </w:tblCellMar>
        </w:tblPrEx>
        <w:trPr>
          <w:trHeight w:val="1657" w:hRule="atLeast"/>
        </w:trPr>
        <w:tc>
          <w:tcPr>
            <w:tcW w:w="977"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宗地代码</w:t>
            </w:r>
          </w:p>
        </w:tc>
        <w:tc>
          <w:tcPr>
            <w:tcW w:w="814"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宗地号</w:t>
            </w:r>
          </w:p>
        </w:tc>
        <w:tc>
          <w:tcPr>
            <w:tcW w:w="84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土地位置</w:t>
            </w:r>
          </w:p>
        </w:tc>
        <w:tc>
          <w:tcPr>
            <w:tcW w:w="1474"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b/>
                <w:bCs/>
                <w:color w:val="000000"/>
                <w:kern w:val="0"/>
                <w:sz w:val="18"/>
                <w:szCs w:val="18"/>
              </w:rPr>
            </w:pPr>
            <w:r>
              <w:rPr>
                <w:rFonts w:hint="eastAsia" w:ascii="汉仪书宋二简" w:hAnsi="微软雅黑" w:eastAsia="汉仪书宋二简" w:cs="宋体"/>
                <w:b/>
                <w:bCs/>
                <w:color w:val="000000"/>
                <w:kern w:val="0"/>
                <w:sz w:val="18"/>
                <w:szCs w:val="18"/>
              </w:rPr>
              <w:t>土地</w:t>
            </w:r>
          </w:p>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用途</w:t>
            </w:r>
          </w:p>
        </w:tc>
        <w:tc>
          <w:tcPr>
            <w:tcW w:w="969"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土地面积（平方米）</w:t>
            </w:r>
          </w:p>
        </w:tc>
        <w:tc>
          <w:tcPr>
            <w:tcW w:w="1003"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建筑面积（平方米）</w:t>
            </w:r>
          </w:p>
        </w:tc>
        <w:tc>
          <w:tcPr>
            <w:tcW w:w="1054"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挂牌起始价（人民币、万元）</w:t>
            </w:r>
          </w:p>
        </w:tc>
        <w:tc>
          <w:tcPr>
            <w:tcW w:w="1106"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最高限制地价（人民币、万元）</w:t>
            </w:r>
          </w:p>
        </w:tc>
        <w:tc>
          <w:tcPr>
            <w:tcW w:w="10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jc w:val="center"/>
              <w:rPr>
                <w:rFonts w:ascii="汉仪书宋二简" w:hAnsi="微软雅黑" w:eastAsia="汉仪书宋二简" w:cs="宋体"/>
                <w:b/>
                <w:bCs/>
                <w:color w:val="000000"/>
                <w:kern w:val="0"/>
                <w:sz w:val="18"/>
                <w:szCs w:val="18"/>
              </w:rPr>
            </w:pPr>
            <w:r>
              <w:rPr>
                <w:rFonts w:hint="eastAsia" w:ascii="汉仪书宋二简" w:hAnsi="微软雅黑" w:eastAsia="汉仪书宋二简" w:cs="宋体"/>
                <w:b/>
                <w:bCs/>
                <w:color w:val="000000"/>
                <w:kern w:val="0"/>
                <w:sz w:val="18"/>
                <w:szCs w:val="18"/>
              </w:rPr>
              <w:t>初始建设的安居型商品房建筑面积（平方米）</w:t>
            </w:r>
          </w:p>
        </w:tc>
        <w:tc>
          <w:tcPr>
            <w:tcW w:w="83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b/>
                <w:bCs/>
                <w:color w:val="000000"/>
                <w:kern w:val="0"/>
                <w:sz w:val="18"/>
                <w:szCs w:val="18"/>
              </w:rPr>
            </w:pPr>
            <w:r>
              <w:rPr>
                <w:rFonts w:hint="eastAsia" w:ascii="汉仪书宋二简" w:hAnsi="微软雅黑" w:eastAsia="汉仪书宋二简" w:cs="宋体"/>
                <w:b/>
                <w:bCs/>
                <w:color w:val="000000"/>
                <w:kern w:val="0"/>
                <w:sz w:val="18"/>
                <w:szCs w:val="18"/>
              </w:rPr>
              <w:t>竞企业自持的保障性租赁住房最高限制建筑面积（平方米）</w:t>
            </w:r>
          </w:p>
        </w:tc>
        <w:tc>
          <w:tcPr>
            <w:tcW w:w="72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竞买（投标）保证金（人民币、万元）</w:t>
            </w:r>
          </w:p>
        </w:tc>
        <w:tc>
          <w:tcPr>
            <w:tcW w:w="5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rPr>
            </w:pPr>
            <w:r>
              <w:rPr>
                <w:rFonts w:hint="eastAsia" w:ascii="汉仪书宋二简" w:hAnsi="微软雅黑" w:eastAsia="汉仪书宋二简" w:cs="宋体"/>
                <w:b/>
                <w:bCs/>
                <w:color w:val="000000"/>
                <w:kern w:val="0"/>
                <w:sz w:val="18"/>
                <w:szCs w:val="18"/>
              </w:rPr>
              <w:t>土地使用年限（年）</w:t>
            </w:r>
          </w:p>
        </w:tc>
      </w:tr>
      <w:tr>
        <w:tblPrEx>
          <w:shd w:val="clear" w:color="auto" w:fill="FFFFFF"/>
          <w:tblCellMar>
            <w:top w:w="15" w:type="dxa"/>
            <w:left w:w="15" w:type="dxa"/>
            <w:bottom w:w="15" w:type="dxa"/>
            <w:right w:w="15" w:type="dxa"/>
          </w:tblCellMar>
        </w:tblPrEx>
        <w:trPr>
          <w:trHeight w:val="1079" w:hRule="atLeast"/>
        </w:trPr>
        <w:tc>
          <w:tcPr>
            <w:tcW w:w="977"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kern w:val="0"/>
                <w:sz w:val="18"/>
                <w:szCs w:val="18"/>
              </w:rPr>
            </w:pPr>
            <w:r>
              <w:rPr>
                <w:rFonts w:ascii="宋体" w:hAnsi="宋体" w:eastAsia="宋体" w:cs="宋体"/>
                <w:bCs/>
                <w:kern w:val="0"/>
                <w:sz w:val="20"/>
                <w:szCs w:val="20"/>
              </w:rPr>
              <w:t>440310201003GB00464</w:t>
            </w:r>
          </w:p>
        </w:tc>
        <w:tc>
          <w:tcPr>
            <w:tcW w:w="814"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cs="宋体" w:asciiTheme="minorEastAsia" w:hAnsiTheme="minorEastAsia"/>
                <w:bCs/>
                <w:kern w:val="0"/>
                <w:sz w:val="20"/>
                <w:szCs w:val="20"/>
              </w:rPr>
            </w:pPr>
            <w:r>
              <w:rPr>
                <w:rFonts w:cs="宋体" w:asciiTheme="minorEastAsia" w:hAnsiTheme="minorEastAsia"/>
                <w:bCs/>
                <w:kern w:val="0"/>
                <w:sz w:val="20"/>
                <w:szCs w:val="20"/>
              </w:rPr>
              <w:t>G14306-8011</w:t>
            </w:r>
          </w:p>
        </w:tc>
        <w:tc>
          <w:tcPr>
            <w:tcW w:w="84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cs="宋体" w:asciiTheme="minorEastAsia" w:hAnsiTheme="minorEastAsia"/>
                <w:bCs/>
                <w:kern w:val="0"/>
                <w:sz w:val="20"/>
                <w:szCs w:val="20"/>
              </w:rPr>
            </w:pPr>
            <w:r>
              <w:rPr>
                <w:rFonts w:hint="eastAsia" w:cs="宋体" w:asciiTheme="minorEastAsia" w:hAnsiTheme="minorEastAsia"/>
                <w:bCs/>
                <w:kern w:val="0"/>
                <w:sz w:val="20"/>
                <w:szCs w:val="20"/>
              </w:rPr>
              <w:t>坪山区坑梓街道</w:t>
            </w:r>
          </w:p>
        </w:tc>
        <w:tc>
          <w:tcPr>
            <w:tcW w:w="1474"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cs="宋体" w:asciiTheme="minorEastAsia" w:hAnsiTheme="minorEastAsia"/>
                <w:bCs/>
                <w:kern w:val="0"/>
                <w:sz w:val="20"/>
                <w:szCs w:val="20"/>
              </w:rPr>
            </w:pPr>
            <w:r>
              <w:rPr>
                <w:rFonts w:cs="宋体" w:asciiTheme="minorEastAsia" w:hAnsiTheme="minorEastAsia"/>
                <w:bCs/>
                <w:kern w:val="0"/>
                <w:sz w:val="20"/>
                <w:szCs w:val="20"/>
              </w:rPr>
              <w:t>二类居住用地</w:t>
            </w:r>
          </w:p>
        </w:tc>
        <w:tc>
          <w:tcPr>
            <w:tcW w:w="969"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cs="宋体" w:asciiTheme="minorEastAsia" w:hAnsiTheme="minorEastAsia"/>
                <w:bCs/>
                <w:kern w:val="0"/>
                <w:sz w:val="20"/>
                <w:szCs w:val="20"/>
              </w:rPr>
            </w:pPr>
            <w:r>
              <w:rPr>
                <w:rFonts w:cs="宋体" w:asciiTheme="minorEastAsia" w:hAnsiTheme="minorEastAsia"/>
                <w:bCs/>
                <w:kern w:val="0"/>
                <w:sz w:val="20"/>
                <w:szCs w:val="20"/>
              </w:rPr>
              <w:t>192237.39</w:t>
            </w:r>
          </w:p>
        </w:tc>
        <w:tc>
          <w:tcPr>
            <w:tcW w:w="1003"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cs="宋体" w:asciiTheme="minorEastAsia" w:hAnsiTheme="minorEastAsia"/>
                <w:bCs/>
                <w:kern w:val="0"/>
                <w:sz w:val="20"/>
                <w:szCs w:val="20"/>
              </w:rPr>
            </w:pPr>
            <w:r>
              <w:rPr>
                <w:rFonts w:cs="宋体" w:asciiTheme="minorEastAsia" w:hAnsiTheme="minorEastAsia"/>
                <w:bCs/>
                <w:kern w:val="0"/>
                <w:sz w:val="20"/>
                <w:szCs w:val="20"/>
              </w:rPr>
              <w:t>427834</w:t>
            </w:r>
          </w:p>
        </w:tc>
        <w:tc>
          <w:tcPr>
            <w:tcW w:w="1054"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cs="宋体" w:asciiTheme="minorEastAsia" w:hAnsiTheme="minorEastAsia"/>
                <w:bCs/>
                <w:kern w:val="0"/>
                <w:sz w:val="20"/>
                <w:szCs w:val="20"/>
              </w:rPr>
            </w:pPr>
            <w:r>
              <w:rPr>
                <w:rFonts w:cs="宋体" w:asciiTheme="minorEastAsia" w:hAnsiTheme="minorEastAsia"/>
                <w:bCs/>
                <w:kern w:val="0"/>
                <w:sz w:val="20"/>
                <w:szCs w:val="20"/>
              </w:rPr>
              <w:t>329200</w:t>
            </w:r>
          </w:p>
        </w:tc>
        <w:tc>
          <w:tcPr>
            <w:tcW w:w="1106"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eastAsia" w:cs="宋体" w:asciiTheme="minorEastAsia" w:hAnsiTheme="minorEastAsia"/>
                <w:bCs/>
                <w:kern w:val="0"/>
                <w:sz w:val="20"/>
                <w:szCs w:val="20"/>
              </w:rPr>
            </w:pPr>
            <w:r>
              <w:rPr>
                <w:rFonts w:hint="eastAsia" w:cs="宋体" w:asciiTheme="minorEastAsia" w:hAnsiTheme="minorEastAsia"/>
                <w:bCs/>
                <w:kern w:val="0"/>
                <w:sz w:val="20"/>
                <w:szCs w:val="20"/>
              </w:rPr>
              <w:t>378500</w:t>
            </w:r>
          </w:p>
        </w:tc>
        <w:tc>
          <w:tcPr>
            <w:tcW w:w="10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jc w:val="center"/>
              <w:rPr>
                <w:rFonts w:hint="eastAsia" w:cs="宋体" w:asciiTheme="minorEastAsia" w:hAnsiTheme="minorEastAsia"/>
                <w:bCs/>
                <w:kern w:val="0"/>
                <w:sz w:val="20"/>
                <w:szCs w:val="20"/>
              </w:rPr>
            </w:pPr>
            <w:r>
              <w:rPr>
                <w:rFonts w:hint="eastAsia" w:cs="宋体" w:asciiTheme="minorEastAsia" w:hAnsiTheme="minorEastAsia"/>
                <w:bCs/>
                <w:kern w:val="0"/>
                <w:sz w:val="20"/>
                <w:szCs w:val="20"/>
              </w:rPr>
              <w:t>204960</w:t>
            </w:r>
          </w:p>
        </w:tc>
        <w:tc>
          <w:tcPr>
            <w:tcW w:w="83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eastAsia" w:cs="宋体" w:asciiTheme="minorEastAsia" w:hAnsiTheme="minorEastAsia"/>
                <w:bCs/>
                <w:kern w:val="0"/>
                <w:sz w:val="20"/>
                <w:szCs w:val="20"/>
              </w:rPr>
            </w:pPr>
            <w:r>
              <w:rPr>
                <w:rFonts w:hint="eastAsia" w:cs="宋体" w:asciiTheme="minorEastAsia" w:hAnsiTheme="minorEastAsia"/>
                <w:bCs/>
                <w:kern w:val="0"/>
                <w:sz w:val="20"/>
                <w:szCs w:val="20"/>
              </w:rPr>
              <w:t>40980</w:t>
            </w:r>
          </w:p>
        </w:tc>
        <w:tc>
          <w:tcPr>
            <w:tcW w:w="72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eastAsia" w:cs="宋体" w:asciiTheme="minorEastAsia" w:hAnsiTheme="minorEastAsia"/>
                <w:bCs/>
                <w:kern w:val="0"/>
                <w:sz w:val="20"/>
                <w:szCs w:val="20"/>
              </w:rPr>
            </w:pPr>
            <w:r>
              <w:rPr>
                <w:rFonts w:hint="eastAsia" w:cs="宋体" w:asciiTheme="minorEastAsia" w:hAnsiTheme="minorEastAsia"/>
                <w:bCs/>
                <w:kern w:val="0"/>
                <w:sz w:val="20"/>
                <w:szCs w:val="20"/>
              </w:rPr>
              <w:t>164600</w:t>
            </w:r>
          </w:p>
        </w:tc>
        <w:tc>
          <w:tcPr>
            <w:tcW w:w="5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eastAsia" w:cs="宋体" w:asciiTheme="minorEastAsia" w:hAnsiTheme="minorEastAsia"/>
                <w:bCs/>
                <w:kern w:val="0"/>
                <w:sz w:val="20"/>
                <w:szCs w:val="20"/>
              </w:rPr>
            </w:pPr>
            <w:r>
              <w:rPr>
                <w:rFonts w:hint="eastAsia" w:cs="宋体" w:asciiTheme="minorEastAsia" w:hAnsiTheme="minorEastAsia"/>
                <w:bCs/>
                <w:kern w:val="0"/>
                <w:sz w:val="20"/>
                <w:szCs w:val="20"/>
              </w:rPr>
              <w:t>70年</w:t>
            </w:r>
          </w:p>
        </w:tc>
      </w:tr>
      <w:tr>
        <w:tblPrEx>
          <w:shd w:val="clear" w:color="auto" w:fill="FFFFFF"/>
          <w:tblCellMar>
            <w:top w:w="15" w:type="dxa"/>
            <w:left w:w="15" w:type="dxa"/>
            <w:bottom w:w="15" w:type="dxa"/>
            <w:right w:w="15" w:type="dxa"/>
          </w:tblCellMar>
        </w:tblPrEx>
        <w:trPr>
          <w:trHeight w:val="1520" w:hRule="atLeast"/>
        </w:trPr>
        <w:tc>
          <w:tcPr>
            <w:tcW w:w="977"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kern w:val="0"/>
                <w:sz w:val="18"/>
                <w:szCs w:val="18"/>
              </w:rPr>
            </w:pPr>
            <w:r>
              <w:rPr>
                <w:rFonts w:ascii="宋体" w:hAnsi="宋体" w:eastAsia="宋体" w:cs="宋体"/>
                <w:bCs/>
                <w:kern w:val="0"/>
                <w:sz w:val="20"/>
                <w:szCs w:val="20"/>
              </w:rPr>
              <w:t>440310201003GB00465</w:t>
            </w:r>
          </w:p>
        </w:tc>
        <w:tc>
          <w:tcPr>
            <w:tcW w:w="814"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tabs>
                <w:tab w:val="center" w:pos="4153"/>
                <w:tab w:val="right" w:pos="8306"/>
              </w:tabs>
              <w:snapToGrid w:val="0"/>
              <w:jc w:val="center"/>
              <w:rPr>
                <w:rFonts w:cs="宋体" w:asciiTheme="minorEastAsia" w:hAnsiTheme="minorEastAsia"/>
                <w:bCs/>
                <w:kern w:val="0"/>
                <w:sz w:val="20"/>
                <w:szCs w:val="20"/>
              </w:rPr>
            </w:pPr>
            <w:r>
              <w:rPr>
                <w:rFonts w:cs="宋体" w:asciiTheme="minorEastAsia" w:hAnsiTheme="minorEastAsia"/>
                <w:bCs/>
                <w:kern w:val="0"/>
                <w:sz w:val="20"/>
                <w:szCs w:val="20"/>
              </w:rPr>
              <w:t>G14306-8012</w:t>
            </w:r>
          </w:p>
        </w:tc>
        <w:tc>
          <w:tcPr>
            <w:tcW w:w="84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tabs>
                <w:tab w:val="center" w:pos="4153"/>
                <w:tab w:val="right" w:pos="8306"/>
              </w:tabs>
              <w:snapToGrid w:val="0"/>
              <w:jc w:val="center"/>
              <w:rPr>
                <w:rFonts w:cs="宋体" w:asciiTheme="minorEastAsia" w:hAnsiTheme="minorEastAsia"/>
                <w:bCs/>
                <w:kern w:val="0"/>
                <w:sz w:val="20"/>
                <w:szCs w:val="20"/>
              </w:rPr>
            </w:pPr>
            <w:r>
              <w:rPr>
                <w:rFonts w:hint="eastAsia" w:cs="宋体" w:asciiTheme="minorEastAsia" w:hAnsiTheme="minorEastAsia"/>
                <w:bCs/>
                <w:kern w:val="0"/>
                <w:sz w:val="20"/>
                <w:szCs w:val="20"/>
              </w:rPr>
              <w:t>坪山区坑梓街道</w:t>
            </w:r>
          </w:p>
        </w:tc>
        <w:tc>
          <w:tcPr>
            <w:tcW w:w="1474"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kern w:val="0"/>
                <w:sz w:val="18"/>
                <w:szCs w:val="18"/>
              </w:rPr>
            </w:pPr>
            <w:r>
              <w:rPr>
                <w:rFonts w:hint="eastAsia" w:cs="宋体" w:asciiTheme="minorEastAsia" w:hAnsiTheme="minorEastAsia"/>
                <w:bCs/>
                <w:kern w:val="0"/>
                <w:sz w:val="20"/>
                <w:szCs w:val="20"/>
              </w:rPr>
              <w:t>二类居住用地+公园绿地+商业用地+教育设施用地+道路用地</w:t>
            </w:r>
          </w:p>
        </w:tc>
        <w:tc>
          <w:tcPr>
            <w:tcW w:w="969"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tabs>
                <w:tab w:val="center" w:pos="4153"/>
                <w:tab w:val="right" w:pos="8306"/>
              </w:tabs>
              <w:snapToGrid w:val="0"/>
              <w:jc w:val="center"/>
              <w:rPr>
                <w:rFonts w:cs="宋体" w:asciiTheme="minorEastAsia" w:hAnsiTheme="minorEastAsia"/>
                <w:bCs/>
                <w:kern w:val="0"/>
                <w:sz w:val="20"/>
                <w:szCs w:val="20"/>
              </w:rPr>
            </w:pPr>
            <w:r>
              <w:rPr>
                <w:rFonts w:hint="eastAsia" w:cs="宋体" w:asciiTheme="minorEastAsia" w:hAnsiTheme="minorEastAsia"/>
                <w:bCs/>
                <w:kern w:val="0"/>
                <w:sz w:val="20"/>
                <w:szCs w:val="20"/>
              </w:rPr>
              <w:t>1</w:t>
            </w:r>
            <w:r>
              <w:rPr>
                <w:rFonts w:cs="宋体" w:asciiTheme="minorEastAsia" w:hAnsiTheme="minorEastAsia"/>
                <w:bCs/>
                <w:kern w:val="0"/>
                <w:sz w:val="20"/>
                <w:szCs w:val="20"/>
              </w:rPr>
              <w:t>76349.5</w:t>
            </w:r>
          </w:p>
        </w:tc>
        <w:tc>
          <w:tcPr>
            <w:tcW w:w="1003"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cs="宋体" w:asciiTheme="minorEastAsia" w:hAnsiTheme="minorEastAsia"/>
                <w:bCs/>
                <w:kern w:val="0"/>
                <w:sz w:val="20"/>
                <w:szCs w:val="20"/>
                <w:lang w:val="en-US" w:eastAsia="zh-CN"/>
              </w:rPr>
            </w:pPr>
            <w:r>
              <w:rPr>
                <w:rFonts w:hint="eastAsia" w:cs="宋体" w:asciiTheme="minorEastAsia" w:hAnsiTheme="minorEastAsia"/>
                <w:bCs/>
                <w:kern w:val="0"/>
                <w:sz w:val="20"/>
                <w:szCs w:val="20"/>
                <w:lang w:val="en-US" w:eastAsia="zh-CN"/>
              </w:rPr>
              <w:t>289305</w:t>
            </w:r>
          </w:p>
        </w:tc>
        <w:tc>
          <w:tcPr>
            <w:tcW w:w="1054"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eastAsia" w:cs="宋体" w:asciiTheme="minorEastAsia" w:hAnsiTheme="minorEastAsia"/>
                <w:bCs/>
                <w:kern w:val="0"/>
                <w:sz w:val="20"/>
                <w:szCs w:val="20"/>
              </w:rPr>
            </w:pPr>
            <w:r>
              <w:rPr>
                <w:rFonts w:hint="eastAsia" w:cs="宋体" w:asciiTheme="minorEastAsia" w:hAnsiTheme="minorEastAsia"/>
                <w:bCs/>
                <w:kern w:val="0"/>
                <w:sz w:val="20"/>
                <w:szCs w:val="20"/>
              </w:rPr>
              <w:t>164</w:t>
            </w:r>
            <w:r>
              <w:rPr>
                <w:rFonts w:hint="eastAsia" w:cs="宋体" w:asciiTheme="minorEastAsia" w:hAnsiTheme="minorEastAsia"/>
                <w:bCs/>
                <w:kern w:val="0"/>
                <w:sz w:val="20"/>
                <w:szCs w:val="20"/>
                <w:lang w:val="en-US" w:eastAsia="zh-CN"/>
              </w:rPr>
              <w:t>6</w:t>
            </w:r>
            <w:r>
              <w:rPr>
                <w:rFonts w:hint="eastAsia" w:cs="宋体" w:asciiTheme="minorEastAsia" w:hAnsiTheme="minorEastAsia"/>
                <w:bCs/>
                <w:kern w:val="0"/>
                <w:sz w:val="20"/>
                <w:szCs w:val="20"/>
              </w:rPr>
              <w:t>00</w:t>
            </w:r>
          </w:p>
        </w:tc>
        <w:tc>
          <w:tcPr>
            <w:tcW w:w="1106"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eastAsia" w:cs="宋体" w:asciiTheme="minorEastAsia" w:hAnsiTheme="minorEastAsia"/>
                <w:bCs/>
                <w:kern w:val="0"/>
                <w:sz w:val="20"/>
                <w:szCs w:val="20"/>
              </w:rPr>
            </w:pPr>
            <w:r>
              <w:rPr>
                <w:rFonts w:hint="eastAsia" w:cs="宋体" w:asciiTheme="minorEastAsia" w:hAnsiTheme="minorEastAsia"/>
                <w:bCs/>
                <w:kern w:val="0"/>
                <w:sz w:val="20"/>
                <w:szCs w:val="20"/>
              </w:rPr>
              <w:t>189200</w:t>
            </w:r>
          </w:p>
        </w:tc>
        <w:tc>
          <w:tcPr>
            <w:tcW w:w="10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jc w:val="center"/>
              <w:rPr>
                <w:rFonts w:hint="default" w:cs="宋体" w:asciiTheme="minorEastAsia" w:hAnsiTheme="minorEastAsia"/>
                <w:bCs/>
                <w:kern w:val="0"/>
                <w:sz w:val="20"/>
                <w:szCs w:val="20"/>
                <w:lang w:val="en-US" w:eastAsia="zh-CN"/>
              </w:rPr>
            </w:pPr>
            <w:r>
              <w:rPr>
                <w:rFonts w:hint="eastAsia" w:cs="宋体" w:asciiTheme="minorEastAsia" w:hAnsiTheme="minorEastAsia"/>
                <w:bCs/>
                <w:kern w:val="0"/>
                <w:sz w:val="20"/>
                <w:szCs w:val="20"/>
                <w:lang w:val="en-US" w:eastAsia="zh-CN"/>
              </w:rPr>
              <w:t>101660</w:t>
            </w:r>
          </w:p>
        </w:tc>
        <w:tc>
          <w:tcPr>
            <w:tcW w:w="83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cs="宋体" w:asciiTheme="minorEastAsia" w:hAnsiTheme="minorEastAsia"/>
                <w:bCs/>
                <w:kern w:val="0"/>
                <w:sz w:val="20"/>
                <w:szCs w:val="20"/>
                <w:lang w:val="en-US" w:eastAsia="zh-CN"/>
              </w:rPr>
            </w:pPr>
            <w:r>
              <w:rPr>
                <w:rFonts w:hint="eastAsia" w:cs="宋体" w:asciiTheme="minorEastAsia" w:hAnsiTheme="minorEastAsia"/>
                <w:bCs/>
                <w:kern w:val="0"/>
                <w:sz w:val="20"/>
                <w:szCs w:val="20"/>
                <w:lang w:val="en-US" w:eastAsia="zh-CN"/>
              </w:rPr>
              <w:t>20330</w:t>
            </w:r>
          </w:p>
        </w:tc>
        <w:tc>
          <w:tcPr>
            <w:tcW w:w="72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eastAsia" w:cs="宋体" w:asciiTheme="minorEastAsia" w:hAnsiTheme="minorEastAsia"/>
                <w:bCs/>
                <w:kern w:val="0"/>
                <w:sz w:val="20"/>
                <w:szCs w:val="20"/>
              </w:rPr>
            </w:pPr>
            <w:r>
              <w:rPr>
                <w:rFonts w:hint="eastAsia" w:cs="宋体" w:asciiTheme="minorEastAsia" w:hAnsiTheme="minorEastAsia"/>
                <w:bCs/>
                <w:kern w:val="0"/>
                <w:sz w:val="20"/>
                <w:szCs w:val="20"/>
              </w:rPr>
              <w:t>82200</w:t>
            </w:r>
          </w:p>
        </w:tc>
        <w:tc>
          <w:tcPr>
            <w:tcW w:w="53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eastAsia" w:cs="宋体" w:asciiTheme="minorEastAsia" w:hAnsiTheme="minorEastAsia"/>
                <w:bCs/>
                <w:kern w:val="0"/>
                <w:sz w:val="20"/>
                <w:szCs w:val="20"/>
              </w:rPr>
            </w:pPr>
            <w:r>
              <w:rPr>
                <w:rFonts w:hint="eastAsia" w:cs="宋体" w:asciiTheme="minorEastAsia" w:hAnsiTheme="minorEastAsia"/>
                <w:bCs/>
                <w:kern w:val="0"/>
                <w:sz w:val="20"/>
                <w:szCs w:val="20"/>
              </w:rPr>
              <w:t>住宅70年，商业40年</w:t>
            </w:r>
          </w:p>
        </w:tc>
      </w:tr>
    </w:tbl>
    <w:p>
      <w:pPr>
        <w:spacing w:line="480" w:lineRule="exact"/>
        <w:ind w:firstLine="568" w:firstLineChars="200"/>
        <w:rPr>
          <w:rFonts w:cs="Times New Roman" w:asciiTheme="minorEastAsia" w:hAnsiTheme="minorEastAsia"/>
          <w:b/>
          <w:spacing w:val="20"/>
          <w:w w:val="110"/>
          <w:kern w:val="10"/>
          <w:sz w:val="23"/>
          <w:szCs w:val="23"/>
        </w:rPr>
      </w:pPr>
      <w:r>
        <w:rPr>
          <w:rFonts w:hint="eastAsia" w:cs="Times New Roman" w:asciiTheme="minorEastAsia" w:hAnsiTheme="minorEastAsia"/>
          <w:b/>
          <w:spacing w:val="20"/>
          <w:w w:val="110"/>
          <w:kern w:val="10"/>
          <w:sz w:val="23"/>
          <w:szCs w:val="23"/>
        </w:rPr>
        <w:t>一、宗地情况</w:t>
      </w:r>
    </w:p>
    <w:p>
      <w:pPr>
        <w:tabs>
          <w:tab w:val="left" w:pos="8460"/>
        </w:tabs>
        <w:spacing w:line="480" w:lineRule="exact"/>
        <w:ind w:firstLine="568" w:firstLineChars="200"/>
        <w:rPr>
          <w:rFonts w:ascii="微软雅黑" w:hAnsi="微软雅黑" w:eastAsia="微软雅黑" w:cs="宋体"/>
          <w:color w:val="000000"/>
          <w:kern w:val="0"/>
          <w:sz w:val="20"/>
          <w:szCs w:val="20"/>
        </w:rPr>
      </w:pPr>
      <w:r>
        <w:rPr>
          <w:rFonts w:hint="eastAsia" w:cs="Times New Roman" w:asciiTheme="minorEastAsia" w:hAnsiTheme="minorEastAsia"/>
          <w:spacing w:val="20"/>
          <w:w w:val="110"/>
          <w:kern w:val="10"/>
          <w:sz w:val="23"/>
          <w:szCs w:val="23"/>
        </w:rPr>
        <w:t>上述宗地具体情况以宗地的《深圳市土地使用权出让合同书》（样本，以下简称《出让合同》）为准。</w:t>
      </w:r>
    </w:p>
    <w:p>
      <w:pPr>
        <w:spacing w:line="480" w:lineRule="exact"/>
        <w:ind w:firstLine="568" w:firstLineChars="200"/>
        <w:rPr>
          <w:rFonts w:cs="Times New Roman" w:asciiTheme="minorEastAsia" w:hAnsiTheme="minorEastAsia"/>
          <w:b/>
          <w:spacing w:val="20"/>
          <w:w w:val="110"/>
          <w:kern w:val="10"/>
          <w:sz w:val="23"/>
          <w:szCs w:val="23"/>
        </w:rPr>
      </w:pPr>
      <w:r>
        <w:rPr>
          <w:rFonts w:hint="eastAsia" w:cs="Times New Roman" w:asciiTheme="minorEastAsia" w:hAnsiTheme="minorEastAsia"/>
          <w:b/>
          <w:spacing w:val="20"/>
          <w:w w:val="110"/>
          <w:kern w:val="10"/>
          <w:sz w:val="23"/>
          <w:szCs w:val="23"/>
        </w:rPr>
        <w:t>二、出让条件</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一）本公告出让宗地住宅部分拟建设普通商品住房和安居型商品房，采取“三限双竞+摇号”规则挂牌出让,即:限地价、限售价、限企业自持的保障性租赁住房建筑面积，竞地价、竞企业自持的保障性租赁住房建筑面积，达到最高限制建筑面积后通过摇号方式确定竞得人。竞价过程中，竞买人最高报价未超过最高限制地价时，按价高者得的原则确定竞得人和成交价。当竞买人报价达到最高限制地价时，有意继续竞买的竞买人由竞地价转入竞企业自持的保障性租赁住房建筑面积（住宅总建筑面积不变，</w:t>
      </w:r>
      <w:r>
        <w:rPr>
          <w:rFonts w:hint="eastAsia" w:cs="Times New Roman" w:asciiTheme="minorEastAsia" w:hAnsiTheme="minorEastAsia"/>
          <w:color w:val="000000" w:themeColor="text1"/>
          <w:spacing w:val="20"/>
          <w:w w:val="110"/>
          <w:kern w:val="10"/>
          <w:sz w:val="23"/>
          <w:szCs w:val="23"/>
          <w14:textFill>
            <w14:solidFill>
              <w14:schemeClr w14:val="tx1"/>
            </w14:solidFill>
          </w14:textFill>
        </w:rPr>
        <w:t>相应扣减普通商品住房建筑面积），</w:t>
      </w:r>
      <w:r>
        <w:rPr>
          <w:rFonts w:hint="eastAsia" w:cs="Times New Roman" w:asciiTheme="minorEastAsia" w:hAnsiTheme="minorEastAsia"/>
          <w:spacing w:val="20"/>
          <w:w w:val="110"/>
          <w:kern w:val="10"/>
          <w:sz w:val="23"/>
          <w:szCs w:val="23"/>
        </w:rPr>
        <w:t>竞买人报出的企业自持的保障性租赁住房建筑面积未超过最高限制建筑面积时，按报出建筑面积最多者得的原则确定竞得人；当有竞买人报出最高限制建筑面积，且有2个或2个以上竞买人接受该建筑面积时，通过摇号方式确定竞得人，所有接受最高限制建筑面积的竞买人可申请参加摇号。摇号具体细则详见《深圳市国有建设用地使用权出让现场摇号操作指引》。</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二）同一企业及其控股的各个公司，不得参加同一宗地的竞买，参与竞买企业应提交相关证明材料及承诺函。经公共资源交易中心审查，认定同一企业及其控股的各个公司参加同一宗地竞买的，即违反竞买人关联性要求，取消该企业及其控股各个公司该宗地的竞买、竞得资格，已交纳的竞买保证金不予退还。具体要求详见《深圳市国有建设用地使用权出让竞买人关联性审查操作指引》。</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（三）同一企业参与本批次（含深土交告〔2022〕</w:t>
      </w:r>
      <w:r>
        <w:rPr>
          <w:rFonts w:hint="eastAsia" w:cs="Times New Roman" w:asciiTheme="minorEastAsia" w:hAnsiTheme="minorEastAsia"/>
          <w:spacing w:val="20"/>
          <w:w w:val="110"/>
          <w:kern w:val="10"/>
          <w:sz w:val="23"/>
          <w:szCs w:val="23"/>
          <w:lang w:val="en-US" w:eastAsia="zh-CN"/>
        </w:rPr>
        <w:t>44</w:t>
      </w:r>
      <w:r>
        <w:rPr>
          <w:rFonts w:hint="eastAsia" w:cs="Times New Roman" w:asciiTheme="minorEastAsia" w:hAnsiTheme="minorEastAsia"/>
          <w:spacing w:val="20"/>
          <w:w w:val="110"/>
          <w:kern w:val="10"/>
          <w:sz w:val="23"/>
          <w:szCs w:val="23"/>
        </w:rPr>
        <w:t>、</w:t>
      </w:r>
      <w:r>
        <w:rPr>
          <w:rFonts w:hint="eastAsia" w:cs="Times New Roman" w:asciiTheme="minorEastAsia" w:hAnsiTheme="minorEastAsia"/>
          <w:spacing w:val="20"/>
          <w:w w:val="110"/>
          <w:kern w:val="10"/>
          <w:sz w:val="23"/>
          <w:szCs w:val="23"/>
          <w:lang w:val="en-US" w:eastAsia="zh-CN"/>
        </w:rPr>
        <w:t>45</w:t>
      </w:r>
      <w:r>
        <w:rPr>
          <w:rFonts w:hint="eastAsia" w:cs="Times New Roman" w:asciiTheme="minorEastAsia" w:hAnsiTheme="minorEastAsia"/>
          <w:spacing w:val="20"/>
          <w:w w:val="110"/>
          <w:kern w:val="10"/>
          <w:sz w:val="23"/>
          <w:szCs w:val="23"/>
        </w:rPr>
        <w:t>、</w:t>
      </w:r>
      <w:r>
        <w:rPr>
          <w:rFonts w:hint="eastAsia" w:cs="Times New Roman" w:asciiTheme="minorEastAsia" w:hAnsiTheme="minorEastAsia"/>
          <w:spacing w:val="20"/>
          <w:w w:val="110"/>
          <w:kern w:val="10"/>
          <w:sz w:val="23"/>
          <w:szCs w:val="23"/>
          <w:lang w:val="en-US" w:eastAsia="zh-CN"/>
        </w:rPr>
        <w:t>46、47、48</w:t>
      </w:r>
      <w:r>
        <w:rPr>
          <w:rFonts w:hint="eastAsia" w:cs="Times New Roman" w:asciiTheme="minorEastAsia" w:hAnsiTheme="minorEastAsia"/>
          <w:spacing w:val="20"/>
          <w:w w:val="110"/>
          <w:kern w:val="10"/>
          <w:sz w:val="23"/>
          <w:szCs w:val="23"/>
        </w:rPr>
        <w:t>号公告）用地竞买最多可竞得3宗用地（含联合竞买）。已竞得3宗用地的企业，自确定竞得第3宗地后，该企业自动丧失本批次用地的继续竞买资格，其此前报价继续有效。</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因本条款导致宗地报价、现场竞价或摇号环节有效竞买人不足一人时，则该宗地不受此限制，此前报价继续有效。</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四）竞得人拟成立全资子公司进行开发建设的，应在竞买申请时提供有关材料明确全资子公司的出资构成、成立时间等内容。竞得人可以在深圳市依法注册设立一家全资子公司，并通过签订土地使用权出让合同补充协议，将土地使用权变更至全资子公司名下。</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五）竞得人缴纳地价款时，应凭自然资源主管部门开具的《国有土地使用权出让收入缴款通知书》到深圳市各区税务局办税服务厅或者登录深圳市电子税务局进行缴费，具体流程详见《国有土地使用权出让收入缴款及竞买保证金退转操作指引》。</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（六）本公告出让宗地竞得人需落实海绵城市建设、绿色建筑、装配式建筑、建筑信息模型（BIM）技术应用的相关规定。</w:t>
      </w:r>
    </w:p>
    <w:p>
      <w:pPr>
        <w:tabs>
          <w:tab w:val="left" w:pos="8460"/>
        </w:tabs>
        <w:spacing w:line="480" w:lineRule="exact"/>
        <w:rPr>
          <w:rFonts w:cs="Times New Roman" w:asciiTheme="minorEastAsia" w:hAnsiTheme="minorEastAsia"/>
          <w:spacing w:val="20"/>
          <w:w w:val="110"/>
          <w:kern w:val="10"/>
          <w:sz w:val="23"/>
          <w:szCs w:val="23"/>
        </w:rPr>
      </w:pPr>
      <w:r>
        <w:rPr>
          <w:rFonts w:cs="Times New Roman" w:asciiTheme="minorEastAsia" w:hAnsiTheme="minorEastAsia"/>
          <w:spacing w:val="20"/>
          <w:w w:val="110"/>
          <w:kern w:val="10"/>
          <w:sz w:val="23"/>
          <w:szCs w:val="23"/>
        </w:rPr>
        <w:t xml:space="preserve">  </w:t>
      </w:r>
      <w:r>
        <w:rPr>
          <w:rFonts w:hint="eastAsia" w:cs="Times New Roman" w:asciiTheme="minorEastAsia" w:hAnsiTheme="minorEastAsia"/>
          <w:spacing w:val="20"/>
          <w:w w:val="110"/>
          <w:kern w:val="10"/>
          <w:sz w:val="23"/>
          <w:szCs w:val="23"/>
          <w:lang w:val="en-US" w:eastAsia="zh-CN"/>
        </w:rPr>
        <w:t xml:space="preserve">  </w:t>
      </w:r>
      <w:r>
        <w:rPr>
          <w:rFonts w:hint="eastAsia" w:cs="Times New Roman" w:asciiTheme="minorEastAsia" w:hAnsiTheme="minorEastAsia"/>
          <w:spacing w:val="20"/>
          <w:w w:val="110"/>
          <w:kern w:val="10"/>
          <w:sz w:val="23"/>
          <w:szCs w:val="23"/>
        </w:rPr>
        <w:t>（七）</w:t>
      </w:r>
      <w:r>
        <w:rPr>
          <w:rFonts w:cs="Times New Roman" w:asciiTheme="minorEastAsia" w:hAnsiTheme="minorEastAsia"/>
          <w:spacing w:val="20"/>
          <w:w w:val="110"/>
          <w:kern w:val="10"/>
          <w:sz w:val="23"/>
          <w:szCs w:val="23"/>
        </w:rPr>
        <w:t>G14306-8011</w:t>
      </w:r>
      <w:r>
        <w:rPr>
          <w:rFonts w:hint="eastAsia" w:cs="Times New Roman" w:asciiTheme="minorEastAsia" w:hAnsiTheme="minorEastAsia"/>
          <w:spacing w:val="20"/>
          <w:w w:val="110"/>
          <w:kern w:val="10"/>
          <w:sz w:val="23"/>
          <w:szCs w:val="23"/>
        </w:rPr>
        <w:t>宗地竞得人应按照安全评价报告、土壤环境调查评估报告的结论采取相应措施。</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cs="Times New Roman" w:asciiTheme="minorEastAsia" w:hAnsiTheme="minorEastAsia"/>
          <w:spacing w:val="20"/>
          <w:w w:val="110"/>
          <w:kern w:val="10"/>
          <w:sz w:val="23"/>
          <w:szCs w:val="23"/>
        </w:rPr>
        <w:t>G14306-8012</w:t>
      </w:r>
      <w:r>
        <w:rPr>
          <w:rFonts w:hint="eastAsia" w:cs="Times New Roman" w:asciiTheme="minorEastAsia" w:hAnsiTheme="minorEastAsia"/>
          <w:spacing w:val="20"/>
          <w:w w:val="110"/>
          <w:kern w:val="10"/>
          <w:sz w:val="23"/>
          <w:szCs w:val="23"/>
        </w:rPr>
        <w:t>宗地竞得人</w:t>
      </w:r>
      <w:r>
        <w:rPr>
          <w:rFonts w:hint="eastAsia" w:ascii="宋体" w:hAnsi="宋体" w:eastAsia="宋体" w:cs="Times New Roman"/>
          <w:spacing w:val="20"/>
          <w:w w:val="110"/>
          <w:kern w:val="10"/>
          <w:sz w:val="23"/>
          <w:szCs w:val="23"/>
        </w:rPr>
        <w:t>应按照安全评价报告、地质灾害危险性评估报告、土壤环境调查评估报告的结论采取相应措施。</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（八）G</w:t>
      </w:r>
      <w:r>
        <w:rPr>
          <w:rFonts w:cs="Times New Roman" w:asciiTheme="minorEastAsia" w:hAnsiTheme="minorEastAsia"/>
          <w:spacing w:val="20"/>
          <w:w w:val="110"/>
          <w:kern w:val="10"/>
          <w:sz w:val="23"/>
          <w:szCs w:val="23"/>
        </w:rPr>
        <w:t>14306</w:t>
      </w:r>
      <w:r>
        <w:rPr>
          <w:rFonts w:hint="eastAsia" w:cs="Times New Roman" w:asciiTheme="minorEastAsia" w:hAnsiTheme="minorEastAsia"/>
          <w:spacing w:val="20"/>
          <w:w w:val="110"/>
          <w:kern w:val="10"/>
          <w:sz w:val="23"/>
          <w:szCs w:val="23"/>
        </w:rPr>
        <w:t>-</w:t>
      </w:r>
      <w:r>
        <w:rPr>
          <w:rFonts w:cs="Times New Roman" w:asciiTheme="minorEastAsia" w:hAnsiTheme="minorEastAsia"/>
          <w:spacing w:val="20"/>
          <w:w w:val="110"/>
          <w:kern w:val="10"/>
          <w:sz w:val="23"/>
          <w:szCs w:val="23"/>
        </w:rPr>
        <w:t>8011</w:t>
      </w:r>
      <w:r>
        <w:rPr>
          <w:rFonts w:hint="eastAsia" w:cs="Times New Roman" w:asciiTheme="minorEastAsia" w:hAnsiTheme="minorEastAsia"/>
          <w:spacing w:val="20"/>
          <w:w w:val="110"/>
          <w:kern w:val="10"/>
          <w:sz w:val="23"/>
          <w:szCs w:val="23"/>
        </w:rPr>
        <w:t>宗地全部位于轨道</w:t>
      </w:r>
      <w:r>
        <w:rPr>
          <w:rFonts w:cs="Times New Roman" w:asciiTheme="minorEastAsia" w:hAnsiTheme="minorEastAsia"/>
          <w:spacing w:val="20"/>
          <w:w w:val="110"/>
          <w:kern w:val="10"/>
          <w:sz w:val="23"/>
          <w:szCs w:val="23"/>
        </w:rPr>
        <w:t>14</w:t>
      </w:r>
      <w:r>
        <w:rPr>
          <w:rFonts w:hint="eastAsia" w:cs="Times New Roman" w:asciiTheme="minorEastAsia" w:hAnsiTheme="minorEastAsia"/>
          <w:spacing w:val="20"/>
          <w:w w:val="110"/>
          <w:kern w:val="10"/>
          <w:sz w:val="23"/>
          <w:szCs w:val="23"/>
        </w:rPr>
        <w:t>号线安全保护区，竞得人需在办理《建设工程规划许可证》前取得轨道建设运营单位的书面同意意见。本宗地进入轨道</w:t>
      </w:r>
      <w:r>
        <w:rPr>
          <w:rFonts w:cs="Times New Roman" w:asciiTheme="minorEastAsia" w:hAnsiTheme="minorEastAsia"/>
          <w:spacing w:val="20"/>
          <w:w w:val="110"/>
          <w:kern w:val="10"/>
          <w:sz w:val="23"/>
          <w:szCs w:val="23"/>
        </w:rPr>
        <w:t>19</w:t>
      </w:r>
      <w:r>
        <w:rPr>
          <w:rFonts w:hint="eastAsia" w:cs="Times New Roman" w:asciiTheme="minorEastAsia" w:hAnsiTheme="minorEastAsia"/>
          <w:spacing w:val="20"/>
          <w:w w:val="110"/>
          <w:kern w:val="10"/>
          <w:sz w:val="23"/>
          <w:szCs w:val="23"/>
        </w:rPr>
        <w:t>号线规划控制预警区</w:t>
      </w:r>
      <w:r>
        <w:rPr>
          <w:rFonts w:cs="Times New Roman" w:asciiTheme="minorEastAsia" w:hAnsiTheme="minorEastAsia"/>
          <w:spacing w:val="20"/>
          <w:w w:val="110"/>
          <w:kern w:val="10"/>
          <w:sz w:val="23"/>
          <w:szCs w:val="23"/>
        </w:rPr>
        <w:t>27.61</w:t>
      </w:r>
      <w:r>
        <w:rPr>
          <w:rFonts w:hint="eastAsia" w:cs="Times New Roman" w:asciiTheme="minorEastAsia" w:hAnsiTheme="minorEastAsia"/>
          <w:spacing w:val="20"/>
          <w:w w:val="110"/>
          <w:kern w:val="10"/>
          <w:sz w:val="23"/>
          <w:szCs w:val="23"/>
        </w:rPr>
        <w:t>平方米，围护结构锚索等施工措施构件禁止侵入</w:t>
      </w:r>
      <w:r>
        <w:rPr>
          <w:rFonts w:cs="Times New Roman" w:asciiTheme="minorEastAsia" w:hAnsiTheme="minorEastAsia"/>
          <w:spacing w:val="20"/>
          <w:w w:val="110"/>
          <w:kern w:val="10"/>
          <w:sz w:val="23"/>
          <w:szCs w:val="23"/>
        </w:rPr>
        <w:t>19</w:t>
      </w:r>
      <w:r>
        <w:rPr>
          <w:rFonts w:hint="eastAsia" w:cs="Times New Roman" w:asciiTheme="minorEastAsia" w:hAnsiTheme="minorEastAsia"/>
          <w:spacing w:val="20"/>
          <w:w w:val="110"/>
          <w:kern w:val="10"/>
          <w:sz w:val="23"/>
          <w:szCs w:val="23"/>
        </w:rPr>
        <w:t>号线规划控制区。</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G</w:t>
      </w:r>
      <w:r>
        <w:rPr>
          <w:rFonts w:cs="Times New Roman" w:asciiTheme="minorEastAsia" w:hAnsiTheme="minorEastAsia"/>
          <w:spacing w:val="20"/>
          <w:w w:val="110"/>
          <w:kern w:val="10"/>
          <w:sz w:val="23"/>
          <w:szCs w:val="23"/>
        </w:rPr>
        <w:t>14306</w:t>
      </w:r>
      <w:r>
        <w:rPr>
          <w:rFonts w:hint="eastAsia" w:cs="Times New Roman" w:asciiTheme="minorEastAsia" w:hAnsiTheme="minorEastAsia"/>
          <w:spacing w:val="20"/>
          <w:w w:val="110"/>
          <w:kern w:val="10"/>
          <w:sz w:val="23"/>
          <w:szCs w:val="23"/>
        </w:rPr>
        <w:t>-</w:t>
      </w:r>
      <w:r>
        <w:rPr>
          <w:rFonts w:cs="Times New Roman" w:asciiTheme="minorEastAsia" w:hAnsiTheme="minorEastAsia"/>
          <w:spacing w:val="20"/>
          <w:w w:val="110"/>
          <w:kern w:val="10"/>
          <w:sz w:val="23"/>
          <w:szCs w:val="23"/>
        </w:rPr>
        <w:t>8012</w:t>
      </w:r>
      <w:r>
        <w:rPr>
          <w:rFonts w:hint="eastAsia" w:cs="Times New Roman" w:asciiTheme="minorEastAsia" w:hAnsiTheme="minorEastAsia"/>
          <w:spacing w:val="20"/>
          <w:w w:val="110"/>
          <w:kern w:val="10"/>
          <w:sz w:val="23"/>
          <w:szCs w:val="23"/>
        </w:rPr>
        <w:t>宗地进入轨道</w:t>
      </w:r>
      <w:r>
        <w:rPr>
          <w:rFonts w:cs="Times New Roman" w:asciiTheme="minorEastAsia" w:hAnsiTheme="minorEastAsia"/>
          <w:spacing w:val="20"/>
          <w:w w:val="110"/>
          <w:kern w:val="10"/>
          <w:sz w:val="23"/>
          <w:szCs w:val="23"/>
        </w:rPr>
        <w:t>14</w:t>
      </w:r>
      <w:r>
        <w:rPr>
          <w:rFonts w:hint="eastAsia" w:cs="Times New Roman" w:asciiTheme="minorEastAsia" w:hAnsiTheme="minorEastAsia"/>
          <w:spacing w:val="20"/>
          <w:w w:val="110"/>
          <w:kern w:val="10"/>
          <w:sz w:val="23"/>
          <w:szCs w:val="23"/>
        </w:rPr>
        <w:t>号线安全保护区，竞得人需在办理《建设工程规划许可证》前取得轨道建设运营单位的书面同意意见。本宗地进入轨道</w:t>
      </w:r>
      <w:r>
        <w:rPr>
          <w:rFonts w:cs="Times New Roman" w:asciiTheme="minorEastAsia" w:hAnsiTheme="minorEastAsia"/>
          <w:spacing w:val="20"/>
          <w:w w:val="110"/>
          <w:kern w:val="10"/>
          <w:sz w:val="23"/>
          <w:szCs w:val="23"/>
        </w:rPr>
        <w:t>19</w:t>
      </w:r>
      <w:r>
        <w:rPr>
          <w:rFonts w:hint="eastAsia" w:cs="Times New Roman" w:asciiTheme="minorEastAsia" w:hAnsiTheme="minorEastAsia"/>
          <w:spacing w:val="20"/>
          <w:w w:val="110"/>
          <w:kern w:val="10"/>
          <w:sz w:val="23"/>
          <w:szCs w:val="23"/>
        </w:rPr>
        <w:t>号线规划控制预警区</w:t>
      </w:r>
      <w:r>
        <w:rPr>
          <w:rFonts w:cs="Times New Roman" w:asciiTheme="minorEastAsia" w:hAnsiTheme="minorEastAsia"/>
          <w:spacing w:val="20"/>
          <w:w w:val="110"/>
          <w:kern w:val="10"/>
          <w:sz w:val="23"/>
          <w:szCs w:val="23"/>
        </w:rPr>
        <w:t>9.26</w:t>
      </w:r>
      <w:r>
        <w:rPr>
          <w:rFonts w:hint="eastAsia" w:cs="Times New Roman" w:asciiTheme="minorEastAsia" w:hAnsiTheme="minorEastAsia"/>
          <w:spacing w:val="20"/>
          <w:w w:val="110"/>
          <w:kern w:val="10"/>
          <w:sz w:val="23"/>
          <w:szCs w:val="23"/>
        </w:rPr>
        <w:t>平方米，围护结构锚索等施工措施构件禁止侵入</w:t>
      </w:r>
      <w:r>
        <w:rPr>
          <w:rFonts w:cs="Times New Roman" w:asciiTheme="minorEastAsia" w:hAnsiTheme="minorEastAsia"/>
          <w:spacing w:val="20"/>
          <w:w w:val="110"/>
          <w:kern w:val="10"/>
          <w:sz w:val="23"/>
          <w:szCs w:val="23"/>
        </w:rPr>
        <w:t>19</w:t>
      </w:r>
      <w:r>
        <w:rPr>
          <w:rFonts w:hint="eastAsia" w:cs="Times New Roman" w:asciiTheme="minorEastAsia" w:hAnsiTheme="minorEastAsia"/>
          <w:spacing w:val="20"/>
          <w:w w:val="110"/>
          <w:kern w:val="10"/>
          <w:sz w:val="23"/>
          <w:szCs w:val="23"/>
        </w:rPr>
        <w:t>号线规划控制区</w:t>
      </w:r>
      <w:r>
        <w:rPr>
          <w:rFonts w:cs="Times New Roman" w:asciiTheme="minorEastAsia" w:hAnsiTheme="minorEastAsia"/>
          <w:spacing w:val="20"/>
          <w:w w:val="110"/>
          <w:kern w:val="10"/>
          <w:sz w:val="23"/>
          <w:szCs w:val="23"/>
        </w:rPr>
        <w:t>。</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（九）G</w:t>
      </w:r>
      <w:r>
        <w:rPr>
          <w:rFonts w:cs="Times New Roman" w:asciiTheme="minorEastAsia" w:hAnsiTheme="minorEastAsia"/>
          <w:spacing w:val="20"/>
          <w:w w:val="110"/>
          <w:kern w:val="10"/>
          <w:sz w:val="23"/>
          <w:szCs w:val="23"/>
          <w:highlight w:val="none"/>
        </w:rPr>
        <w:t>14306</w:t>
      </w:r>
      <w:r>
        <w:rPr>
          <w:rFonts w:hint="eastAsia" w:cs="Times New Roman" w:asciiTheme="minorEastAsia" w:hAnsiTheme="minorEastAsia"/>
          <w:spacing w:val="20"/>
          <w:w w:val="110"/>
          <w:kern w:val="10"/>
          <w:sz w:val="23"/>
          <w:szCs w:val="23"/>
          <w:highlight w:val="none"/>
        </w:rPr>
        <w:t>-</w:t>
      </w:r>
      <w:r>
        <w:rPr>
          <w:rFonts w:cs="Times New Roman" w:asciiTheme="minorEastAsia" w:hAnsiTheme="minorEastAsia"/>
          <w:spacing w:val="20"/>
          <w:w w:val="110"/>
          <w:kern w:val="10"/>
          <w:sz w:val="23"/>
          <w:szCs w:val="23"/>
          <w:highlight w:val="none"/>
        </w:rPr>
        <w:t>8012</w:t>
      </w:r>
      <w:r>
        <w:rPr>
          <w:rFonts w:hint="eastAsia" w:cs="Times New Roman" w:asciiTheme="minorEastAsia" w:hAnsiTheme="minorEastAsia"/>
          <w:spacing w:val="20"/>
          <w:w w:val="110"/>
          <w:kern w:val="10"/>
          <w:sz w:val="23"/>
          <w:szCs w:val="23"/>
          <w:highlight w:val="none"/>
        </w:rPr>
        <w:t>宗地竞得人应结合周边生态系统情况对G14306-8012（3）号宗地内的绿地进行生态修复，制定生态修复方案，方案应以提升生态系统质量和稳定性为目标，要求详见《生态修复技术要求》。方案须在项目工程设计阶段经专家及辖区相关部门共同评审，通过后由竞得人进行建设，生态修复工程与本用地建设项目同步验收，验收合格后由竞得人管理、养护，并做好动态监测与维护。G14306-8012（3）号宗地内的绿地产权归政府，</w:t>
      </w:r>
      <w:r>
        <w:rPr>
          <w:rFonts w:cs="Times New Roman" w:asciiTheme="minorEastAsia" w:hAnsiTheme="minorEastAsia"/>
          <w:spacing w:val="20"/>
          <w:w w:val="110"/>
          <w:kern w:val="10"/>
          <w:sz w:val="23"/>
          <w:szCs w:val="23"/>
          <w:highlight w:val="none"/>
        </w:rPr>
        <w:t>24</w:t>
      </w:r>
      <w:r>
        <w:rPr>
          <w:rFonts w:hint="eastAsia" w:cs="Times New Roman" w:asciiTheme="minorEastAsia" w:hAnsiTheme="minorEastAsia"/>
          <w:spacing w:val="20"/>
          <w:w w:val="110"/>
          <w:kern w:val="10"/>
          <w:sz w:val="23"/>
          <w:szCs w:val="23"/>
          <w:highlight w:val="none"/>
        </w:rPr>
        <w:t>小时无条件对公众开放，由竞得人建成后无偿移交政府，移交用地面积不得少于</w:t>
      </w:r>
      <w:r>
        <w:rPr>
          <w:rFonts w:cs="Times New Roman" w:asciiTheme="minorEastAsia" w:hAnsiTheme="minorEastAsia"/>
          <w:spacing w:val="20"/>
          <w:w w:val="110"/>
          <w:kern w:val="10"/>
          <w:sz w:val="23"/>
          <w:szCs w:val="23"/>
          <w:highlight w:val="none"/>
        </w:rPr>
        <w:t>35000</w:t>
      </w:r>
      <w:r>
        <w:rPr>
          <w:rFonts w:hint="eastAsia" w:cs="Times New Roman" w:asciiTheme="minorEastAsia" w:hAnsiTheme="minorEastAsia"/>
          <w:spacing w:val="20"/>
          <w:w w:val="110"/>
          <w:kern w:val="10"/>
          <w:sz w:val="23"/>
          <w:szCs w:val="23"/>
          <w:highlight w:val="none"/>
        </w:rPr>
        <w:t>平方米。</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（十）</w:t>
      </w:r>
      <w:r>
        <w:rPr>
          <w:rFonts w:cs="Times New Roman" w:asciiTheme="minorEastAsia" w:hAnsiTheme="minorEastAsia"/>
          <w:spacing w:val="20"/>
          <w:w w:val="110"/>
          <w:kern w:val="10"/>
          <w:sz w:val="23"/>
          <w:szCs w:val="23"/>
          <w:highlight w:val="none"/>
        </w:rPr>
        <w:t>G14306-8011</w:t>
      </w:r>
      <w:r>
        <w:rPr>
          <w:rFonts w:hint="eastAsia" w:cs="Times New Roman" w:asciiTheme="minorEastAsia" w:hAnsiTheme="minorEastAsia"/>
          <w:spacing w:val="20"/>
          <w:w w:val="110"/>
          <w:kern w:val="10"/>
          <w:sz w:val="23"/>
          <w:szCs w:val="23"/>
          <w:highlight w:val="none"/>
        </w:rPr>
        <w:t>、</w:t>
      </w:r>
      <w:r>
        <w:rPr>
          <w:rFonts w:cs="Times New Roman" w:asciiTheme="minorEastAsia" w:hAnsiTheme="minorEastAsia"/>
          <w:spacing w:val="20"/>
          <w:w w:val="110"/>
          <w:kern w:val="10"/>
          <w:sz w:val="23"/>
          <w:szCs w:val="23"/>
          <w:highlight w:val="none"/>
        </w:rPr>
        <w:t>G14306-8012</w:t>
      </w:r>
      <w:r>
        <w:rPr>
          <w:rFonts w:hint="eastAsia" w:cs="Times New Roman" w:asciiTheme="minorEastAsia" w:hAnsiTheme="minorEastAsia"/>
          <w:spacing w:val="20"/>
          <w:w w:val="110"/>
          <w:kern w:val="10"/>
          <w:sz w:val="23"/>
          <w:szCs w:val="23"/>
          <w:highlight w:val="none"/>
        </w:rPr>
        <w:t>宗地普通商品住房平均销售价格不高于</w:t>
      </w:r>
      <w:r>
        <w:rPr>
          <w:rFonts w:cs="Times New Roman" w:asciiTheme="minorEastAsia" w:hAnsiTheme="minorEastAsia"/>
          <w:spacing w:val="20"/>
          <w:w w:val="110"/>
          <w:kern w:val="10"/>
          <w:sz w:val="23"/>
          <w:szCs w:val="23"/>
          <w:highlight w:val="none"/>
        </w:rPr>
        <w:t>35300元/平方米</w:t>
      </w:r>
      <w:r>
        <w:rPr>
          <w:rFonts w:hint="eastAsia" w:cs="Times New Roman" w:asciiTheme="minorEastAsia" w:hAnsiTheme="minorEastAsia"/>
          <w:spacing w:val="20"/>
          <w:w w:val="110"/>
          <w:kern w:val="10"/>
          <w:sz w:val="23"/>
          <w:szCs w:val="23"/>
          <w:highlight w:val="none"/>
        </w:rPr>
        <w:t>（不含室内装修价格）</w:t>
      </w:r>
      <w:r>
        <w:rPr>
          <w:rFonts w:cs="Times New Roman" w:asciiTheme="minorEastAsia" w:hAnsiTheme="minorEastAsia"/>
          <w:spacing w:val="20"/>
          <w:w w:val="110"/>
          <w:kern w:val="10"/>
          <w:sz w:val="23"/>
          <w:szCs w:val="23"/>
          <w:highlight w:val="none"/>
        </w:rPr>
        <w:t>；安居型商品房平均销售价格不高于17600元/平方米</w:t>
      </w:r>
      <w:r>
        <w:rPr>
          <w:rFonts w:hint="eastAsia" w:cs="Times New Roman" w:asciiTheme="minorEastAsia" w:hAnsiTheme="minorEastAsia"/>
          <w:spacing w:val="20"/>
          <w:w w:val="110"/>
          <w:kern w:val="10"/>
          <w:sz w:val="23"/>
          <w:szCs w:val="23"/>
          <w:highlight w:val="none"/>
        </w:rPr>
        <w:t>（不含室内装修价格）</w:t>
      </w:r>
      <w:r>
        <w:rPr>
          <w:rFonts w:cs="Times New Roman" w:asciiTheme="minorEastAsia" w:hAnsiTheme="minorEastAsia"/>
          <w:spacing w:val="20"/>
          <w:w w:val="110"/>
          <w:kern w:val="10"/>
          <w:sz w:val="23"/>
          <w:szCs w:val="23"/>
          <w:highlight w:val="none"/>
        </w:rPr>
        <w:t>、最高销售价格不高于18500元/平方米</w:t>
      </w:r>
      <w:r>
        <w:rPr>
          <w:rFonts w:hint="eastAsia" w:cs="Times New Roman" w:asciiTheme="minorEastAsia" w:hAnsiTheme="minorEastAsia"/>
          <w:spacing w:val="20"/>
          <w:w w:val="110"/>
          <w:kern w:val="10"/>
          <w:sz w:val="23"/>
          <w:szCs w:val="23"/>
          <w:highlight w:val="none"/>
        </w:rPr>
        <w:t>（不含室内装修价格）</w:t>
      </w:r>
      <w:r>
        <w:rPr>
          <w:rFonts w:cs="Times New Roman" w:asciiTheme="minorEastAsia" w:hAnsiTheme="minorEastAsia"/>
          <w:spacing w:val="20"/>
          <w:w w:val="110"/>
          <w:kern w:val="10"/>
          <w:sz w:val="23"/>
          <w:szCs w:val="23"/>
          <w:highlight w:val="none"/>
        </w:rPr>
        <w:t>。</w:t>
      </w:r>
    </w:p>
    <w:p>
      <w:pPr>
        <w:pStyle w:val="2"/>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eastAsiaTheme="minorEastAsia"/>
          <w:spacing w:val="20"/>
          <w:w w:val="110"/>
          <w:kern w:val="10"/>
          <w:sz w:val="23"/>
          <w:szCs w:val="23"/>
          <w:highlight w:val="none"/>
        </w:rPr>
        <w:t>（十一）本公告出让宗地项目中初始建设的安居型商品房由市住房保障署负责监管；竞建设的企业自持的保障性租赁住房由项目所在辖区住房建设部门负责监管，实行政府指导、市场化运营。竞得人须根据实际情况与相关部门签订《深圳市安居型商品房建设和管理任务书》《深圳市保障性租赁住房建设和管理任务书》。</w:t>
      </w:r>
    </w:p>
    <w:p>
      <w:pPr>
        <w:tabs>
          <w:tab w:val="left" w:pos="8460"/>
        </w:tabs>
        <w:spacing w:line="480" w:lineRule="exact"/>
        <w:ind w:firstLine="566" w:firstLineChars="199"/>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（十二）本公告出让宗地项目中套内建筑面积在90平方米以下的普通商品住房的建筑面积和套数占比不低于普通商品住房总建筑面积和总套数的70%。</w:t>
      </w:r>
    </w:p>
    <w:p>
      <w:pPr>
        <w:pStyle w:val="2"/>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eastAsiaTheme="minorEastAsia"/>
          <w:spacing w:val="20"/>
          <w:w w:val="110"/>
          <w:kern w:val="10"/>
          <w:sz w:val="23"/>
          <w:szCs w:val="23"/>
          <w:highlight w:val="none"/>
        </w:rPr>
        <w:t>（十三）G</w:t>
      </w:r>
      <w:r>
        <w:rPr>
          <w:rFonts w:cs="Times New Roman" w:asciiTheme="minorEastAsia" w:hAnsiTheme="minorEastAsia" w:eastAsiaTheme="minorEastAsia"/>
          <w:spacing w:val="20"/>
          <w:w w:val="110"/>
          <w:kern w:val="10"/>
          <w:sz w:val="23"/>
          <w:szCs w:val="23"/>
          <w:highlight w:val="none"/>
        </w:rPr>
        <w:t>14306</w:t>
      </w:r>
      <w:r>
        <w:rPr>
          <w:rFonts w:hint="eastAsia" w:cs="Times New Roman" w:asciiTheme="minorEastAsia" w:hAnsiTheme="minorEastAsia" w:eastAsiaTheme="minorEastAsia"/>
          <w:spacing w:val="20"/>
          <w:w w:val="110"/>
          <w:kern w:val="10"/>
          <w:sz w:val="23"/>
          <w:szCs w:val="23"/>
          <w:highlight w:val="none"/>
        </w:rPr>
        <w:t>-</w:t>
      </w:r>
      <w:r>
        <w:rPr>
          <w:rFonts w:cs="Times New Roman" w:asciiTheme="minorEastAsia" w:hAnsiTheme="minorEastAsia" w:eastAsiaTheme="minorEastAsia"/>
          <w:spacing w:val="20"/>
          <w:w w:val="110"/>
          <w:kern w:val="10"/>
          <w:sz w:val="23"/>
          <w:szCs w:val="23"/>
          <w:highlight w:val="none"/>
        </w:rPr>
        <w:t>8012</w:t>
      </w:r>
      <w:r>
        <w:rPr>
          <w:rFonts w:hint="eastAsia" w:cs="Times New Roman" w:asciiTheme="minorEastAsia" w:hAnsiTheme="minorEastAsia" w:eastAsiaTheme="minorEastAsia"/>
          <w:spacing w:val="20"/>
          <w:w w:val="110"/>
          <w:kern w:val="10"/>
          <w:sz w:val="23"/>
          <w:szCs w:val="23"/>
          <w:highlight w:val="none"/>
        </w:rPr>
        <w:t>宗地内</w:t>
      </w:r>
      <w:r>
        <w:rPr>
          <w:rFonts w:hint="eastAsia" w:cs="Times New Roman" w:asciiTheme="minorEastAsia" w:hAnsiTheme="minorEastAsia" w:eastAsiaTheme="minorEastAsia"/>
          <w:spacing w:val="20"/>
          <w:w w:val="110"/>
          <w:kern w:val="10"/>
          <w:sz w:val="23"/>
          <w:szCs w:val="23"/>
          <w:highlight w:val="none"/>
          <w:lang w:eastAsia="zh-CN"/>
        </w:rPr>
        <w:t>的</w:t>
      </w:r>
      <w:r>
        <w:rPr>
          <w:rFonts w:hint="eastAsia" w:cs="Times New Roman" w:asciiTheme="minorEastAsia" w:hAnsiTheme="minorEastAsia" w:eastAsiaTheme="minorEastAsia"/>
          <w:spacing w:val="20"/>
          <w:w w:val="110"/>
          <w:kern w:val="10"/>
          <w:sz w:val="23"/>
          <w:szCs w:val="23"/>
          <w:highlight w:val="none"/>
        </w:rPr>
        <w:t>道路、学校的产权归政府，由竞得人按相关主管部门要求进行建设，建成后无偿移交政府。</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十四）本公告出让宗地具体产权要求及其他事项，以《出让合同》为准，涉及的公共配套设施产权按相关规定和约定移交；安居型商品房、保障性租赁住房涉及的建设要求、用途和产权限制、经营要求等分别以本宗地《深圳安居型商品房建设和管理任务书》《深圳市保障性租赁住房建设和管理任务书》为准。</w:t>
      </w:r>
    </w:p>
    <w:p>
      <w:pPr>
        <w:spacing w:line="480" w:lineRule="exact"/>
        <w:ind w:firstLine="568" w:firstLineChars="200"/>
        <w:rPr>
          <w:rFonts w:cs="Times New Roman" w:asciiTheme="minorEastAsia" w:hAnsiTheme="minorEastAsia"/>
          <w:b/>
          <w:spacing w:val="20"/>
          <w:w w:val="110"/>
          <w:kern w:val="10"/>
          <w:sz w:val="23"/>
          <w:szCs w:val="23"/>
        </w:rPr>
      </w:pPr>
      <w:r>
        <w:rPr>
          <w:rFonts w:hint="eastAsia" w:cs="Times New Roman" w:asciiTheme="minorEastAsia" w:hAnsiTheme="minorEastAsia"/>
          <w:b/>
          <w:spacing w:val="20"/>
          <w:w w:val="110"/>
          <w:kern w:val="10"/>
          <w:sz w:val="23"/>
          <w:szCs w:val="23"/>
        </w:rPr>
        <w:t>三、竞买申请人主体资格要求</w:t>
      </w:r>
    </w:p>
    <w:p>
      <w:pPr>
        <w:tabs>
          <w:tab w:val="left" w:pos="8460"/>
        </w:tabs>
        <w:spacing w:line="480" w:lineRule="exact"/>
        <w:ind w:firstLine="568" w:firstLineChars="200"/>
        <w:rPr>
          <w:rFonts w:asciiTheme="minorEastAsia" w:hAnsiTheme="minorEastAsia"/>
        </w:rPr>
      </w:pPr>
      <w:r>
        <w:rPr>
          <w:rFonts w:hint="eastAsia" w:cs="Times New Roman" w:asciiTheme="minorEastAsia" w:hAnsiTheme="minorEastAsia"/>
          <w:spacing w:val="20"/>
          <w:w w:val="110"/>
          <w:kern w:val="10"/>
          <w:sz w:val="23"/>
          <w:szCs w:val="23"/>
        </w:rPr>
        <w:t>具备下列条件的，可申请竞买（不接受联合竞买）本次出让宗地：</w:t>
      </w:r>
    </w:p>
    <w:p>
      <w:pPr>
        <w:tabs>
          <w:tab w:val="left" w:pos="8460"/>
        </w:tabs>
        <w:spacing w:line="480" w:lineRule="exact"/>
        <w:ind w:firstLine="568" w:firstLineChars="200"/>
        <w:rPr>
          <w:rFonts w:asciiTheme="minorEastAsia" w:hAnsiTheme="minorEastAsia"/>
        </w:rPr>
      </w:pPr>
      <w:r>
        <w:rPr>
          <w:rFonts w:hint="eastAsia" w:cs="Times New Roman" w:asciiTheme="minorEastAsia" w:hAnsiTheme="minorEastAsia"/>
          <w:spacing w:val="20"/>
          <w:w w:val="110"/>
          <w:kern w:val="10"/>
          <w:sz w:val="23"/>
          <w:szCs w:val="23"/>
        </w:rPr>
        <w:t>（一）竞买申请人须为具有</w:t>
      </w:r>
      <w:r>
        <w:rPr>
          <w:rFonts w:hint="eastAsia" w:cs="Times New Roman" w:asciiTheme="minorEastAsia" w:hAnsiTheme="minorEastAsia"/>
          <w:color w:val="000000" w:themeColor="text1"/>
          <w:spacing w:val="20"/>
          <w:w w:val="110"/>
          <w:kern w:val="10"/>
          <w:sz w:val="23"/>
          <w:szCs w:val="23"/>
          <w14:textFill>
            <w14:solidFill>
              <w14:schemeClr w14:val="tx1"/>
            </w14:solidFill>
          </w14:textFill>
        </w:rPr>
        <w:t>国内</w:t>
      </w:r>
      <w:r>
        <w:rPr>
          <w:rFonts w:hint="eastAsia" w:cs="Times New Roman" w:asciiTheme="minorEastAsia" w:hAnsiTheme="minorEastAsia"/>
          <w:spacing w:val="20"/>
          <w:w w:val="110"/>
          <w:kern w:val="10"/>
          <w:sz w:val="23"/>
          <w:szCs w:val="23"/>
        </w:rPr>
        <w:t>（不含港澳台地区）地铁线路建设、运营、管理和上盖物业独立开发经验的中华人民共和国境内注册法人企业；</w:t>
      </w:r>
    </w:p>
    <w:p>
      <w:pPr>
        <w:tabs>
          <w:tab w:val="left" w:pos="8460"/>
        </w:tabs>
        <w:spacing w:line="480" w:lineRule="exact"/>
        <w:ind w:firstLine="568" w:firstLineChars="200"/>
        <w:rPr>
          <w:rFonts w:cs="Times New Roman" w:asciiTheme="minorEastAsia" w:hAnsiTheme="minorEastAsia"/>
        </w:rPr>
      </w:pPr>
      <w:r>
        <w:rPr>
          <w:rFonts w:hint="eastAsia" w:cs="Times New Roman" w:asciiTheme="minorEastAsia" w:hAnsiTheme="minorEastAsia"/>
          <w:spacing w:val="20"/>
          <w:w w:val="110"/>
          <w:kern w:val="10"/>
          <w:sz w:val="23"/>
          <w:szCs w:val="23"/>
        </w:rPr>
        <w:t>（二）竞买申请人须具有房地产开发资质。</w:t>
      </w:r>
    </w:p>
    <w:p>
      <w:pPr>
        <w:spacing w:line="480" w:lineRule="exact"/>
        <w:ind w:firstLine="710" w:firstLineChars="250"/>
        <w:rPr>
          <w:rFonts w:cs="Times New Roman" w:asciiTheme="minorEastAsia" w:hAnsiTheme="minorEastAsia"/>
          <w:b/>
          <w:spacing w:val="20"/>
          <w:w w:val="110"/>
          <w:kern w:val="10"/>
          <w:sz w:val="23"/>
          <w:szCs w:val="23"/>
        </w:rPr>
      </w:pPr>
      <w:r>
        <w:rPr>
          <w:rFonts w:hint="eastAsia" w:cs="Times New Roman" w:asciiTheme="minorEastAsia" w:hAnsiTheme="minorEastAsia"/>
          <w:b/>
          <w:spacing w:val="20"/>
          <w:w w:val="110"/>
          <w:kern w:val="10"/>
          <w:sz w:val="23"/>
          <w:szCs w:val="23"/>
        </w:rPr>
        <w:t>四、竞买申请程序</w:t>
      </w:r>
    </w:p>
    <w:p>
      <w:pPr>
        <w:tabs>
          <w:tab w:val="left" w:pos="8460"/>
        </w:tabs>
        <w:spacing w:line="480" w:lineRule="exact"/>
        <w:ind w:firstLine="568" w:firstLineChars="200"/>
        <w:rPr>
          <w:rFonts w:asciiTheme="minorEastAsia" w:hAnsiTheme="minorEastAsia"/>
        </w:rPr>
      </w:pPr>
      <w:r>
        <w:rPr>
          <w:rFonts w:hint="eastAsia" w:cs="Times New Roman" w:asciiTheme="minorEastAsia" w:hAnsiTheme="minorEastAsia"/>
          <w:spacing w:val="20"/>
          <w:w w:val="110"/>
          <w:kern w:val="10"/>
          <w:sz w:val="23"/>
          <w:szCs w:val="23"/>
        </w:rPr>
        <w:t>（一）申请主体资格审查</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竞买申请人应当在公告期内（工作日），向深圳市轨道交通建设指挥部办公室（以下简称市轨道办）提交能够满足前述资格要求的有关证明材料，申请主体资格审查。</w:t>
      </w:r>
    </w:p>
    <w:p>
      <w:pPr>
        <w:tabs>
          <w:tab w:val="left" w:pos="8460"/>
        </w:tabs>
        <w:spacing w:line="480" w:lineRule="exact"/>
        <w:ind w:firstLine="483" w:firstLineChars="240"/>
        <w:rPr>
          <w:rFonts w:cs="Times New Roman" w:asciiTheme="minorEastAsia" w:hAnsiTheme="minorEastAsia"/>
          <w:spacing w:val="20"/>
          <w:w w:val="110"/>
          <w:kern w:val="10"/>
          <w:sz w:val="23"/>
          <w:szCs w:val="23"/>
        </w:rPr>
      </w:pPr>
      <w:r>
        <w:rPr>
          <w:rFonts w:hint="eastAsia"/>
        </w:rPr>
        <w:t xml:space="preserve">  </w:t>
      </w:r>
      <w:r>
        <w:rPr>
          <w:rFonts w:hint="eastAsia" w:cs="Times New Roman" w:asciiTheme="minorEastAsia" w:hAnsiTheme="minorEastAsia"/>
          <w:spacing w:val="20"/>
          <w:w w:val="110"/>
          <w:kern w:val="10"/>
          <w:sz w:val="23"/>
          <w:szCs w:val="23"/>
        </w:rPr>
        <w:t>（二）网上注册</w:t>
      </w:r>
      <w:bookmarkStart w:id="0" w:name="_GoBack"/>
      <w:bookmarkEnd w:id="0"/>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竞买申请人应登录深圳土地矿业权交易平台（https://td.szggzy.com）进行网上注册。网上注册的程序和要求详见深圳土地矿业权交易平台网站中的操作指引。</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（三）申请竞买</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竞买申请人网上注册后，应按照操作指引有关要求，选择意向竞买的宗地，提出竞买申请。</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（四）交纳竞买（投标）保证金</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竞买申请人提出竞买申请后，按入账申请单提示交纳竞买（投标）保证金，竞买（投标）保证金不得由其他单位或个人代交。具体详见操作指引。</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竞买申请人可通过深圳土地矿业权交易平台及时查询竞买（投标）保证金到账情况。竞买（投标）保证金的到账截止时间为2022年9月2</w:t>
      </w:r>
      <w:r>
        <w:rPr>
          <w:rFonts w:cs="Times New Roman" w:asciiTheme="minorEastAsia" w:hAnsiTheme="minorEastAsia"/>
          <w:spacing w:val="20"/>
          <w:w w:val="110"/>
          <w:kern w:val="10"/>
          <w:sz w:val="23"/>
          <w:szCs w:val="23"/>
        </w:rPr>
        <w:t>6</w:t>
      </w:r>
      <w:r>
        <w:rPr>
          <w:rFonts w:hint="eastAsia" w:cs="Times New Roman" w:asciiTheme="minorEastAsia" w:hAnsiTheme="minorEastAsia"/>
          <w:spacing w:val="20"/>
          <w:w w:val="110"/>
          <w:kern w:val="10"/>
          <w:sz w:val="23"/>
          <w:szCs w:val="23"/>
        </w:rPr>
        <w:t>日1</w:t>
      </w:r>
      <w:r>
        <w:rPr>
          <w:rFonts w:cs="Times New Roman" w:asciiTheme="minorEastAsia" w:hAnsiTheme="minorEastAsia"/>
          <w:spacing w:val="20"/>
          <w:w w:val="110"/>
          <w:kern w:val="10"/>
          <w:sz w:val="23"/>
          <w:szCs w:val="23"/>
        </w:rPr>
        <w:t>5</w:t>
      </w:r>
      <w:r>
        <w:rPr>
          <w:rFonts w:hint="eastAsia" w:cs="Times New Roman" w:asciiTheme="minorEastAsia" w:hAnsiTheme="minorEastAsia"/>
          <w:spacing w:val="20"/>
          <w:w w:val="110"/>
          <w:kern w:val="10"/>
          <w:sz w:val="23"/>
          <w:szCs w:val="23"/>
        </w:rPr>
        <w:t>时整（以深圳土地矿业权交易平台网站显示的银行到账时间为准）。</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（五）申请确认竞买资格</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竞买申请人按时足额交纳竞买（投标）保证金后，可登录深圳土地矿业权交易平台网站查看《竞买申请受理回执》并打印该回执，在2</w:t>
      </w:r>
      <w:r>
        <w:rPr>
          <w:rFonts w:cs="Times New Roman" w:asciiTheme="minorEastAsia" w:hAnsiTheme="minorEastAsia"/>
          <w:spacing w:val="20"/>
          <w:w w:val="110"/>
          <w:kern w:val="10"/>
          <w:sz w:val="23"/>
          <w:szCs w:val="23"/>
        </w:rPr>
        <w:t>022</w:t>
      </w:r>
      <w:r>
        <w:rPr>
          <w:rFonts w:hint="eastAsia" w:cs="Times New Roman" w:asciiTheme="minorEastAsia" w:hAnsiTheme="minorEastAsia"/>
          <w:spacing w:val="20"/>
          <w:w w:val="110"/>
          <w:kern w:val="10"/>
          <w:sz w:val="23"/>
          <w:szCs w:val="23"/>
        </w:rPr>
        <w:t>年9月2</w:t>
      </w:r>
      <w:r>
        <w:rPr>
          <w:rFonts w:cs="Times New Roman" w:asciiTheme="minorEastAsia" w:hAnsiTheme="minorEastAsia"/>
          <w:spacing w:val="20"/>
          <w:w w:val="110"/>
          <w:kern w:val="10"/>
          <w:sz w:val="23"/>
          <w:szCs w:val="23"/>
        </w:rPr>
        <w:t>8</w:t>
      </w:r>
      <w:r>
        <w:rPr>
          <w:rFonts w:hint="eastAsia" w:cs="Times New Roman" w:asciiTheme="minorEastAsia" w:hAnsiTheme="minorEastAsia"/>
          <w:spacing w:val="20"/>
          <w:w w:val="110"/>
          <w:kern w:val="10"/>
          <w:sz w:val="23"/>
          <w:szCs w:val="23"/>
        </w:rPr>
        <w:t>日1</w:t>
      </w:r>
      <w:r>
        <w:rPr>
          <w:rFonts w:cs="Times New Roman" w:asciiTheme="minorEastAsia" w:hAnsiTheme="minorEastAsia"/>
          <w:spacing w:val="20"/>
          <w:w w:val="110"/>
          <w:kern w:val="10"/>
          <w:sz w:val="23"/>
          <w:szCs w:val="23"/>
        </w:rPr>
        <w:t>4</w:t>
      </w:r>
      <w:r>
        <w:rPr>
          <w:rFonts w:hint="eastAsia" w:cs="Times New Roman" w:asciiTheme="minorEastAsia" w:hAnsiTheme="minorEastAsia"/>
          <w:spacing w:val="20"/>
          <w:w w:val="110"/>
          <w:kern w:val="10"/>
          <w:sz w:val="23"/>
          <w:szCs w:val="23"/>
        </w:rPr>
        <w:t>时30分前（工作日），到交易大厦3楼土地业务受理窗口提交书面材料，申请确认竞买资格。申请确认竞买资格须提交的材料详见《深圳市土地使用权挂牌出让竞买须知》（以下简称《竞买须知》）。</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竞买申请人申请确认竞买资格时应提交《关于竞买人关联性的承诺函》，承诺按公告中对竞买人的规定要求参加宗地竞买；提交能体现竞买人所有涉及直接控股、间接控股的股东结构关系的树形图。具体要求详见《深圳市国有建设用地使用权出让竞买人关联性审查操作指引》。</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申请确认竞买资格时应提交《关于土地购置资金来源的承诺函》，承诺其土地购置资金来源不属于股东违规提供的借款、转贷、担保或其他相关融资便利等；不属于金融机构各类融资资金；不属于房地产产业链上下游关联企业借款或预付款；不属于其他自然人、法人、非法人组织的借款；不属于竞买企业控制的非房地产企业融资等。其他须提交的材料以《竞买须知》为准。</w:t>
      </w:r>
    </w:p>
    <w:p>
      <w:pPr>
        <w:spacing w:line="480" w:lineRule="exact"/>
        <w:ind w:firstLine="568" w:firstLineChars="200"/>
        <w:rPr>
          <w:rFonts w:cs="Times New Roman" w:asciiTheme="minorEastAsia" w:hAnsiTheme="minorEastAsia"/>
          <w:b/>
          <w:spacing w:val="20"/>
          <w:w w:val="110"/>
          <w:kern w:val="10"/>
          <w:sz w:val="23"/>
          <w:szCs w:val="23"/>
        </w:rPr>
      </w:pPr>
      <w:r>
        <w:rPr>
          <w:rFonts w:hint="eastAsia" w:cs="Times New Roman" w:asciiTheme="minorEastAsia" w:hAnsiTheme="minorEastAsia"/>
          <w:b/>
          <w:spacing w:val="20"/>
          <w:w w:val="110"/>
          <w:kern w:val="10"/>
          <w:sz w:val="23"/>
          <w:szCs w:val="23"/>
        </w:rPr>
        <w:t>五、确定竞得人的办法</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深圳土地矿业权交易平台在挂牌期内（工作日）接受竞买人的电脑报价，电脑报价截止时间为2022年9月2</w:t>
      </w:r>
      <w:r>
        <w:rPr>
          <w:rFonts w:cs="Times New Roman" w:asciiTheme="minorEastAsia" w:hAnsiTheme="minorEastAsia"/>
          <w:spacing w:val="20"/>
          <w:w w:val="110"/>
          <w:kern w:val="10"/>
          <w:sz w:val="23"/>
          <w:szCs w:val="23"/>
        </w:rPr>
        <w:t>8</w:t>
      </w:r>
      <w:r>
        <w:rPr>
          <w:rFonts w:hint="eastAsia" w:cs="Times New Roman" w:asciiTheme="minorEastAsia" w:hAnsiTheme="minorEastAsia"/>
          <w:spacing w:val="20"/>
          <w:w w:val="110"/>
          <w:kern w:val="10"/>
          <w:sz w:val="23"/>
          <w:szCs w:val="23"/>
        </w:rPr>
        <w:t>日1</w:t>
      </w:r>
      <w:r>
        <w:rPr>
          <w:rFonts w:cs="Times New Roman" w:asciiTheme="minorEastAsia" w:hAnsiTheme="minorEastAsia"/>
          <w:spacing w:val="20"/>
          <w:w w:val="110"/>
          <w:kern w:val="10"/>
          <w:sz w:val="23"/>
          <w:szCs w:val="23"/>
        </w:rPr>
        <w:t>5</w:t>
      </w:r>
      <w:r>
        <w:rPr>
          <w:rFonts w:hint="eastAsia" w:cs="Times New Roman" w:asciiTheme="minorEastAsia" w:hAnsiTheme="minorEastAsia"/>
          <w:spacing w:val="20"/>
          <w:w w:val="110"/>
          <w:kern w:val="10"/>
          <w:sz w:val="23"/>
          <w:szCs w:val="23"/>
        </w:rPr>
        <w:t>时整。竞买人如需进行电脑报价的，应到交易大厦3楼使用专用电脑报价终端进行报价，电脑报价的要求详见《竞买须知》。电脑报价截止时，属“1人竞买”的，将根据竞买人的电脑报价情况和《竞买须知》的规定确定竞得人；属“多人竞买”的，将在电脑报价截止时间届满后进入现场竞价程序，</w:t>
      </w:r>
      <w:r>
        <w:rPr>
          <w:rFonts w:hint="eastAsia" w:cs="Times New Roman" w:asciiTheme="minorEastAsia" w:hAnsiTheme="minorEastAsia"/>
          <w:color w:val="000000" w:themeColor="text1"/>
          <w:spacing w:val="20"/>
          <w:w w:val="110"/>
          <w:kern w:val="10"/>
          <w:sz w:val="23"/>
          <w:szCs w:val="23"/>
          <w14:textFill>
            <w14:solidFill>
              <w14:schemeClr w14:val="tx1"/>
            </w14:solidFill>
          </w14:textFill>
        </w:rPr>
        <w:t>采用向上竞成交地价和竞企业自持的</w:t>
      </w:r>
      <w:r>
        <w:rPr>
          <w:rFonts w:hint="eastAsia" w:cs="Times New Roman" w:asciiTheme="minorEastAsia" w:hAnsiTheme="minorEastAsia"/>
          <w:color w:val="000000"/>
          <w:spacing w:val="20"/>
          <w:w w:val="110"/>
          <w:kern w:val="10"/>
          <w:sz w:val="23"/>
          <w:szCs w:val="23"/>
        </w:rPr>
        <w:t>保障性租赁住房建筑</w:t>
      </w:r>
      <w:r>
        <w:rPr>
          <w:rFonts w:hint="eastAsia" w:cs="Times New Roman" w:asciiTheme="minorEastAsia" w:hAnsiTheme="minorEastAsia"/>
          <w:color w:val="000000" w:themeColor="text1"/>
          <w:spacing w:val="20"/>
          <w:w w:val="110"/>
          <w:kern w:val="10"/>
          <w:sz w:val="23"/>
          <w:szCs w:val="23"/>
          <w14:textFill>
            <w14:solidFill>
              <w14:schemeClr w14:val="tx1"/>
            </w14:solidFill>
          </w14:textFill>
        </w:rPr>
        <w:t>面积</w:t>
      </w:r>
      <w:r>
        <w:rPr>
          <w:rFonts w:hint="eastAsia" w:cs="Times New Roman" w:asciiTheme="minorEastAsia" w:hAnsiTheme="minorEastAsia"/>
          <w:spacing w:val="20"/>
          <w:w w:val="110"/>
          <w:kern w:val="10"/>
          <w:sz w:val="23"/>
          <w:szCs w:val="23"/>
        </w:rPr>
        <w:t>（相应扣减普通商品住房建筑面积）</w:t>
      </w:r>
      <w:r>
        <w:rPr>
          <w:rFonts w:hint="eastAsia" w:cs="Times New Roman" w:asciiTheme="minorEastAsia" w:hAnsiTheme="minorEastAsia"/>
          <w:color w:val="000000" w:themeColor="text1"/>
          <w:spacing w:val="20"/>
          <w:w w:val="110"/>
          <w:kern w:val="10"/>
          <w:sz w:val="23"/>
          <w:szCs w:val="23"/>
          <w14:textFill>
            <w14:solidFill>
              <w14:schemeClr w14:val="tx1"/>
            </w14:solidFill>
          </w14:textFill>
        </w:rPr>
        <w:t>的办法确定竞得人；如达到最高限制建筑面积，通过摇号方式确定竞得人，参与摇号的竞买人需在竞价活动结束后</w:t>
      </w:r>
      <w:r>
        <w:rPr>
          <w:rFonts w:hint="eastAsia" w:cs="Times New Roman" w:asciiTheme="minorEastAsia" w:hAnsiTheme="minorEastAsia"/>
          <w:spacing w:val="20"/>
          <w:w w:val="110"/>
          <w:kern w:val="10"/>
          <w:sz w:val="23"/>
          <w:szCs w:val="23"/>
        </w:rPr>
        <w:t>当场确认摇号资格。当日现场竞价活动结束后组织现场摇号活动，具体规则以《竞买须知》《深圳市国有建设用地使用权出让现场摇号操作指引》为准。</w:t>
      </w:r>
    </w:p>
    <w:p>
      <w:pPr>
        <w:spacing w:line="480" w:lineRule="exact"/>
        <w:ind w:firstLine="568" w:firstLineChars="200"/>
        <w:rPr>
          <w:rFonts w:cs="Times New Roman" w:asciiTheme="minorEastAsia" w:hAnsiTheme="minorEastAsia"/>
          <w:b/>
          <w:spacing w:val="20"/>
          <w:w w:val="110"/>
          <w:kern w:val="10"/>
          <w:sz w:val="23"/>
          <w:szCs w:val="23"/>
        </w:rPr>
      </w:pPr>
      <w:r>
        <w:rPr>
          <w:rFonts w:hint="eastAsia" w:cs="Times New Roman" w:asciiTheme="minorEastAsia" w:hAnsiTheme="minorEastAsia"/>
          <w:b/>
          <w:spacing w:val="20"/>
          <w:w w:val="110"/>
          <w:kern w:val="10"/>
          <w:sz w:val="23"/>
          <w:szCs w:val="23"/>
        </w:rPr>
        <w:t>六、成交与缴纳地价款</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竞得人须在成交后即时签订《成交确认书》，并自签订《成交确认书》次日起5个工作日内一次性付清成交地价款。</w:t>
      </w:r>
    </w:p>
    <w:p>
      <w:pPr>
        <w:spacing w:line="480" w:lineRule="exact"/>
        <w:ind w:firstLine="568" w:firstLineChars="200"/>
        <w:rPr>
          <w:rFonts w:cs="Times New Roman" w:asciiTheme="minorEastAsia" w:hAnsiTheme="minorEastAsia"/>
          <w:b/>
          <w:spacing w:val="20"/>
          <w:w w:val="110"/>
          <w:kern w:val="10"/>
          <w:sz w:val="23"/>
          <w:szCs w:val="23"/>
        </w:rPr>
      </w:pPr>
      <w:r>
        <w:rPr>
          <w:rFonts w:hint="eastAsia" w:cs="Times New Roman" w:asciiTheme="minorEastAsia" w:hAnsiTheme="minorEastAsia"/>
          <w:b/>
          <w:spacing w:val="20"/>
          <w:w w:val="110"/>
          <w:kern w:val="10"/>
          <w:sz w:val="23"/>
          <w:szCs w:val="23"/>
        </w:rPr>
        <w:t>七、土地购置资金来源审查</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自缴清全部地价款之日起5个工作日内，竞得人须向市规划和自然资源局提交如下资料:</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（一）经境内具有证券期货资格的会计师事务所鉴证的《商品住房用地购置资金来源情况申报表》（以下简称《申报表》，具体详见出让文件）。</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（二）竞得人相关身份证明材料（具体要求参见《竞买须知》）。</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（三）境内具有证券期货资格的会计师事务所出具的《资金审计报告》，具体列明以下内容：</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1、土地竞得主体基本情况，包括控股股东、资金最终关联方基本情况；</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2、承诺并实际核查土地竞得主体提交的《申报表》及附件证明材料；</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3、穿透核查土地竞得主体及控股股东、资金最终关联方的资金来源，明确说明土地竞得主体的实际资金来源（如涉及关联方，要说明最终关联方的资金来源类型）；</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4、针对“土地购置资金来源是否属于企业股东提供的借款、转贷、担保或其他相关融资便利等；是否属于金融机构各类融资资金；是否属于房地产产业链上下游关联企业借款或预付款；是否属于其他自然人、法人、非法人组织的借款；是否属于竞买企业控制的非房地产企业融资等。”作出结论。</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审计报告后附会计师事务所的执业证明、证券期货资格证明等。</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上述资料由深圳土地矿业权交易平台土地业务受理窗口代收后2个工作日内移交深圳市地方金融监督管理局（以下简称市地方金融监管局）进行资金来源审查。</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根据竞得人提供的材料，由市地方金融监管局组织相关监管部门对竞得人土地购置资金来源进行审查，并自收到材料之日起10个工作日内向市规划和自然资源局出具书面审查结果。市规划和自然资源局收到审查结果后应在2个工作日内通知竞得人。</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土地购置资金来源审查未获通过的竞得人，由市规划和自然资源局取消其竞得资格，已交纳的竞买（投标）保证金不予退还，1年内禁止该企业参加我市国有建设用地竞买活动。相关处理结果向社会公开。</w:t>
      </w:r>
    </w:p>
    <w:p>
      <w:pPr>
        <w:spacing w:line="480" w:lineRule="exact"/>
        <w:ind w:firstLine="568" w:firstLineChars="200"/>
        <w:rPr>
          <w:rFonts w:cs="Times New Roman" w:asciiTheme="minorEastAsia" w:hAnsiTheme="minorEastAsia"/>
          <w:b/>
          <w:spacing w:val="20"/>
          <w:w w:val="110"/>
          <w:kern w:val="10"/>
          <w:sz w:val="23"/>
          <w:szCs w:val="23"/>
        </w:rPr>
      </w:pPr>
      <w:r>
        <w:rPr>
          <w:rFonts w:hint="eastAsia" w:cs="Times New Roman" w:asciiTheme="minorEastAsia" w:hAnsiTheme="minorEastAsia"/>
          <w:b/>
          <w:spacing w:val="20"/>
          <w:w w:val="110"/>
          <w:kern w:val="10"/>
          <w:sz w:val="23"/>
          <w:szCs w:val="23"/>
        </w:rPr>
        <w:t>八、签订出让合同</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市地方金融监管局出具土地购置资金来源审查通过的批复文件后5个工作日内，竞得人须根据实际情况持批复文件、成交确认书等有关材料分别向相关部门申请签订《深圳市安居型商品房建设和管理任务书》《深圳市保障性租赁住房建设和管理任务书》，向市规划和自然资源局相关辖区管理局申请签订《出让合同》。</w:t>
      </w:r>
    </w:p>
    <w:p>
      <w:pPr>
        <w:spacing w:line="480" w:lineRule="exact"/>
        <w:ind w:firstLine="568" w:firstLineChars="200"/>
        <w:rPr>
          <w:rFonts w:cs="Times New Roman" w:asciiTheme="minorEastAsia" w:hAnsiTheme="minorEastAsia"/>
          <w:b/>
          <w:spacing w:val="20"/>
          <w:w w:val="110"/>
          <w:kern w:val="10"/>
          <w:sz w:val="23"/>
          <w:szCs w:val="23"/>
        </w:rPr>
      </w:pPr>
      <w:r>
        <w:rPr>
          <w:rFonts w:hint="eastAsia" w:cs="Times New Roman" w:asciiTheme="minorEastAsia" w:hAnsiTheme="minorEastAsia"/>
          <w:b/>
          <w:spacing w:val="20"/>
          <w:w w:val="110"/>
          <w:kern w:val="10"/>
          <w:sz w:val="23"/>
          <w:szCs w:val="23"/>
        </w:rPr>
        <w:t>九、其他</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本公告内容如有调整，将在深圳土地矿业权交易平台网站发布补充公告，不再另行通知。本公告有关详细资料请参阅挂牌出让文件（包括但不限于本公告、《竞买须知》《成交确认书》《出让合同》《关于土地购置资金来源的承诺函》《关于竞买人关联性的承诺函》《申报表》《深圳市安居型商品房建设和管理任务书》《深圳市保障性租赁住房建设和管理任务书》《深圳市国有建设用地使用权出让竞买人关联性审查操作指引》《深圳市国有建设用地使用权出让现场摇号操作指引》《国有土地使用权出让收入缴款及竞买保证金退转操作指引》等）。本公告同时在市规划和自然资源局、深圳土地矿业权交易平台网站发布，挂牌出让文件可在深圳土地矿业权交易平台网站下载。</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参与竞买活动的竞买人对竞买人关联性资格审查结果有异议的，应当自知道或者应当知道审查结果之日起3个工作日内向公共资源交易中心以书面形式提出异议。公共资源交易中心自收到书面异议材料之日起7个工作日内就异议事项书面答复竞买人。</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对公共资源交易中心的答复不满意或者公共资源交易中心未在规定时间内答复的，提出异议的竞买人可以在答复期满后15个工作日内向市规划和自然资源局投诉。</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需咨询本公告出让程序相关问题的，可以书面方式向深圳交易集团有限公司土地矿业权业务分公司提出；其他相关问题，请迳向相关职能部门提出。</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深圳市规划和自然资源局 地址：深圳市福田区红荔西路8009号；网址：http://pnr.sz.gov.cn/。</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深圳市规划和自然资源局坪山管理局 咨询电话：（0755）2</w:t>
      </w:r>
      <w:r>
        <w:rPr>
          <w:rFonts w:cs="Times New Roman" w:asciiTheme="minorEastAsia" w:hAnsiTheme="minorEastAsia"/>
          <w:spacing w:val="20"/>
          <w:w w:val="110"/>
          <w:kern w:val="10"/>
          <w:sz w:val="23"/>
          <w:szCs w:val="23"/>
        </w:rPr>
        <w:t>8298133</w:t>
      </w:r>
      <w:r>
        <w:rPr>
          <w:rFonts w:hint="eastAsia" w:cs="Times New Roman" w:asciiTheme="minorEastAsia" w:hAnsiTheme="minorEastAsia"/>
          <w:spacing w:val="20"/>
          <w:w w:val="110"/>
          <w:kern w:val="10"/>
          <w:sz w:val="23"/>
          <w:szCs w:val="23"/>
        </w:rPr>
        <w:t>。</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深圳市住房保障署 咨询电话：（0755）8</w:t>
      </w:r>
      <w:r>
        <w:rPr>
          <w:rFonts w:cs="Times New Roman" w:asciiTheme="minorEastAsia" w:hAnsiTheme="minorEastAsia"/>
          <w:spacing w:val="20"/>
          <w:w w:val="110"/>
          <w:kern w:val="10"/>
          <w:sz w:val="23"/>
          <w:szCs w:val="23"/>
        </w:rPr>
        <w:t>2523749</w:t>
      </w:r>
      <w:r>
        <w:rPr>
          <w:rFonts w:hint="eastAsia" w:cs="Times New Roman" w:asciiTheme="minorEastAsia" w:hAnsiTheme="minorEastAsia"/>
          <w:spacing w:val="20"/>
          <w:w w:val="110"/>
          <w:kern w:val="10"/>
          <w:sz w:val="23"/>
          <w:szCs w:val="23"/>
        </w:rPr>
        <w:t>。</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深圳市坪山区住房和建设局  咨询电话：（0755）8</w:t>
      </w:r>
      <w:r>
        <w:rPr>
          <w:rFonts w:cs="Times New Roman" w:asciiTheme="minorEastAsia" w:hAnsiTheme="minorEastAsia"/>
          <w:spacing w:val="20"/>
          <w:w w:val="110"/>
          <w:kern w:val="10"/>
          <w:sz w:val="23"/>
          <w:szCs w:val="23"/>
        </w:rPr>
        <w:t>4517894</w:t>
      </w:r>
      <w:r>
        <w:rPr>
          <w:rFonts w:hint="eastAsia" w:cs="Times New Roman" w:asciiTheme="minorEastAsia" w:hAnsiTheme="minorEastAsia"/>
          <w:spacing w:val="20"/>
          <w:w w:val="110"/>
          <w:kern w:val="10"/>
          <w:sz w:val="23"/>
          <w:szCs w:val="23"/>
        </w:rPr>
        <w:t>。</w:t>
      </w:r>
    </w:p>
    <w:p>
      <w:pPr>
        <w:tabs>
          <w:tab w:val="left" w:pos="8460"/>
        </w:tabs>
        <w:spacing w:line="480" w:lineRule="exact"/>
        <w:ind w:firstLine="568" w:firstLineChars="200"/>
        <w:rPr>
          <w:rFonts w:cs="Times New Roman" w:asciiTheme="minorEastAsia" w:hAnsiTheme="minorEastAsia"/>
          <w:spacing w:val="20"/>
          <w:w w:val="110"/>
          <w:kern w:val="10"/>
          <w:sz w:val="23"/>
          <w:szCs w:val="23"/>
        </w:rPr>
      </w:pPr>
      <w:r>
        <w:rPr>
          <w:rFonts w:hint="eastAsia" w:cs="Times New Roman" w:asciiTheme="minorEastAsia" w:hAnsiTheme="minorEastAsia"/>
          <w:spacing w:val="20"/>
          <w:w w:val="110"/>
          <w:kern w:val="10"/>
          <w:sz w:val="23"/>
          <w:szCs w:val="23"/>
        </w:rPr>
        <w:t>深圳交易集团有限公司土地矿业权业务分公司 地址：深圳市福田区红荔西路8007号土地房产交易大厦3楼；咨询电话：（0755）82713074、（0755）82713274；网址：</w:t>
      </w:r>
      <w:r>
        <w:fldChar w:fldCharType="begin"/>
      </w:r>
      <w:r>
        <w:instrText xml:space="preserve"> HYPERLINK "https://td.szggzy.com。" </w:instrText>
      </w:r>
      <w:r>
        <w:fldChar w:fldCharType="separate"/>
      </w:r>
      <w:r>
        <w:rPr>
          <w:rFonts w:hint="eastAsia" w:cs="Times New Roman" w:asciiTheme="minorEastAsia" w:hAnsiTheme="minorEastAsia"/>
          <w:spacing w:val="20"/>
          <w:w w:val="110"/>
          <w:kern w:val="10"/>
          <w:sz w:val="23"/>
          <w:szCs w:val="23"/>
        </w:rPr>
        <w:t>https://td.szggzy.com。</w:t>
      </w:r>
      <w:r>
        <w:rPr>
          <w:rFonts w:hint="eastAsia" w:cs="Times New Roman" w:asciiTheme="minorEastAsia" w:hAnsiTheme="minorEastAsia"/>
          <w:spacing w:val="20"/>
          <w:w w:val="110"/>
          <w:kern w:val="10"/>
          <w:sz w:val="23"/>
          <w:szCs w:val="23"/>
        </w:rPr>
        <w:fldChar w:fldCharType="end"/>
      </w:r>
    </w:p>
    <w:p>
      <w:pPr>
        <w:tabs>
          <w:tab w:val="left" w:pos="8460"/>
        </w:tabs>
        <w:spacing w:line="480" w:lineRule="exact"/>
        <w:ind w:firstLine="568" w:firstLineChars="200"/>
        <w:rPr>
          <w:rFonts w:cs="Times New Roman" w:asciiTheme="minorEastAsia" w:hAnsiTheme="minorEastAsia"/>
          <w:spacing w:val="20"/>
          <w:w w:val="110"/>
          <w:kern w:val="10"/>
          <w:sz w:val="23"/>
          <w:szCs w:val="23"/>
        </w:rPr>
      </w:pPr>
    </w:p>
    <w:p>
      <w:pPr>
        <w:tabs>
          <w:tab w:val="left" w:pos="8460"/>
        </w:tabs>
        <w:spacing w:line="480" w:lineRule="exact"/>
        <w:ind w:firstLine="568" w:firstLineChars="200"/>
        <w:rPr>
          <w:rFonts w:cs="Times New Roman" w:asciiTheme="minorEastAsia" w:hAnsiTheme="minorEastAsia"/>
          <w:spacing w:val="20"/>
          <w:w w:val="110"/>
          <w:kern w:val="10"/>
          <w:sz w:val="23"/>
          <w:szCs w:val="23"/>
        </w:rPr>
      </w:pPr>
    </w:p>
    <w:p>
      <w:pPr>
        <w:tabs>
          <w:tab w:val="left" w:pos="8460"/>
        </w:tabs>
        <w:spacing w:line="480" w:lineRule="exact"/>
        <w:ind w:firstLine="568" w:firstLineChars="200"/>
        <w:jc w:val="right"/>
        <w:rPr>
          <w:rFonts w:asciiTheme="majorEastAsia" w:hAnsiTheme="majorEastAsia" w:eastAsiaTheme="majorEastAsia" w:cstheme="majorEastAsia"/>
          <w:b/>
          <w:bCs/>
          <w:spacing w:val="20"/>
          <w:w w:val="110"/>
          <w:kern w:val="10"/>
          <w:sz w:val="23"/>
          <w:szCs w:val="23"/>
        </w:rPr>
      </w:pPr>
      <w:r>
        <w:rPr>
          <w:rFonts w:hint="eastAsia" w:asciiTheme="majorEastAsia" w:hAnsiTheme="majorEastAsia" w:eastAsiaTheme="majorEastAsia" w:cstheme="majorEastAsia"/>
          <w:b/>
          <w:bCs/>
          <w:spacing w:val="20"/>
          <w:w w:val="110"/>
          <w:kern w:val="10"/>
          <w:sz w:val="23"/>
          <w:szCs w:val="23"/>
        </w:rPr>
        <w:t>出让人：深圳市规划和自然资源局</w:t>
      </w:r>
    </w:p>
    <w:p>
      <w:pPr>
        <w:tabs>
          <w:tab w:val="left" w:pos="8460"/>
        </w:tabs>
        <w:spacing w:line="480" w:lineRule="exact"/>
        <w:ind w:firstLine="568" w:firstLineChars="200"/>
        <w:jc w:val="right"/>
        <w:rPr>
          <w:rFonts w:asciiTheme="majorEastAsia" w:hAnsiTheme="majorEastAsia" w:eastAsiaTheme="majorEastAsia" w:cstheme="majorEastAsia"/>
          <w:b/>
          <w:bCs/>
          <w:spacing w:val="20"/>
          <w:w w:val="110"/>
          <w:kern w:val="10"/>
          <w:sz w:val="23"/>
          <w:szCs w:val="23"/>
        </w:rPr>
      </w:pPr>
      <w:r>
        <w:rPr>
          <w:rFonts w:hint="eastAsia" w:asciiTheme="majorEastAsia" w:hAnsiTheme="majorEastAsia" w:eastAsiaTheme="majorEastAsia" w:cstheme="majorEastAsia"/>
          <w:b/>
          <w:bCs/>
          <w:spacing w:val="20"/>
          <w:w w:val="110"/>
          <w:kern w:val="10"/>
          <w:sz w:val="23"/>
          <w:szCs w:val="23"/>
        </w:rPr>
        <w:t>交易机构：深圳交易集团有限公司</w:t>
      </w:r>
    </w:p>
    <w:p>
      <w:pPr>
        <w:tabs>
          <w:tab w:val="left" w:pos="8460"/>
        </w:tabs>
        <w:spacing w:line="480" w:lineRule="exact"/>
        <w:ind w:firstLine="568" w:firstLineChars="200"/>
        <w:jc w:val="right"/>
        <w:rPr>
          <w:rFonts w:asciiTheme="majorEastAsia" w:hAnsiTheme="majorEastAsia" w:eastAsiaTheme="majorEastAsia" w:cstheme="majorEastAsia"/>
          <w:b/>
          <w:spacing w:val="20"/>
          <w:w w:val="110"/>
          <w:kern w:val="10"/>
          <w:sz w:val="23"/>
          <w:szCs w:val="23"/>
        </w:rPr>
      </w:pPr>
      <w:r>
        <w:rPr>
          <w:rFonts w:hint="eastAsia" w:asciiTheme="majorEastAsia" w:hAnsiTheme="majorEastAsia" w:eastAsiaTheme="majorEastAsia" w:cstheme="majorEastAsia"/>
          <w:b/>
          <w:bCs/>
          <w:spacing w:val="20"/>
          <w:w w:val="110"/>
          <w:kern w:val="10"/>
          <w:sz w:val="23"/>
          <w:szCs w:val="23"/>
        </w:rPr>
        <w:t> （深圳公共资源交易中心）</w:t>
      </w:r>
    </w:p>
    <w:p>
      <w:pPr>
        <w:spacing w:line="480" w:lineRule="exact"/>
        <w:ind w:left="267" w:leftChars="133" w:right="568" w:firstLine="5098" w:firstLineChars="1795"/>
        <w:jc w:val="right"/>
        <w:rPr>
          <w:rFonts w:asciiTheme="majorEastAsia" w:hAnsiTheme="majorEastAsia" w:eastAsiaTheme="majorEastAsia" w:cstheme="majorEastAsia"/>
        </w:rPr>
      </w:pPr>
      <w:r>
        <w:rPr>
          <w:rFonts w:hint="eastAsia" w:asciiTheme="majorEastAsia" w:hAnsiTheme="majorEastAsia" w:eastAsiaTheme="majorEastAsia" w:cstheme="majorEastAsia"/>
          <w:b/>
          <w:spacing w:val="20"/>
          <w:w w:val="110"/>
          <w:kern w:val="10"/>
          <w:sz w:val="23"/>
          <w:szCs w:val="23"/>
        </w:rPr>
        <w:t>2022年8月</w:t>
      </w:r>
      <w:r>
        <w:rPr>
          <w:rFonts w:asciiTheme="majorEastAsia" w:hAnsiTheme="majorEastAsia" w:eastAsiaTheme="majorEastAsia" w:cstheme="majorEastAsia"/>
          <w:b/>
          <w:spacing w:val="20"/>
          <w:w w:val="110"/>
          <w:kern w:val="10"/>
          <w:sz w:val="23"/>
          <w:szCs w:val="23"/>
        </w:rPr>
        <w:t>30</w:t>
      </w:r>
      <w:r>
        <w:rPr>
          <w:rFonts w:hint="eastAsia" w:asciiTheme="majorEastAsia" w:hAnsiTheme="majorEastAsia" w:eastAsiaTheme="majorEastAsia" w:cstheme="majorEastAsia"/>
          <w:b/>
          <w:spacing w:val="20"/>
          <w:w w:val="110"/>
          <w:kern w:val="10"/>
          <w:sz w:val="23"/>
          <w:szCs w:val="23"/>
        </w:rPr>
        <w:t>日</w:t>
      </w:r>
    </w:p>
    <w:sectPr>
      <w:footerReference r:id="rId3" w:type="default"/>
      <w:footerReference r:id="rId4" w:type="even"/>
      <w:pgSz w:w="11907" w:h="16839"/>
      <w:pgMar w:top="1258" w:right="1259" w:bottom="1616" w:left="1440" w:header="851" w:footer="635" w:gutter="0"/>
      <w:cols w:space="425" w:num="1"/>
      <w:docGrid w:type="linesAndChar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汉仪书宋二简">
    <w:altName w:val="宋体"/>
    <w:panose1 w:val="00000000000000000000"/>
    <w:charset w:val="86"/>
    <w:family w:val="modern"/>
    <w:pitch w:val="default"/>
    <w:sig w:usb0="00000000" w:usb1="00000000" w:usb2="00000012"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NjE4ZWFkM2RmMjM0NjM0ZjYxZDBhNGU2YzA2MjgifQ=="/>
  </w:docVars>
  <w:rsids>
    <w:rsidRoot w:val="009107FC"/>
    <w:rsid w:val="0000638A"/>
    <w:rsid w:val="00007F44"/>
    <w:rsid w:val="000201CC"/>
    <w:rsid w:val="000220BA"/>
    <w:rsid w:val="00023187"/>
    <w:rsid w:val="0002672A"/>
    <w:rsid w:val="0003009A"/>
    <w:rsid w:val="000447DD"/>
    <w:rsid w:val="00051BA2"/>
    <w:rsid w:val="00053B7D"/>
    <w:rsid w:val="00062AD2"/>
    <w:rsid w:val="00065BBC"/>
    <w:rsid w:val="00075283"/>
    <w:rsid w:val="00094E7C"/>
    <w:rsid w:val="000964C1"/>
    <w:rsid w:val="000A2E11"/>
    <w:rsid w:val="000A38E8"/>
    <w:rsid w:val="000B014D"/>
    <w:rsid w:val="000B1F1F"/>
    <w:rsid w:val="000B217A"/>
    <w:rsid w:val="000B2310"/>
    <w:rsid w:val="000B46B7"/>
    <w:rsid w:val="000B4C84"/>
    <w:rsid w:val="000C05E5"/>
    <w:rsid w:val="000C17DE"/>
    <w:rsid w:val="000C5356"/>
    <w:rsid w:val="000C6859"/>
    <w:rsid w:val="000D07CD"/>
    <w:rsid w:val="000D0C6B"/>
    <w:rsid w:val="000D27B2"/>
    <w:rsid w:val="000D7C42"/>
    <w:rsid w:val="000E11A7"/>
    <w:rsid w:val="000E419A"/>
    <w:rsid w:val="000F0C71"/>
    <w:rsid w:val="000F63FB"/>
    <w:rsid w:val="0010037C"/>
    <w:rsid w:val="00110E45"/>
    <w:rsid w:val="00113291"/>
    <w:rsid w:val="0011405E"/>
    <w:rsid w:val="001141D0"/>
    <w:rsid w:val="00117F49"/>
    <w:rsid w:val="0012015A"/>
    <w:rsid w:val="00124AF5"/>
    <w:rsid w:val="00131CA9"/>
    <w:rsid w:val="00136004"/>
    <w:rsid w:val="00161616"/>
    <w:rsid w:val="00161BC1"/>
    <w:rsid w:val="0016612A"/>
    <w:rsid w:val="00171A67"/>
    <w:rsid w:val="00192DE8"/>
    <w:rsid w:val="00193D78"/>
    <w:rsid w:val="00194833"/>
    <w:rsid w:val="001A2215"/>
    <w:rsid w:val="001B2175"/>
    <w:rsid w:val="001C7D83"/>
    <w:rsid w:val="001C7FDB"/>
    <w:rsid w:val="001D0F67"/>
    <w:rsid w:val="001E169E"/>
    <w:rsid w:val="001E2FFC"/>
    <w:rsid w:val="001F169D"/>
    <w:rsid w:val="001F317F"/>
    <w:rsid w:val="001F433D"/>
    <w:rsid w:val="002002E9"/>
    <w:rsid w:val="002009CF"/>
    <w:rsid w:val="00206B83"/>
    <w:rsid w:val="00216B20"/>
    <w:rsid w:val="002173DB"/>
    <w:rsid w:val="002221C4"/>
    <w:rsid w:val="00222CDA"/>
    <w:rsid w:val="00224395"/>
    <w:rsid w:val="0022497A"/>
    <w:rsid w:val="00225BF1"/>
    <w:rsid w:val="0023308C"/>
    <w:rsid w:val="0024129B"/>
    <w:rsid w:val="0024288C"/>
    <w:rsid w:val="00243F36"/>
    <w:rsid w:val="002528F0"/>
    <w:rsid w:val="00257E2C"/>
    <w:rsid w:val="00260783"/>
    <w:rsid w:val="002642EB"/>
    <w:rsid w:val="0026553E"/>
    <w:rsid w:val="0026646D"/>
    <w:rsid w:val="00272603"/>
    <w:rsid w:val="00282D11"/>
    <w:rsid w:val="002851CC"/>
    <w:rsid w:val="00291A63"/>
    <w:rsid w:val="00291A9F"/>
    <w:rsid w:val="00292B6C"/>
    <w:rsid w:val="00292ED1"/>
    <w:rsid w:val="002A0AB4"/>
    <w:rsid w:val="002A21EF"/>
    <w:rsid w:val="002A4EAB"/>
    <w:rsid w:val="002A6678"/>
    <w:rsid w:val="002B278C"/>
    <w:rsid w:val="002C0E5E"/>
    <w:rsid w:val="002C5EA4"/>
    <w:rsid w:val="002C7233"/>
    <w:rsid w:val="002C7B34"/>
    <w:rsid w:val="002D3C01"/>
    <w:rsid w:val="002F2160"/>
    <w:rsid w:val="002F6861"/>
    <w:rsid w:val="00304C8D"/>
    <w:rsid w:val="00315EA9"/>
    <w:rsid w:val="00316E00"/>
    <w:rsid w:val="003250F2"/>
    <w:rsid w:val="00325A18"/>
    <w:rsid w:val="003333F5"/>
    <w:rsid w:val="00340C07"/>
    <w:rsid w:val="00373065"/>
    <w:rsid w:val="003734A8"/>
    <w:rsid w:val="00373BD6"/>
    <w:rsid w:val="00374717"/>
    <w:rsid w:val="00375F08"/>
    <w:rsid w:val="00391DC9"/>
    <w:rsid w:val="00393A83"/>
    <w:rsid w:val="003964D0"/>
    <w:rsid w:val="003A6212"/>
    <w:rsid w:val="003B3C01"/>
    <w:rsid w:val="003B525E"/>
    <w:rsid w:val="003C1011"/>
    <w:rsid w:val="003C291B"/>
    <w:rsid w:val="003D673A"/>
    <w:rsid w:val="003E27B8"/>
    <w:rsid w:val="003E3189"/>
    <w:rsid w:val="003E3679"/>
    <w:rsid w:val="003F27B8"/>
    <w:rsid w:val="003F3531"/>
    <w:rsid w:val="0040761A"/>
    <w:rsid w:val="004270DE"/>
    <w:rsid w:val="00440924"/>
    <w:rsid w:val="004437FF"/>
    <w:rsid w:val="0044462E"/>
    <w:rsid w:val="00445B8D"/>
    <w:rsid w:val="00445F2C"/>
    <w:rsid w:val="004520EE"/>
    <w:rsid w:val="00454210"/>
    <w:rsid w:val="00454C0E"/>
    <w:rsid w:val="00470271"/>
    <w:rsid w:val="00470CE5"/>
    <w:rsid w:val="0047684E"/>
    <w:rsid w:val="0048483D"/>
    <w:rsid w:val="00484EA8"/>
    <w:rsid w:val="00494F65"/>
    <w:rsid w:val="004A054F"/>
    <w:rsid w:val="004A38B8"/>
    <w:rsid w:val="004A7CB9"/>
    <w:rsid w:val="004B7A4F"/>
    <w:rsid w:val="004D0474"/>
    <w:rsid w:val="004D5838"/>
    <w:rsid w:val="004F6BF5"/>
    <w:rsid w:val="00513061"/>
    <w:rsid w:val="0051347C"/>
    <w:rsid w:val="00513633"/>
    <w:rsid w:val="005369D6"/>
    <w:rsid w:val="005408C7"/>
    <w:rsid w:val="00550289"/>
    <w:rsid w:val="0056163B"/>
    <w:rsid w:val="00565A6E"/>
    <w:rsid w:val="0057355A"/>
    <w:rsid w:val="00575199"/>
    <w:rsid w:val="005813DA"/>
    <w:rsid w:val="00581686"/>
    <w:rsid w:val="00583969"/>
    <w:rsid w:val="0059361A"/>
    <w:rsid w:val="00593B8D"/>
    <w:rsid w:val="00595D33"/>
    <w:rsid w:val="005A1611"/>
    <w:rsid w:val="005A3826"/>
    <w:rsid w:val="005A3F68"/>
    <w:rsid w:val="005C367C"/>
    <w:rsid w:val="005C4DC1"/>
    <w:rsid w:val="005C79B5"/>
    <w:rsid w:val="005D0D59"/>
    <w:rsid w:val="005D12B4"/>
    <w:rsid w:val="005D4D54"/>
    <w:rsid w:val="005D5368"/>
    <w:rsid w:val="005D7F67"/>
    <w:rsid w:val="005E0CC0"/>
    <w:rsid w:val="005E0ECE"/>
    <w:rsid w:val="005F5184"/>
    <w:rsid w:val="0060695E"/>
    <w:rsid w:val="006128B5"/>
    <w:rsid w:val="0061625B"/>
    <w:rsid w:val="00617952"/>
    <w:rsid w:val="006179AE"/>
    <w:rsid w:val="00624044"/>
    <w:rsid w:val="0062623D"/>
    <w:rsid w:val="00626E73"/>
    <w:rsid w:val="00634610"/>
    <w:rsid w:val="00634DDE"/>
    <w:rsid w:val="00640848"/>
    <w:rsid w:val="006452EE"/>
    <w:rsid w:val="00647513"/>
    <w:rsid w:val="00661388"/>
    <w:rsid w:val="0067233D"/>
    <w:rsid w:val="00673207"/>
    <w:rsid w:val="0068042B"/>
    <w:rsid w:val="00693087"/>
    <w:rsid w:val="0069594E"/>
    <w:rsid w:val="006A520C"/>
    <w:rsid w:val="006A5552"/>
    <w:rsid w:val="006A5650"/>
    <w:rsid w:val="006B01E3"/>
    <w:rsid w:val="006B06D6"/>
    <w:rsid w:val="006B17A5"/>
    <w:rsid w:val="006B3311"/>
    <w:rsid w:val="006B4271"/>
    <w:rsid w:val="006C0BE9"/>
    <w:rsid w:val="006C31F4"/>
    <w:rsid w:val="006C61AD"/>
    <w:rsid w:val="006D6B4B"/>
    <w:rsid w:val="006E2520"/>
    <w:rsid w:val="006E57CB"/>
    <w:rsid w:val="006F006E"/>
    <w:rsid w:val="006F02D0"/>
    <w:rsid w:val="006F2835"/>
    <w:rsid w:val="006F6705"/>
    <w:rsid w:val="006F68FD"/>
    <w:rsid w:val="007013B3"/>
    <w:rsid w:val="007017D7"/>
    <w:rsid w:val="0070454F"/>
    <w:rsid w:val="00711771"/>
    <w:rsid w:val="0073381A"/>
    <w:rsid w:val="0074188A"/>
    <w:rsid w:val="00741F4C"/>
    <w:rsid w:val="00752D80"/>
    <w:rsid w:val="00754472"/>
    <w:rsid w:val="00757D74"/>
    <w:rsid w:val="007634D6"/>
    <w:rsid w:val="007676C1"/>
    <w:rsid w:val="0078268C"/>
    <w:rsid w:val="00786884"/>
    <w:rsid w:val="007920DD"/>
    <w:rsid w:val="0079315F"/>
    <w:rsid w:val="007A2351"/>
    <w:rsid w:val="007A7CB7"/>
    <w:rsid w:val="007B1E21"/>
    <w:rsid w:val="007B79DE"/>
    <w:rsid w:val="007C0E61"/>
    <w:rsid w:val="007C13B0"/>
    <w:rsid w:val="007C1930"/>
    <w:rsid w:val="007C5F89"/>
    <w:rsid w:val="007D17A7"/>
    <w:rsid w:val="007D2B9D"/>
    <w:rsid w:val="007D2FB1"/>
    <w:rsid w:val="007E3D72"/>
    <w:rsid w:val="007E45F4"/>
    <w:rsid w:val="007E6005"/>
    <w:rsid w:val="007F4099"/>
    <w:rsid w:val="00812E24"/>
    <w:rsid w:val="008147C1"/>
    <w:rsid w:val="00815444"/>
    <w:rsid w:val="00821D25"/>
    <w:rsid w:val="008265D1"/>
    <w:rsid w:val="00833423"/>
    <w:rsid w:val="00837618"/>
    <w:rsid w:val="0083781F"/>
    <w:rsid w:val="00846559"/>
    <w:rsid w:val="008547E6"/>
    <w:rsid w:val="00860A88"/>
    <w:rsid w:val="008610D3"/>
    <w:rsid w:val="008673EA"/>
    <w:rsid w:val="008851E5"/>
    <w:rsid w:val="0088669A"/>
    <w:rsid w:val="00896A3E"/>
    <w:rsid w:val="008974B0"/>
    <w:rsid w:val="00897ED3"/>
    <w:rsid w:val="008A3578"/>
    <w:rsid w:val="008A692A"/>
    <w:rsid w:val="008B041B"/>
    <w:rsid w:val="008C1C3D"/>
    <w:rsid w:val="008C6FF9"/>
    <w:rsid w:val="008C75E3"/>
    <w:rsid w:val="008D2C02"/>
    <w:rsid w:val="008D714F"/>
    <w:rsid w:val="008E1818"/>
    <w:rsid w:val="008E263E"/>
    <w:rsid w:val="008E5596"/>
    <w:rsid w:val="008E6E84"/>
    <w:rsid w:val="008F2556"/>
    <w:rsid w:val="008F60C2"/>
    <w:rsid w:val="00905E75"/>
    <w:rsid w:val="009107FC"/>
    <w:rsid w:val="00912231"/>
    <w:rsid w:val="0091308E"/>
    <w:rsid w:val="009179F4"/>
    <w:rsid w:val="009216DA"/>
    <w:rsid w:val="00921F7D"/>
    <w:rsid w:val="00942A1C"/>
    <w:rsid w:val="00952918"/>
    <w:rsid w:val="00960072"/>
    <w:rsid w:val="0096049F"/>
    <w:rsid w:val="00961B98"/>
    <w:rsid w:val="009727A4"/>
    <w:rsid w:val="00977763"/>
    <w:rsid w:val="009879D0"/>
    <w:rsid w:val="00987C73"/>
    <w:rsid w:val="00990F77"/>
    <w:rsid w:val="00997B67"/>
    <w:rsid w:val="009B5679"/>
    <w:rsid w:val="009D6853"/>
    <w:rsid w:val="009E5FBC"/>
    <w:rsid w:val="009F57BD"/>
    <w:rsid w:val="009F71D3"/>
    <w:rsid w:val="00A00AF0"/>
    <w:rsid w:val="00A15A44"/>
    <w:rsid w:val="00A20D79"/>
    <w:rsid w:val="00A216EC"/>
    <w:rsid w:val="00A27E38"/>
    <w:rsid w:val="00A3085B"/>
    <w:rsid w:val="00A6762E"/>
    <w:rsid w:val="00A7238C"/>
    <w:rsid w:val="00A77C12"/>
    <w:rsid w:val="00A8019C"/>
    <w:rsid w:val="00A80634"/>
    <w:rsid w:val="00A840F1"/>
    <w:rsid w:val="00A86D94"/>
    <w:rsid w:val="00A90A49"/>
    <w:rsid w:val="00A92681"/>
    <w:rsid w:val="00AA1662"/>
    <w:rsid w:val="00AA2FF9"/>
    <w:rsid w:val="00AA52EF"/>
    <w:rsid w:val="00AB1DD0"/>
    <w:rsid w:val="00AB2D72"/>
    <w:rsid w:val="00AB7F49"/>
    <w:rsid w:val="00AC0D2A"/>
    <w:rsid w:val="00AC5322"/>
    <w:rsid w:val="00AD767C"/>
    <w:rsid w:val="00AD7AF0"/>
    <w:rsid w:val="00AE0A69"/>
    <w:rsid w:val="00AF08E1"/>
    <w:rsid w:val="00AF2125"/>
    <w:rsid w:val="00AF35B5"/>
    <w:rsid w:val="00AF5FBF"/>
    <w:rsid w:val="00B00CC0"/>
    <w:rsid w:val="00B013C3"/>
    <w:rsid w:val="00B0477C"/>
    <w:rsid w:val="00B1536E"/>
    <w:rsid w:val="00B17AF7"/>
    <w:rsid w:val="00B20A9D"/>
    <w:rsid w:val="00B23580"/>
    <w:rsid w:val="00B264C5"/>
    <w:rsid w:val="00B332D1"/>
    <w:rsid w:val="00B4375B"/>
    <w:rsid w:val="00B4699C"/>
    <w:rsid w:val="00B51F16"/>
    <w:rsid w:val="00B56B94"/>
    <w:rsid w:val="00B6110D"/>
    <w:rsid w:val="00B74393"/>
    <w:rsid w:val="00B80074"/>
    <w:rsid w:val="00B8262E"/>
    <w:rsid w:val="00B926BC"/>
    <w:rsid w:val="00B92F4B"/>
    <w:rsid w:val="00BA49D2"/>
    <w:rsid w:val="00BA737B"/>
    <w:rsid w:val="00BA7C46"/>
    <w:rsid w:val="00BC4DC8"/>
    <w:rsid w:val="00BC74CE"/>
    <w:rsid w:val="00BC7A01"/>
    <w:rsid w:val="00BD2797"/>
    <w:rsid w:val="00BD305C"/>
    <w:rsid w:val="00BD5F03"/>
    <w:rsid w:val="00BD723C"/>
    <w:rsid w:val="00BE1047"/>
    <w:rsid w:val="00BE52D9"/>
    <w:rsid w:val="00BF286B"/>
    <w:rsid w:val="00C10679"/>
    <w:rsid w:val="00C13D17"/>
    <w:rsid w:val="00C216FF"/>
    <w:rsid w:val="00C25385"/>
    <w:rsid w:val="00C35008"/>
    <w:rsid w:val="00C35183"/>
    <w:rsid w:val="00C36D12"/>
    <w:rsid w:val="00C471C9"/>
    <w:rsid w:val="00C6047B"/>
    <w:rsid w:val="00C65E5B"/>
    <w:rsid w:val="00C712D4"/>
    <w:rsid w:val="00C72B26"/>
    <w:rsid w:val="00C731F8"/>
    <w:rsid w:val="00C774DA"/>
    <w:rsid w:val="00C92CD3"/>
    <w:rsid w:val="00C94F92"/>
    <w:rsid w:val="00C95B60"/>
    <w:rsid w:val="00C95C32"/>
    <w:rsid w:val="00CA0E39"/>
    <w:rsid w:val="00CA2CB7"/>
    <w:rsid w:val="00CA79A5"/>
    <w:rsid w:val="00CB106E"/>
    <w:rsid w:val="00CB1321"/>
    <w:rsid w:val="00CB149F"/>
    <w:rsid w:val="00CB1FF0"/>
    <w:rsid w:val="00CB3D6B"/>
    <w:rsid w:val="00CB4851"/>
    <w:rsid w:val="00CB569D"/>
    <w:rsid w:val="00CB6B6C"/>
    <w:rsid w:val="00CC33DA"/>
    <w:rsid w:val="00CD5458"/>
    <w:rsid w:val="00CD61D7"/>
    <w:rsid w:val="00CD666E"/>
    <w:rsid w:val="00CD751B"/>
    <w:rsid w:val="00CE184F"/>
    <w:rsid w:val="00CE4A0C"/>
    <w:rsid w:val="00CF3972"/>
    <w:rsid w:val="00D0076D"/>
    <w:rsid w:val="00D11DFD"/>
    <w:rsid w:val="00D331CA"/>
    <w:rsid w:val="00D35F93"/>
    <w:rsid w:val="00D42971"/>
    <w:rsid w:val="00D60887"/>
    <w:rsid w:val="00D60E3D"/>
    <w:rsid w:val="00D62489"/>
    <w:rsid w:val="00D72A32"/>
    <w:rsid w:val="00D75C00"/>
    <w:rsid w:val="00D80A48"/>
    <w:rsid w:val="00D86E71"/>
    <w:rsid w:val="00DA40D3"/>
    <w:rsid w:val="00DA6332"/>
    <w:rsid w:val="00DA7C7D"/>
    <w:rsid w:val="00DB0348"/>
    <w:rsid w:val="00DB1618"/>
    <w:rsid w:val="00DB4785"/>
    <w:rsid w:val="00DC6957"/>
    <w:rsid w:val="00DC788B"/>
    <w:rsid w:val="00DD2F0C"/>
    <w:rsid w:val="00DD3035"/>
    <w:rsid w:val="00DD43E8"/>
    <w:rsid w:val="00DD7962"/>
    <w:rsid w:val="00DE42D6"/>
    <w:rsid w:val="00DE60FC"/>
    <w:rsid w:val="00DF1284"/>
    <w:rsid w:val="00DF1931"/>
    <w:rsid w:val="00E073E7"/>
    <w:rsid w:val="00E178E2"/>
    <w:rsid w:val="00E20D4F"/>
    <w:rsid w:val="00E23DBD"/>
    <w:rsid w:val="00E256D4"/>
    <w:rsid w:val="00E26FE7"/>
    <w:rsid w:val="00E3032B"/>
    <w:rsid w:val="00E35FC0"/>
    <w:rsid w:val="00E36A12"/>
    <w:rsid w:val="00E50EE6"/>
    <w:rsid w:val="00E51551"/>
    <w:rsid w:val="00E55F68"/>
    <w:rsid w:val="00E628CC"/>
    <w:rsid w:val="00E6294D"/>
    <w:rsid w:val="00E64E6D"/>
    <w:rsid w:val="00E6680C"/>
    <w:rsid w:val="00E70859"/>
    <w:rsid w:val="00E72C50"/>
    <w:rsid w:val="00E73C48"/>
    <w:rsid w:val="00E75956"/>
    <w:rsid w:val="00E80736"/>
    <w:rsid w:val="00EB381E"/>
    <w:rsid w:val="00ED26FA"/>
    <w:rsid w:val="00ED4383"/>
    <w:rsid w:val="00ED57F0"/>
    <w:rsid w:val="00ED6454"/>
    <w:rsid w:val="00ED6EAB"/>
    <w:rsid w:val="00EE2360"/>
    <w:rsid w:val="00EF430F"/>
    <w:rsid w:val="00F027EA"/>
    <w:rsid w:val="00F1192C"/>
    <w:rsid w:val="00F12A0B"/>
    <w:rsid w:val="00F3162B"/>
    <w:rsid w:val="00F324EF"/>
    <w:rsid w:val="00F32AF9"/>
    <w:rsid w:val="00F57413"/>
    <w:rsid w:val="00F578AB"/>
    <w:rsid w:val="00F61C07"/>
    <w:rsid w:val="00F71813"/>
    <w:rsid w:val="00F80416"/>
    <w:rsid w:val="00F818A3"/>
    <w:rsid w:val="00F81DD0"/>
    <w:rsid w:val="00F90251"/>
    <w:rsid w:val="00F91BC0"/>
    <w:rsid w:val="00F93392"/>
    <w:rsid w:val="00F93DE3"/>
    <w:rsid w:val="00F945E4"/>
    <w:rsid w:val="00F95A73"/>
    <w:rsid w:val="00FA177D"/>
    <w:rsid w:val="00FA44E6"/>
    <w:rsid w:val="00FB006C"/>
    <w:rsid w:val="00FB201A"/>
    <w:rsid w:val="00FB3E4C"/>
    <w:rsid w:val="00FB648F"/>
    <w:rsid w:val="00FB7639"/>
    <w:rsid w:val="00FC7917"/>
    <w:rsid w:val="00FD38DC"/>
    <w:rsid w:val="00FD6AF8"/>
    <w:rsid w:val="00FD6D9B"/>
    <w:rsid w:val="00FF08F3"/>
    <w:rsid w:val="00FF1501"/>
    <w:rsid w:val="00FF405A"/>
    <w:rsid w:val="02B250DA"/>
    <w:rsid w:val="0337738D"/>
    <w:rsid w:val="038767BC"/>
    <w:rsid w:val="03E868D9"/>
    <w:rsid w:val="041827A8"/>
    <w:rsid w:val="043833BC"/>
    <w:rsid w:val="0439351B"/>
    <w:rsid w:val="046A683D"/>
    <w:rsid w:val="047D34C5"/>
    <w:rsid w:val="051C6794"/>
    <w:rsid w:val="05D84452"/>
    <w:rsid w:val="078B414B"/>
    <w:rsid w:val="087348EB"/>
    <w:rsid w:val="08803584"/>
    <w:rsid w:val="08CB4964"/>
    <w:rsid w:val="08CC5749"/>
    <w:rsid w:val="09852070"/>
    <w:rsid w:val="0AC11947"/>
    <w:rsid w:val="0AF20AEF"/>
    <w:rsid w:val="0B6232ED"/>
    <w:rsid w:val="0B956B70"/>
    <w:rsid w:val="0C41302A"/>
    <w:rsid w:val="0CAA6E21"/>
    <w:rsid w:val="0D156991"/>
    <w:rsid w:val="0D67754C"/>
    <w:rsid w:val="0D8A752E"/>
    <w:rsid w:val="0E0B5541"/>
    <w:rsid w:val="0F0C39A1"/>
    <w:rsid w:val="0FBC30F4"/>
    <w:rsid w:val="101C7854"/>
    <w:rsid w:val="127C4397"/>
    <w:rsid w:val="128952E2"/>
    <w:rsid w:val="131C66CB"/>
    <w:rsid w:val="13767E73"/>
    <w:rsid w:val="140534A4"/>
    <w:rsid w:val="15840280"/>
    <w:rsid w:val="15D6692B"/>
    <w:rsid w:val="15E2762C"/>
    <w:rsid w:val="15E5761C"/>
    <w:rsid w:val="1663452C"/>
    <w:rsid w:val="16BC1C9D"/>
    <w:rsid w:val="173B6FF4"/>
    <w:rsid w:val="189B3099"/>
    <w:rsid w:val="189F7F02"/>
    <w:rsid w:val="1A447B28"/>
    <w:rsid w:val="1A5B4FA7"/>
    <w:rsid w:val="1B2604E2"/>
    <w:rsid w:val="1B6B1E72"/>
    <w:rsid w:val="1D8B05A9"/>
    <w:rsid w:val="1E3C488D"/>
    <w:rsid w:val="1F05439B"/>
    <w:rsid w:val="1F407DE7"/>
    <w:rsid w:val="1FBF278C"/>
    <w:rsid w:val="20BA1301"/>
    <w:rsid w:val="20C7069C"/>
    <w:rsid w:val="20E67C77"/>
    <w:rsid w:val="20F22702"/>
    <w:rsid w:val="21653D79"/>
    <w:rsid w:val="2244029C"/>
    <w:rsid w:val="256F1AFE"/>
    <w:rsid w:val="263A043C"/>
    <w:rsid w:val="26ED5E31"/>
    <w:rsid w:val="27266901"/>
    <w:rsid w:val="27300996"/>
    <w:rsid w:val="27EB0A09"/>
    <w:rsid w:val="28743FC5"/>
    <w:rsid w:val="28820FD9"/>
    <w:rsid w:val="28EA3406"/>
    <w:rsid w:val="292B2D6D"/>
    <w:rsid w:val="29C371B4"/>
    <w:rsid w:val="2A8E7260"/>
    <w:rsid w:val="2ABE4051"/>
    <w:rsid w:val="2ADD4AAF"/>
    <w:rsid w:val="2C0E3068"/>
    <w:rsid w:val="2C4136FB"/>
    <w:rsid w:val="2D045C82"/>
    <w:rsid w:val="2E4E5CBE"/>
    <w:rsid w:val="2E8F4905"/>
    <w:rsid w:val="2F004BB9"/>
    <w:rsid w:val="2F7470EF"/>
    <w:rsid w:val="2FD6D931"/>
    <w:rsid w:val="3021055B"/>
    <w:rsid w:val="31F47297"/>
    <w:rsid w:val="32CB2671"/>
    <w:rsid w:val="33B42DA4"/>
    <w:rsid w:val="34747399"/>
    <w:rsid w:val="35C506A4"/>
    <w:rsid w:val="35F456A2"/>
    <w:rsid w:val="372B09DB"/>
    <w:rsid w:val="37811B93"/>
    <w:rsid w:val="380E11A1"/>
    <w:rsid w:val="380F6BB3"/>
    <w:rsid w:val="38A50319"/>
    <w:rsid w:val="399565E0"/>
    <w:rsid w:val="3A920D71"/>
    <w:rsid w:val="3BD56003"/>
    <w:rsid w:val="3C1E0B0E"/>
    <w:rsid w:val="3C8445F3"/>
    <w:rsid w:val="3D0E3E15"/>
    <w:rsid w:val="3D2C725B"/>
    <w:rsid w:val="3DBD7EB3"/>
    <w:rsid w:val="3DE23DBE"/>
    <w:rsid w:val="3ECF479B"/>
    <w:rsid w:val="40754B01"/>
    <w:rsid w:val="409C0479"/>
    <w:rsid w:val="40A86BF9"/>
    <w:rsid w:val="414B06C5"/>
    <w:rsid w:val="41A73354"/>
    <w:rsid w:val="420268B2"/>
    <w:rsid w:val="42A53449"/>
    <w:rsid w:val="42C76C8E"/>
    <w:rsid w:val="42DA6111"/>
    <w:rsid w:val="43E91A02"/>
    <w:rsid w:val="443A225E"/>
    <w:rsid w:val="44A847D8"/>
    <w:rsid w:val="45C67B21"/>
    <w:rsid w:val="46A862F9"/>
    <w:rsid w:val="46E164C1"/>
    <w:rsid w:val="470E01B0"/>
    <w:rsid w:val="471049AF"/>
    <w:rsid w:val="485C0719"/>
    <w:rsid w:val="489456FD"/>
    <w:rsid w:val="492E7EB7"/>
    <w:rsid w:val="4A08695A"/>
    <w:rsid w:val="4A2B014A"/>
    <w:rsid w:val="4A365275"/>
    <w:rsid w:val="4A7465C4"/>
    <w:rsid w:val="4A93363D"/>
    <w:rsid w:val="4AE70793"/>
    <w:rsid w:val="4B3A2DF8"/>
    <w:rsid w:val="4B8D3A4C"/>
    <w:rsid w:val="4D065CF9"/>
    <w:rsid w:val="4DA07975"/>
    <w:rsid w:val="4DF95776"/>
    <w:rsid w:val="4E067654"/>
    <w:rsid w:val="4E7D39CF"/>
    <w:rsid w:val="4E9678F1"/>
    <w:rsid w:val="4F205D83"/>
    <w:rsid w:val="4F44079F"/>
    <w:rsid w:val="50096C45"/>
    <w:rsid w:val="501A642E"/>
    <w:rsid w:val="53DE0A3A"/>
    <w:rsid w:val="540A6275"/>
    <w:rsid w:val="55172AE4"/>
    <w:rsid w:val="5583514A"/>
    <w:rsid w:val="572709D1"/>
    <w:rsid w:val="572A3C7C"/>
    <w:rsid w:val="57BA7C0F"/>
    <w:rsid w:val="58117EEF"/>
    <w:rsid w:val="582C7CB7"/>
    <w:rsid w:val="593A4C49"/>
    <w:rsid w:val="593E6FAD"/>
    <w:rsid w:val="595F40F2"/>
    <w:rsid w:val="597F42D9"/>
    <w:rsid w:val="599C12D8"/>
    <w:rsid w:val="59FA62BF"/>
    <w:rsid w:val="5A040EEC"/>
    <w:rsid w:val="5A1350B0"/>
    <w:rsid w:val="5A640354"/>
    <w:rsid w:val="5A9D0BA5"/>
    <w:rsid w:val="5AE43B66"/>
    <w:rsid w:val="5AE60D1B"/>
    <w:rsid w:val="5AF879E8"/>
    <w:rsid w:val="5B0C2715"/>
    <w:rsid w:val="5BEB116E"/>
    <w:rsid w:val="5BF97888"/>
    <w:rsid w:val="5C2E31F8"/>
    <w:rsid w:val="5CC45974"/>
    <w:rsid w:val="5D1D22C5"/>
    <w:rsid w:val="5D8C64FA"/>
    <w:rsid w:val="5DE86607"/>
    <w:rsid w:val="5E006F74"/>
    <w:rsid w:val="5E0D2339"/>
    <w:rsid w:val="5E563166"/>
    <w:rsid w:val="5EFB439C"/>
    <w:rsid w:val="5F054EAC"/>
    <w:rsid w:val="5F56667A"/>
    <w:rsid w:val="5F9C6F4B"/>
    <w:rsid w:val="60055386"/>
    <w:rsid w:val="60150932"/>
    <w:rsid w:val="604D6B6A"/>
    <w:rsid w:val="60B33F8F"/>
    <w:rsid w:val="60BB45EE"/>
    <w:rsid w:val="622441AA"/>
    <w:rsid w:val="64031FD2"/>
    <w:rsid w:val="645771EC"/>
    <w:rsid w:val="652C2DE2"/>
    <w:rsid w:val="65AE41B8"/>
    <w:rsid w:val="669A4C1A"/>
    <w:rsid w:val="66E240FC"/>
    <w:rsid w:val="67774FBD"/>
    <w:rsid w:val="67DE5796"/>
    <w:rsid w:val="680054FA"/>
    <w:rsid w:val="680B78E9"/>
    <w:rsid w:val="68B852C3"/>
    <w:rsid w:val="68E329D0"/>
    <w:rsid w:val="69747EC6"/>
    <w:rsid w:val="699E6B7E"/>
    <w:rsid w:val="6A9040D6"/>
    <w:rsid w:val="6ABE0C43"/>
    <w:rsid w:val="6AE01DCC"/>
    <w:rsid w:val="6AEB19B5"/>
    <w:rsid w:val="6B0E3133"/>
    <w:rsid w:val="6B7E27D2"/>
    <w:rsid w:val="6C4E249B"/>
    <w:rsid w:val="6CBA368C"/>
    <w:rsid w:val="6CD117BF"/>
    <w:rsid w:val="6D5579DD"/>
    <w:rsid w:val="6F703B6D"/>
    <w:rsid w:val="6F9263D1"/>
    <w:rsid w:val="6FA54EA7"/>
    <w:rsid w:val="6FFF3DBF"/>
    <w:rsid w:val="70B954D3"/>
    <w:rsid w:val="71031C18"/>
    <w:rsid w:val="71B40B4A"/>
    <w:rsid w:val="71ED0885"/>
    <w:rsid w:val="729736A9"/>
    <w:rsid w:val="72B12376"/>
    <w:rsid w:val="734260F6"/>
    <w:rsid w:val="73765356"/>
    <w:rsid w:val="74BC4973"/>
    <w:rsid w:val="74FC0841"/>
    <w:rsid w:val="75795548"/>
    <w:rsid w:val="75A55559"/>
    <w:rsid w:val="75D34962"/>
    <w:rsid w:val="76310482"/>
    <w:rsid w:val="76356195"/>
    <w:rsid w:val="76F123A0"/>
    <w:rsid w:val="772157C2"/>
    <w:rsid w:val="7881557F"/>
    <w:rsid w:val="79885BF6"/>
    <w:rsid w:val="7A923AD7"/>
    <w:rsid w:val="7A965738"/>
    <w:rsid w:val="7AC202DC"/>
    <w:rsid w:val="7B3C086B"/>
    <w:rsid w:val="7BB8348D"/>
    <w:rsid w:val="7BFE340A"/>
    <w:rsid w:val="7C0061C0"/>
    <w:rsid w:val="7C25384F"/>
    <w:rsid w:val="7C545764"/>
    <w:rsid w:val="7CB10760"/>
    <w:rsid w:val="7D841889"/>
    <w:rsid w:val="7E0C31B6"/>
    <w:rsid w:val="7EEE7BCB"/>
    <w:rsid w:val="7EFC1100"/>
    <w:rsid w:val="7FF740AE"/>
    <w:rsid w:val="9E756B23"/>
    <w:rsid w:val="BA7B23C6"/>
    <w:rsid w:val="BBBF1BD8"/>
    <w:rsid w:val="DAFC5029"/>
    <w:rsid w:val="F531C8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580" w:lineRule="exact"/>
    </w:pPr>
    <w:rPr>
      <w:rFonts w:ascii="仿宋_GB2312" w:hAnsi="宋体" w:eastAsia="仿宋_GB2312"/>
      <w:sz w:val="32"/>
    </w:rPr>
  </w:style>
  <w:style w:type="paragraph" w:styleId="3">
    <w:name w:val="Body Text Indent 2"/>
    <w:basedOn w:val="1"/>
    <w:link w:val="14"/>
    <w:qFormat/>
    <w:uiPriority w:val="0"/>
    <w:pPr>
      <w:spacing w:line="520" w:lineRule="exact"/>
      <w:ind w:firstLine="416" w:firstLineChars="147"/>
    </w:pPr>
    <w:rPr>
      <w:rFonts w:ascii="汉仪书宋二简" w:hAnsi="汉仪书宋二简" w:eastAsia="汉仪书宋二简" w:cs="Times New Roman"/>
      <w:spacing w:val="20"/>
      <w:w w:val="110"/>
      <w:kern w:val="10"/>
      <w:sz w:val="23"/>
      <w:szCs w:val="23"/>
    </w:rPr>
  </w:style>
  <w:style w:type="paragraph" w:styleId="4">
    <w:name w:val="Balloon Text"/>
    <w:basedOn w:val="1"/>
    <w:link w:val="16"/>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0"/>
  </w:style>
  <w:style w:type="character" w:styleId="11">
    <w:name w:val="Hyperlink"/>
    <w:basedOn w:val="9"/>
    <w:semiHidden/>
    <w:unhideWhenUsed/>
    <w:qFormat/>
    <w:uiPriority w:val="99"/>
    <w:rPr>
      <w:color w:val="0000FF"/>
      <w:u w:val="single"/>
    </w:rPr>
  </w:style>
  <w:style w:type="character" w:customStyle="1" w:styleId="12">
    <w:name w:val="页脚 字符"/>
    <w:basedOn w:val="9"/>
    <w:link w:val="5"/>
    <w:qFormat/>
    <w:uiPriority w:val="0"/>
    <w:rPr>
      <w:rFonts w:ascii="Times New Roman" w:hAnsi="Times New Roman" w:eastAsia="宋体" w:cs="Times New Roman"/>
      <w:sz w:val="18"/>
      <w:szCs w:val="18"/>
    </w:rPr>
  </w:style>
  <w:style w:type="character" w:customStyle="1" w:styleId="13">
    <w:name w:val="页眉 字符"/>
    <w:basedOn w:val="9"/>
    <w:link w:val="6"/>
    <w:qFormat/>
    <w:uiPriority w:val="99"/>
    <w:rPr>
      <w:sz w:val="18"/>
      <w:szCs w:val="18"/>
    </w:rPr>
  </w:style>
  <w:style w:type="character" w:customStyle="1" w:styleId="14">
    <w:name w:val="正文文本缩进 2 字符"/>
    <w:basedOn w:val="9"/>
    <w:link w:val="3"/>
    <w:qFormat/>
    <w:uiPriority w:val="0"/>
    <w:rPr>
      <w:rFonts w:ascii="汉仪书宋二简" w:hAnsi="汉仪书宋二简" w:eastAsia="汉仪书宋二简" w:cs="Times New Roman"/>
      <w:spacing w:val="20"/>
      <w:w w:val="110"/>
      <w:kern w:val="10"/>
      <w:sz w:val="23"/>
      <w:szCs w:val="23"/>
    </w:rPr>
  </w:style>
  <w:style w:type="paragraph" w:styleId="15">
    <w:name w:val="List Paragraph"/>
    <w:basedOn w:val="1"/>
    <w:qFormat/>
    <w:uiPriority w:val="34"/>
    <w:pPr>
      <w:ind w:firstLine="420" w:firstLineChars="200"/>
    </w:pPr>
  </w:style>
  <w:style w:type="character" w:customStyle="1" w:styleId="16">
    <w:name w:val="批注框文本 字符"/>
    <w:basedOn w:val="9"/>
    <w:link w:val="4"/>
    <w:semiHidden/>
    <w:qFormat/>
    <w:uiPriority w:val="99"/>
    <w:rPr>
      <w:sz w:val="18"/>
      <w:szCs w:val="18"/>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5493</Words>
  <Characters>5940</Characters>
  <Lines>43</Lines>
  <Paragraphs>12</Paragraphs>
  <TotalTime>26</TotalTime>
  <ScaleCrop>false</ScaleCrop>
  <LinksUpToDate>false</LinksUpToDate>
  <CharactersWithSpaces>5956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2022-03-05T03:03:00Z</dcterms:created>
  <dc:creator>金格科技</dc:creator>
  <cp:lastModifiedBy>PP</cp:lastModifiedBy>
  <cp:lastPrinted>2022-07-05T14:11:00Z</cp:lastPrinted>
  <dcterms:modified xsi:type="dcterms:W3CDTF">2022-08-29T07:39:34Z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46F74461464845F2B50BDCD50AD77983</vt:lpwstr>
  </property>
</Properties>
</file>