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ascii="汉仪书宋二简" w:eastAsia="汉仪书宋二简"/>
          <w:spacing w:val="20"/>
          <w:w w:val="110"/>
          <w:kern w:val="10"/>
        </w:rPr>
      </w:pPr>
      <w:r>
        <w:rPr>
          <w:rFonts w:hint="eastAsia" w:cs="Times New Roman" w:asciiTheme="minorEastAsia" w:hAnsiTheme="minorEastAsia"/>
          <w:spacing w:val="20"/>
          <w:w w:val="110"/>
          <w:kern w:val="10"/>
          <w:sz w:val="23"/>
          <w:szCs w:val="24"/>
          <w:highlight w:val="none"/>
        </w:rPr>
        <w:t>深土交告</w:t>
      </w:r>
      <w:r>
        <w:rPr>
          <w:rFonts w:hint="eastAsia" w:cs="Times New Roman" w:asciiTheme="minorEastAsia" w:hAnsiTheme="minorEastAsia"/>
          <w:color w:val="000000"/>
          <w:spacing w:val="20"/>
          <w:w w:val="110"/>
          <w:kern w:val="10"/>
          <w:sz w:val="23"/>
          <w:szCs w:val="24"/>
          <w:highlight w:val="none"/>
        </w:rPr>
        <w:t>〔202</w:t>
      </w:r>
      <w:r>
        <w:rPr>
          <w:rFonts w:hint="eastAsia" w:cs="Times New Roman" w:asciiTheme="minorEastAsia" w:hAnsiTheme="minorEastAsia"/>
          <w:color w:val="000000"/>
          <w:spacing w:val="20"/>
          <w:w w:val="110"/>
          <w:kern w:val="10"/>
          <w:sz w:val="23"/>
          <w:szCs w:val="24"/>
          <w:highlight w:val="none"/>
          <w:lang w:val="en-US" w:eastAsia="zh-CN"/>
        </w:rPr>
        <w:t>2</w:t>
      </w:r>
      <w:bookmarkStart w:id="0" w:name="_GoBack"/>
      <w:bookmarkEnd w:id="0"/>
      <w:r>
        <w:rPr>
          <w:rFonts w:hint="eastAsia" w:cs="Times New Roman" w:asciiTheme="minorEastAsia" w:hAnsiTheme="minorEastAsia"/>
          <w:color w:val="000000"/>
          <w:spacing w:val="20"/>
          <w:w w:val="110"/>
          <w:kern w:val="10"/>
          <w:sz w:val="23"/>
          <w:szCs w:val="24"/>
          <w:highlight w:val="none"/>
        </w:rPr>
        <w:t>〕</w:t>
      </w:r>
      <w:r>
        <w:rPr>
          <w:rFonts w:hint="default" w:ascii="宋体" w:hAnsi="宋体" w:cs="Times New Roman"/>
          <w:color w:val="000000"/>
          <w:spacing w:val="20"/>
          <w:kern w:val="10"/>
          <w:sz w:val="23"/>
          <w:szCs w:val="23"/>
          <w:highlight w:val="none"/>
          <w:lang w:val="en-IE" w:eastAsia="zh-CN"/>
        </w:rPr>
        <w:t>16</w:t>
      </w:r>
      <w:r>
        <w:rPr>
          <w:rFonts w:hint="eastAsia" w:cs="Times New Roman" w:asciiTheme="minorEastAsia" w:hAnsiTheme="minorEastAsia"/>
          <w:spacing w:val="20"/>
          <w:w w:val="110"/>
          <w:kern w:val="10"/>
          <w:sz w:val="23"/>
          <w:szCs w:val="24"/>
          <w:highlight w:val="none"/>
        </w:rPr>
        <w:t>号</w:t>
      </w:r>
    </w:p>
    <w:p>
      <w:pPr>
        <w:tabs>
          <w:tab w:val="left" w:pos="8460"/>
        </w:tabs>
        <w:spacing w:line="400" w:lineRule="exact"/>
        <w:jc w:val="center"/>
        <w:rPr>
          <w:rFonts w:ascii="汉仪书宋二简" w:eastAsia="汉仪书宋二简"/>
          <w:spacing w:val="20"/>
          <w:w w:val="110"/>
          <w:kern w:val="10"/>
        </w:rPr>
      </w:pP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根据有关法律、法规，深圳市规划和自然资源局龙华管理局（以下简称市规划和自然资源局龙华管理局）委托深圳交易集团有限公司（深圳公共资源交易中心），在深圳市福田区红荔西路8007号土地房产交易大厦（以下简称交易大厦）3楼，以挂牌方式公开出让宗地代码为440309402004GB00929宗地的使用权，公告期自2022年</w:t>
      </w:r>
      <w:r>
        <w:rPr>
          <w:rFonts w:hint="default" w:ascii="宋体" w:hAnsi="宋体" w:eastAsia="宋体" w:cs="Times New Roman"/>
          <w:color w:val="000000"/>
          <w:spacing w:val="20"/>
          <w:kern w:val="10"/>
          <w:sz w:val="23"/>
          <w:szCs w:val="23"/>
          <w:highlight w:val="none"/>
          <w:lang w:val="en-IE"/>
        </w:rPr>
        <w:t>4</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19</w:t>
      </w:r>
      <w:r>
        <w:rPr>
          <w:rFonts w:hint="eastAsia" w:ascii="宋体" w:hAnsi="宋体" w:eastAsia="宋体" w:cs="Times New Roman"/>
          <w:color w:val="000000"/>
          <w:spacing w:val="20"/>
          <w:kern w:val="10"/>
          <w:sz w:val="23"/>
          <w:szCs w:val="23"/>
          <w:highlight w:val="none"/>
        </w:rPr>
        <w:t>日至2022年</w:t>
      </w:r>
      <w:r>
        <w:rPr>
          <w:rFonts w:hint="default" w:ascii="宋体" w:hAnsi="宋体" w:eastAsia="宋体" w:cs="Times New Roman"/>
          <w:color w:val="000000"/>
          <w:spacing w:val="20"/>
          <w:kern w:val="10"/>
          <w:sz w:val="23"/>
          <w:szCs w:val="23"/>
          <w:highlight w:val="none"/>
          <w:lang w:val="en-IE"/>
        </w:rPr>
        <w:t>5</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8</w:t>
      </w:r>
      <w:r>
        <w:rPr>
          <w:rFonts w:hint="eastAsia" w:ascii="宋体" w:hAnsi="宋体" w:eastAsia="宋体" w:cs="Times New Roman"/>
          <w:color w:val="000000"/>
          <w:spacing w:val="20"/>
          <w:kern w:val="10"/>
          <w:sz w:val="23"/>
          <w:szCs w:val="23"/>
          <w:highlight w:val="none"/>
        </w:rPr>
        <w:t>日，挂牌期自2022年</w:t>
      </w:r>
      <w:r>
        <w:rPr>
          <w:rFonts w:hint="default" w:ascii="宋体" w:hAnsi="宋体" w:eastAsia="宋体" w:cs="Times New Roman"/>
          <w:color w:val="000000"/>
          <w:spacing w:val="20"/>
          <w:kern w:val="10"/>
          <w:sz w:val="23"/>
          <w:szCs w:val="23"/>
          <w:highlight w:val="none"/>
          <w:lang w:val="en-IE"/>
        </w:rPr>
        <w:t>5</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9</w:t>
      </w:r>
      <w:r>
        <w:rPr>
          <w:rFonts w:hint="eastAsia" w:ascii="宋体" w:hAnsi="宋体" w:eastAsia="宋体" w:cs="Times New Roman"/>
          <w:color w:val="000000"/>
          <w:spacing w:val="20"/>
          <w:kern w:val="10"/>
          <w:sz w:val="23"/>
          <w:szCs w:val="23"/>
          <w:highlight w:val="none"/>
        </w:rPr>
        <w:t>日至2022年</w:t>
      </w:r>
      <w:r>
        <w:rPr>
          <w:rFonts w:hint="default" w:ascii="宋体" w:hAnsi="宋体" w:eastAsia="宋体" w:cs="Times New Roman"/>
          <w:color w:val="000000"/>
          <w:spacing w:val="20"/>
          <w:kern w:val="10"/>
          <w:sz w:val="23"/>
          <w:szCs w:val="23"/>
          <w:highlight w:val="none"/>
          <w:lang w:val="en-IE"/>
        </w:rPr>
        <w:t>5</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18</w:t>
      </w:r>
      <w:r>
        <w:rPr>
          <w:rFonts w:hint="eastAsia" w:ascii="宋体" w:hAnsi="宋体" w:eastAsia="宋体" w:cs="Times New Roman"/>
          <w:color w:val="000000"/>
          <w:spacing w:val="20"/>
          <w:kern w:val="10"/>
          <w:sz w:val="23"/>
          <w:szCs w:val="23"/>
          <w:highlight w:val="none"/>
        </w:rPr>
        <w:t>日</w:t>
      </w:r>
      <w:r>
        <w:rPr>
          <w:rFonts w:hint="default" w:ascii="宋体" w:hAnsi="宋体" w:eastAsia="宋体" w:cs="Times New Roman"/>
          <w:color w:val="000000"/>
          <w:spacing w:val="20"/>
          <w:kern w:val="10"/>
          <w:sz w:val="23"/>
          <w:szCs w:val="23"/>
          <w:highlight w:val="none"/>
          <w:lang w:val="en-IE"/>
        </w:rPr>
        <w:t>15</w:t>
      </w:r>
      <w:r>
        <w:rPr>
          <w:rFonts w:hint="eastAsia" w:ascii="宋体" w:hAnsi="宋体" w:eastAsia="宋体" w:cs="Times New Roman"/>
          <w:color w:val="000000"/>
          <w:spacing w:val="20"/>
          <w:kern w:val="10"/>
          <w:sz w:val="23"/>
          <w:szCs w:val="23"/>
          <w:highlight w:val="none"/>
        </w:rPr>
        <w:t>时止。现予公告。</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一、宗地情况</w:t>
      </w:r>
    </w:p>
    <w:tbl>
      <w:tblPr>
        <w:tblStyle w:val="11"/>
        <w:tblpPr w:leftFromText="180" w:rightFromText="180" w:vertAnchor="text" w:horzAnchor="page" w:tblpX="291" w:tblpY="459"/>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923"/>
        <w:gridCol w:w="787"/>
        <w:gridCol w:w="701"/>
        <w:gridCol w:w="2974"/>
        <w:gridCol w:w="1195"/>
        <w:gridCol w:w="866"/>
        <w:gridCol w:w="923"/>
        <w:gridCol w:w="80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152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代码</w:t>
            </w:r>
          </w:p>
        </w:tc>
        <w:tc>
          <w:tcPr>
            <w:tcW w:w="92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78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70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297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准入行业类别</w:t>
            </w:r>
          </w:p>
        </w:tc>
        <w:tc>
          <w:tcPr>
            <w:tcW w:w="119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土地面积（平方米）</w:t>
            </w:r>
          </w:p>
        </w:tc>
        <w:tc>
          <w:tcPr>
            <w:tcW w:w="86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建筑面积</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92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挂牌起始价（人民币、万元）</w:t>
            </w: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6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0" w:hRule="atLeast"/>
        </w:trPr>
        <w:tc>
          <w:tcPr>
            <w:tcW w:w="152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440309402004GB00929</w:t>
            </w:r>
          </w:p>
        </w:tc>
        <w:tc>
          <w:tcPr>
            <w:tcW w:w="92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A924-0186</w:t>
            </w:r>
          </w:p>
        </w:tc>
        <w:tc>
          <w:tcPr>
            <w:tcW w:w="78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龙华区观澜街道</w:t>
            </w:r>
          </w:p>
        </w:tc>
        <w:tc>
          <w:tcPr>
            <w:tcW w:w="70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普通工业用地+城市道路用地</w:t>
            </w:r>
          </w:p>
        </w:tc>
        <w:tc>
          <w:tcPr>
            <w:tcW w:w="297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A01生物产业中的A0111“临床诊断的新型数字成像技术，多模态医学影像融合成像与处理技术，专用新型彩色超声诊断技术与高性能超声诊断设备，人体内窥镜的微型摄像技术与高清柔性电子内窥镜设备”和A0117“各类有创及无创呼吸机，持续血液净化系统，血液透析机，腹膜透析机，人工肝治疗仪，血液灌流、血浆吸附及血浆置换设备和耗材，人工心肺机，左心辅助装置，自动除颤器等生命支持设备、专科治疗设备”以及A19先进制造业中的A1912“电子测量和电工仪表、专业仪表、医疗器械”和A1929“基因组学检测技术到产品的转化平台、诊断检测仪器和试剂制造平台”。</w:t>
            </w:r>
          </w:p>
        </w:tc>
        <w:tc>
          <w:tcPr>
            <w:tcW w:w="119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128366.35</w:t>
            </w:r>
          </w:p>
        </w:tc>
        <w:tc>
          <w:tcPr>
            <w:tcW w:w="86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368460</w:t>
            </w:r>
          </w:p>
        </w:tc>
        <w:tc>
          <w:tcPr>
            <w:tcW w:w="92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10590</w:t>
            </w:r>
          </w:p>
        </w:tc>
        <w:tc>
          <w:tcPr>
            <w:tcW w:w="80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2200</w:t>
            </w:r>
          </w:p>
        </w:tc>
        <w:tc>
          <w:tcPr>
            <w:tcW w:w="69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30</w:t>
            </w:r>
          </w:p>
        </w:tc>
      </w:tr>
    </w:tbl>
    <w:p>
      <w:pPr>
        <w:spacing w:line="400" w:lineRule="exact"/>
        <w:ind w:firstLine="540" w:firstLineChars="200"/>
        <w:rPr>
          <w:rFonts w:hint="eastAsia" w:ascii="宋体" w:hAnsi="宋体"/>
          <w:color w:val="000000"/>
          <w:spacing w:val="20"/>
          <w:kern w:val="10"/>
          <w:sz w:val="23"/>
          <w:szCs w:val="23"/>
        </w:rPr>
      </w:pP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上述宗地的具体情况以《深圳市土地使用权出让合同书》（样本，以下简称《出让合同》）为准。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（一）竞得人须在成交后即时签订《成交确认书》。</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lang w:val="zh-CN"/>
        </w:rPr>
        <w:t>（二）自签订《成交确认书》之日起10个工作日内，竞得人应向深圳市工业和信息化局（以下简称</w:t>
      </w:r>
      <w:r>
        <w:rPr>
          <w:rFonts w:hint="eastAsia" w:ascii="宋体" w:hAnsi="宋体"/>
          <w:color w:val="000000"/>
          <w:spacing w:val="20"/>
          <w:kern w:val="10"/>
          <w:sz w:val="23"/>
          <w:szCs w:val="23"/>
          <w:lang w:val="en-US" w:eastAsia="zh-CN"/>
        </w:rPr>
        <w:t>市</w:t>
      </w:r>
      <w:r>
        <w:rPr>
          <w:rFonts w:hint="eastAsia" w:ascii="宋体" w:hAnsi="宋体"/>
          <w:color w:val="000000"/>
          <w:spacing w:val="20"/>
          <w:kern w:val="10"/>
          <w:sz w:val="23"/>
          <w:szCs w:val="23"/>
          <w:lang w:val="zh-CN"/>
        </w:rPr>
        <w:t>工业和信息化局）申请签订产业发展监管协议。</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（三）自签订《成交确认书》之日起15个工作日内，竞得人应持《成交确认书》和产业发展监管协议向市规划和自然资源局龙华管理局申请签订《出让合同》，并自签订《出让合同》之日起1</w:t>
      </w:r>
      <w:r>
        <w:rPr>
          <w:rFonts w:ascii="宋体" w:hAnsi="宋体"/>
          <w:color w:val="000000"/>
          <w:spacing w:val="20"/>
          <w:kern w:val="10"/>
          <w:sz w:val="23"/>
          <w:szCs w:val="23"/>
        </w:rPr>
        <w:t>5</w:t>
      </w:r>
      <w:r>
        <w:rPr>
          <w:rFonts w:hint="eastAsia" w:ascii="宋体" w:hAnsi="宋体"/>
          <w:color w:val="000000"/>
          <w:spacing w:val="20"/>
          <w:kern w:val="10"/>
          <w:sz w:val="23"/>
          <w:szCs w:val="23"/>
        </w:rPr>
        <w:t>个工作日内一次性付清成交价款。</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（四）竞得人缴纳地价款时，应凭自然资源主管部门开具的《缴款通知书》到深圳市各区税务局办税服务厅或者登录深圳市电子税务局进行缴费，具体流程详见《国有土地使用权出让收入缴费指南》。</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（五）竞得人应遵守法律、法规和《出让合同》规定，严格按照土地用途和有关部门审定的规划设计方案使用和开发建设。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六）本次出让宗地不得改变土地用途，建设用地使用权及项目所有建筑面积（除公配设施外）全部限自用，土地出让期内不得转让、以股权转让（导致企业控股权或实际控制权发生变更的转让）或变更的方式变相转让建设用地使用权以及附着于该土地上的建（构）筑物及附属设施。</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建设用地使用权及建筑物允许抵押，但抵押金额不得超出合同剩余年期地价与建筑物的残值之和。</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（七）本次出让宗地涉及大布巷水河道迁改工程，在河道迁改完成前，竞得人应确保原河道通畅，保障河道行洪安全。</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八</w:t>
      </w:r>
      <w:r>
        <w:rPr>
          <w:rFonts w:hint="eastAsia" w:ascii="宋体" w:hAnsi="宋体"/>
          <w:color w:val="000000"/>
          <w:spacing w:val="20"/>
          <w:kern w:val="10"/>
          <w:sz w:val="23"/>
          <w:szCs w:val="23"/>
          <w:lang w:eastAsia="zh-CN"/>
        </w:rPr>
        <w:t>）本宗地进入深莞中轴城际规划控制区252.69平方米，该252.69平方米范围内禁止任何建筑物（含地上地下，包括围护结构锚索等施工措施构件）侵入。本宗地进入18号线、深广中轴城际规划控制预警区18375.82平方米，本宗地围护结构锚索等施工措施构件禁止侵入18号线、深莞中轴城际规划控制区。请市住建部门在办理《土石方、基坑支护工程施工许可证》《桩基础施工许可证》《建设工程施工许可证》时给予支持落实。本宗地涉及的轨道安全保护区、规划控制区及规划控制预警区范围及面积以最终批准的规划为准，地块建设时需与轨道建设做好协调，不影响各自建设使用。</w:t>
      </w:r>
    </w:p>
    <w:p>
      <w:pPr>
        <w:spacing w:line="400" w:lineRule="exact"/>
        <w:ind w:firstLine="540" w:firstLineChars="200"/>
        <w:rPr>
          <w:rFonts w:hint="eastAsia" w:ascii="宋体" w:hAnsi="宋体" w:eastAsia="宋体"/>
          <w:color w:val="000000"/>
          <w:spacing w:val="20"/>
          <w:kern w:val="10"/>
          <w:sz w:val="23"/>
          <w:szCs w:val="23"/>
          <w:lang w:val="en-IE" w:eastAsia="zh-CN"/>
        </w:rPr>
      </w:pPr>
      <w:r>
        <w:rPr>
          <w:rFonts w:hint="eastAsia" w:ascii="宋体" w:hAnsi="宋体"/>
          <w:color w:val="000000"/>
          <w:spacing w:val="20"/>
          <w:kern w:val="10"/>
          <w:sz w:val="23"/>
          <w:szCs w:val="23"/>
          <w:lang w:eastAsia="zh-CN"/>
        </w:rPr>
        <w:t>（九）本次出让宗地内部的规划道路范围纳入本宗地出让范围，规划道路下的地下空间可予以连通（包括但不限于满铺、通道等方式），地上建筑可通过空中连廊予以连接，规划道路范围内除按规范建设的连通范围和空中连廊之外，其余规划道路地上地下部分的土地使用权归政府所有，道路由本宗地竞得人建成后无偿移交</w:t>
      </w:r>
      <w:r>
        <w:rPr>
          <w:rFonts w:hint="eastAsia" w:ascii="宋体" w:hAnsi="宋体"/>
          <w:color w:val="000000"/>
          <w:spacing w:val="20"/>
          <w:kern w:val="10"/>
          <w:sz w:val="23"/>
          <w:szCs w:val="23"/>
          <w:lang w:val="en-IE" w:eastAsia="zh-CN"/>
        </w:rPr>
        <w:t>。</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十）本地块位于现状及规划油气管道安全影响范围内，项目建设时须满足国家、省、市相关法律法规及标准规范等要求，严格按照《国家安全监管总局等八部门关于加强油气输送管道途经人员密集场所高后果区安全管理工作的通知》（安监总管三〔2017〕138号）、《市安委办关于印发涉及油气管线等危险化学品场所建设项目安全评价工作指引的通知》（深安办〔2019〕2号）、《市安监局关于规范涉及油气管线等危险化学品场所建设项目征求意见办理工作的通知（深安监管〔2019〕11号）》的有关规定执行，并落实相关安全评价报告内容要求。</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（十一）本地块位于地质灾害中易发区，用地单位须按危险性评估报告的结论采取相应的地质灾害防治措施，避免产生地质灾害隐患。</w:t>
      </w:r>
    </w:p>
    <w:p>
      <w:pPr>
        <w:spacing w:line="400" w:lineRule="exact"/>
        <w:ind w:firstLine="540" w:firstLineChars="200"/>
        <w:rPr>
          <w:rFonts w:hint="default" w:ascii="宋体" w:hAnsi="宋体" w:eastAsia="宋体" w:cs="Times New Roman"/>
          <w:color w:val="000000"/>
          <w:spacing w:val="20"/>
          <w:kern w:val="10"/>
          <w:sz w:val="23"/>
          <w:szCs w:val="23"/>
          <w:lang w:val="en-US" w:eastAsia="zh-CN"/>
        </w:rPr>
      </w:pPr>
      <w:r>
        <w:rPr>
          <w:rFonts w:hint="eastAsia" w:ascii="宋体" w:hAnsi="宋体"/>
          <w:color w:val="000000"/>
          <w:spacing w:val="20"/>
          <w:kern w:val="10"/>
          <w:sz w:val="23"/>
          <w:szCs w:val="23"/>
          <w:lang w:val="en-US" w:eastAsia="zh-CN"/>
        </w:rPr>
        <w:t>（十二）</w:t>
      </w:r>
      <w:r>
        <w:rPr>
          <w:rFonts w:hint="eastAsia" w:ascii="宋体" w:hAnsi="宋体" w:eastAsia="宋体" w:cs="Times New Roman"/>
          <w:color w:val="000000"/>
          <w:spacing w:val="20"/>
          <w:kern w:val="10"/>
          <w:sz w:val="23"/>
          <w:szCs w:val="23"/>
          <w:lang w:val="zh-CN" w:eastAsia="zh-CN"/>
        </w:rPr>
        <w:t>依据有关生态环境政策要求，企业需配套建设生产废水处理设施，废水处理达到《地表水环境质量标准》（GB3838-2002）中Ⅲ类标准（总氮除外）并按照环评批复要求回用，设施选址需符合相关规划的要求。</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（十</w:t>
      </w:r>
      <w:r>
        <w:rPr>
          <w:rFonts w:hint="eastAsia" w:ascii="宋体" w:hAnsi="宋体"/>
          <w:color w:val="000000"/>
          <w:spacing w:val="20"/>
          <w:kern w:val="10"/>
          <w:sz w:val="23"/>
          <w:szCs w:val="23"/>
          <w:lang w:val="en-US" w:eastAsia="zh-CN"/>
        </w:rPr>
        <w:t>三</w:t>
      </w:r>
      <w:r>
        <w:rPr>
          <w:rFonts w:hint="eastAsia" w:ascii="宋体" w:hAnsi="宋体"/>
          <w:color w:val="000000"/>
          <w:spacing w:val="20"/>
          <w:kern w:val="10"/>
          <w:sz w:val="23"/>
          <w:szCs w:val="23"/>
          <w:lang w:eastAsia="zh-CN"/>
        </w:rPr>
        <w:t>）本次出让宗地须自《出让合同》签订之日起1.5年内开工，4年内竣工。</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（十</w:t>
      </w:r>
      <w:r>
        <w:rPr>
          <w:rFonts w:hint="eastAsia" w:ascii="宋体" w:hAnsi="宋体"/>
          <w:color w:val="000000"/>
          <w:spacing w:val="20"/>
          <w:kern w:val="10"/>
          <w:sz w:val="23"/>
          <w:szCs w:val="23"/>
          <w:lang w:val="en-US" w:eastAsia="zh-CN"/>
        </w:rPr>
        <w:t>四</w:t>
      </w:r>
      <w:r>
        <w:rPr>
          <w:rFonts w:hint="eastAsia" w:ascii="宋体" w:hAnsi="宋体"/>
          <w:color w:val="000000"/>
          <w:spacing w:val="20"/>
          <w:kern w:val="10"/>
          <w:sz w:val="23"/>
          <w:szCs w:val="23"/>
          <w:lang w:eastAsia="zh-CN"/>
        </w:rPr>
        <w:t>）本次出让宗地项目建成后，物业服务用房产权归全体业主所有，按照《深圳经济特区物业管理条例》的有关规定执行。110KV变电站建成后按成本价移交深圳供电局有限公司，产权归深圳供电局有限公司所有。公共充电站、小型垃圾转运站（含再生资源回收站、环卫工人作息房、公共厕所）产权归政府，由竞得人建成后无偿移交。</w:t>
      </w:r>
    </w:p>
    <w:p>
      <w:pPr>
        <w:spacing w:line="400" w:lineRule="exact"/>
        <w:ind w:firstLine="540" w:firstLineChars="200"/>
        <w:rPr>
          <w:rFonts w:hint="eastAsia" w:ascii="宋体" w:hAnsi="宋体"/>
          <w:color w:val="000000"/>
          <w:spacing w:val="20"/>
          <w:kern w:val="10"/>
          <w:sz w:val="23"/>
          <w:szCs w:val="23"/>
          <w:highlight w:val="none"/>
          <w:lang w:eastAsia="zh-CN"/>
        </w:rPr>
      </w:pPr>
      <w:r>
        <w:rPr>
          <w:rFonts w:hint="eastAsia" w:ascii="宋体" w:hAnsi="宋体"/>
          <w:color w:val="000000"/>
          <w:spacing w:val="20"/>
          <w:kern w:val="10"/>
          <w:sz w:val="23"/>
          <w:szCs w:val="23"/>
          <w:highlight w:val="none"/>
          <w:lang w:eastAsia="zh-CN"/>
        </w:rPr>
        <w:t>（十</w:t>
      </w:r>
      <w:r>
        <w:rPr>
          <w:rFonts w:hint="eastAsia" w:ascii="宋体" w:hAnsi="宋体"/>
          <w:color w:val="000000"/>
          <w:spacing w:val="20"/>
          <w:kern w:val="10"/>
          <w:sz w:val="23"/>
          <w:szCs w:val="23"/>
          <w:highlight w:val="none"/>
          <w:lang w:val="en-US" w:eastAsia="zh-CN"/>
        </w:rPr>
        <w:t>五</w:t>
      </w:r>
      <w:r>
        <w:rPr>
          <w:rFonts w:hint="eastAsia" w:ascii="宋体" w:hAnsi="宋体"/>
          <w:color w:val="000000"/>
          <w:spacing w:val="20"/>
          <w:kern w:val="10"/>
          <w:sz w:val="23"/>
          <w:szCs w:val="23"/>
          <w:highlight w:val="none"/>
          <w:lang w:eastAsia="zh-CN"/>
        </w:rPr>
        <w:t>）本次出让宗地具体产权要求及其他事项规定，以《出让合同》为准。</w:t>
      </w:r>
    </w:p>
    <w:p>
      <w:pPr>
        <w:spacing w:line="400" w:lineRule="exact"/>
        <w:ind w:firstLine="542" w:firstLineChars="200"/>
        <w:rPr>
          <w:rFonts w:hint="eastAsia" w:ascii="宋体" w:hAnsi="宋体"/>
          <w:b/>
          <w:color w:val="000000"/>
          <w:spacing w:val="20"/>
          <w:kern w:val="10"/>
          <w:sz w:val="23"/>
          <w:szCs w:val="23"/>
          <w:lang w:eastAsia="zh-CN"/>
        </w:rPr>
      </w:pPr>
      <w:r>
        <w:rPr>
          <w:rFonts w:hint="eastAsia" w:ascii="宋体" w:hAnsi="宋体"/>
          <w:b/>
          <w:color w:val="000000"/>
          <w:spacing w:val="20"/>
          <w:kern w:val="10"/>
          <w:sz w:val="23"/>
          <w:szCs w:val="23"/>
          <w:lang w:eastAsia="zh-CN"/>
        </w:rPr>
        <w:t>三、竞买人主体资格要求</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具备下列条件的,可独立申请竞买本次出让宗地（不接受联合竞买）：</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（一）竞买申请人为在深圳市注册的企业法人；</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（二）竞买申请人应当为符合《深圳市工业及其他产业用地供应管理办法》（深府规〔2019〕4号）遴选要求的企业法人。</w:t>
      </w:r>
    </w:p>
    <w:p>
      <w:pPr>
        <w:spacing w:line="400" w:lineRule="exact"/>
        <w:ind w:firstLine="542" w:firstLineChars="200"/>
        <w:rPr>
          <w:rFonts w:hint="eastAsia" w:ascii="宋体" w:hAnsi="宋体"/>
          <w:b/>
          <w:color w:val="000000"/>
          <w:spacing w:val="20"/>
          <w:kern w:val="10"/>
          <w:sz w:val="23"/>
          <w:szCs w:val="23"/>
          <w:lang w:eastAsia="zh-CN"/>
        </w:rPr>
      </w:pPr>
      <w:r>
        <w:rPr>
          <w:rFonts w:hint="eastAsia" w:ascii="宋体" w:hAnsi="宋体"/>
          <w:b/>
          <w:color w:val="000000"/>
          <w:spacing w:val="20"/>
          <w:kern w:val="10"/>
          <w:sz w:val="23"/>
          <w:szCs w:val="23"/>
          <w:lang w:eastAsia="zh-CN"/>
        </w:rPr>
        <w:t>四、竞买申请程序</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（一）申请主体资格审查</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竞买申请人应当在公告期内（工作日），向</w:t>
      </w:r>
      <w:r>
        <w:rPr>
          <w:rFonts w:hint="eastAsia" w:ascii="宋体" w:hAnsi="宋体"/>
          <w:color w:val="000000"/>
          <w:spacing w:val="20"/>
          <w:kern w:val="10"/>
          <w:sz w:val="23"/>
          <w:szCs w:val="23"/>
          <w:lang w:val="en-US" w:eastAsia="zh-CN"/>
        </w:rPr>
        <w:t>市</w:t>
      </w:r>
      <w:r>
        <w:rPr>
          <w:rFonts w:hint="eastAsia" w:ascii="宋体" w:hAnsi="宋体"/>
          <w:color w:val="000000"/>
          <w:spacing w:val="20"/>
          <w:kern w:val="10"/>
          <w:sz w:val="23"/>
          <w:szCs w:val="23"/>
          <w:lang w:eastAsia="zh-CN"/>
        </w:rPr>
        <w:t>工业和信息化局提交能够满足前述资格要求的有关证明材料，申请主体资格审查。</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（二）网上注册</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竞买申请人应登录</w:t>
      </w:r>
      <w:r>
        <w:rPr>
          <w:rFonts w:hint="eastAsia" w:ascii="宋体" w:hAnsi="宋体"/>
          <w:color w:val="000000"/>
          <w:spacing w:val="20"/>
          <w:kern w:val="10"/>
          <w:sz w:val="23"/>
          <w:szCs w:val="23"/>
          <w:lang w:val="en-US" w:eastAsia="zh-CN"/>
        </w:rPr>
        <w:t>深圳</w:t>
      </w:r>
      <w:r>
        <w:rPr>
          <w:rFonts w:hint="eastAsia" w:ascii="宋体" w:hAnsi="宋体"/>
          <w:color w:val="000000"/>
          <w:spacing w:val="20"/>
          <w:kern w:val="10"/>
          <w:sz w:val="23"/>
          <w:szCs w:val="23"/>
          <w:lang w:eastAsia="zh-CN"/>
        </w:rPr>
        <w:t>土地矿业权交易平台（https://td.szggzy.com）进行网上注册。网上注册的程序和要求</w:t>
      </w:r>
      <w:r>
        <w:rPr>
          <w:rFonts w:hint="eastAsia" w:ascii="宋体" w:hAnsi="宋体"/>
          <w:color w:val="000000"/>
          <w:spacing w:val="20"/>
          <w:kern w:val="10"/>
          <w:sz w:val="23"/>
          <w:szCs w:val="23"/>
          <w:lang w:val="en-US" w:eastAsia="zh-CN"/>
        </w:rPr>
        <w:t>详见</w:t>
      </w:r>
      <w:r>
        <w:rPr>
          <w:rFonts w:hint="eastAsia" w:ascii="宋体" w:hAnsi="宋体"/>
          <w:color w:val="000000"/>
          <w:spacing w:val="20"/>
          <w:kern w:val="10"/>
          <w:sz w:val="23"/>
          <w:szCs w:val="23"/>
          <w:lang w:eastAsia="zh-CN"/>
        </w:rPr>
        <w:t>深圳土地矿业权交易平台网站中的操作指引。</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（三）申请竞买</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竞买申请人网上注册后，应按照操作指引有关要求，选择意向竞买的宗地，提出竞买申请。</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（四）交纳竞买（投标）保证金</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竞买申请人提出竞买申请后，按入账申请单提示交纳竞买（投标）保证金，竞买（投标）保证金不得由其他单位或个人代交。具体详见操作指引。</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竞买申请人可通过深圳土地矿业权交易平台及时查询竞买（投标）保证金到账情况。竞买（投标）保证金的到账截止时间为202</w:t>
      </w:r>
      <w:r>
        <w:rPr>
          <w:rFonts w:hint="default" w:ascii="宋体" w:hAnsi="宋体"/>
          <w:color w:val="000000"/>
          <w:spacing w:val="20"/>
          <w:kern w:val="10"/>
          <w:sz w:val="23"/>
          <w:szCs w:val="23"/>
          <w:lang w:val="en-IE" w:eastAsia="zh-CN"/>
        </w:rPr>
        <w:t>2</w:t>
      </w:r>
      <w:r>
        <w:rPr>
          <w:rFonts w:hint="eastAsia" w:ascii="宋体" w:hAnsi="宋体"/>
          <w:color w:val="000000"/>
          <w:spacing w:val="20"/>
          <w:kern w:val="10"/>
          <w:sz w:val="23"/>
          <w:szCs w:val="23"/>
          <w:lang w:eastAsia="zh-CN"/>
        </w:rPr>
        <w:t>年</w:t>
      </w:r>
      <w:r>
        <w:rPr>
          <w:rFonts w:hint="default" w:ascii="宋体" w:hAnsi="宋体"/>
          <w:color w:val="000000"/>
          <w:spacing w:val="20"/>
          <w:kern w:val="10"/>
          <w:sz w:val="23"/>
          <w:szCs w:val="23"/>
          <w:lang w:val="en-IE" w:eastAsia="zh-CN"/>
        </w:rPr>
        <w:t>5</w:t>
      </w:r>
      <w:r>
        <w:rPr>
          <w:rFonts w:hint="eastAsia" w:ascii="宋体" w:hAnsi="宋体"/>
          <w:color w:val="000000"/>
          <w:spacing w:val="20"/>
          <w:kern w:val="10"/>
          <w:sz w:val="23"/>
          <w:szCs w:val="23"/>
          <w:lang w:eastAsia="zh-CN"/>
        </w:rPr>
        <w:t>月</w:t>
      </w:r>
      <w:r>
        <w:rPr>
          <w:rFonts w:hint="default" w:ascii="宋体" w:hAnsi="宋体"/>
          <w:color w:val="000000"/>
          <w:spacing w:val="20"/>
          <w:kern w:val="10"/>
          <w:sz w:val="23"/>
          <w:szCs w:val="23"/>
          <w:lang w:val="en-IE" w:eastAsia="zh-CN"/>
        </w:rPr>
        <w:t>16</w:t>
      </w:r>
      <w:r>
        <w:rPr>
          <w:rFonts w:hint="eastAsia" w:ascii="宋体" w:hAnsi="宋体"/>
          <w:color w:val="000000"/>
          <w:spacing w:val="20"/>
          <w:kern w:val="10"/>
          <w:sz w:val="23"/>
          <w:szCs w:val="23"/>
          <w:lang w:eastAsia="zh-CN"/>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lang w:eastAsia="zh-CN"/>
        </w:rPr>
        <w:t>时</w:t>
      </w:r>
      <w:r>
        <w:rPr>
          <w:rFonts w:hint="eastAsia" w:ascii="宋体" w:hAnsi="宋体"/>
          <w:color w:val="000000"/>
          <w:spacing w:val="20"/>
          <w:kern w:val="10"/>
          <w:sz w:val="23"/>
          <w:szCs w:val="23"/>
          <w:lang w:val="en-US" w:eastAsia="zh-CN"/>
        </w:rPr>
        <w:t>整</w:t>
      </w:r>
      <w:r>
        <w:rPr>
          <w:rFonts w:hint="eastAsia" w:ascii="宋体" w:hAnsi="宋体"/>
          <w:color w:val="000000"/>
          <w:spacing w:val="20"/>
          <w:kern w:val="10"/>
          <w:sz w:val="23"/>
          <w:szCs w:val="23"/>
          <w:lang w:eastAsia="zh-CN"/>
        </w:rPr>
        <w:t>（以深圳土地矿业权交易平台网站显示的银行到账时间为准）。</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（五）申请确认竞买资格</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竞买申请人按时足额交纳竞买（投标）保证金后，可登录深圳土地矿业权交易平台网站查看《竞买申请受理回执》并打印该回执，在202</w:t>
      </w:r>
      <w:r>
        <w:rPr>
          <w:rFonts w:hint="default" w:ascii="宋体" w:hAnsi="宋体"/>
          <w:color w:val="000000"/>
          <w:spacing w:val="20"/>
          <w:kern w:val="10"/>
          <w:sz w:val="23"/>
          <w:szCs w:val="23"/>
          <w:lang w:val="en-IE" w:eastAsia="zh-CN"/>
        </w:rPr>
        <w:t>2</w:t>
      </w:r>
      <w:r>
        <w:rPr>
          <w:rFonts w:hint="eastAsia" w:ascii="宋体" w:hAnsi="宋体"/>
          <w:color w:val="000000"/>
          <w:spacing w:val="20"/>
          <w:kern w:val="10"/>
          <w:sz w:val="23"/>
          <w:szCs w:val="23"/>
          <w:lang w:eastAsia="zh-CN"/>
        </w:rPr>
        <w:t>年</w:t>
      </w:r>
      <w:r>
        <w:rPr>
          <w:rFonts w:hint="default" w:ascii="宋体" w:hAnsi="宋体"/>
          <w:color w:val="000000"/>
          <w:spacing w:val="20"/>
          <w:kern w:val="10"/>
          <w:sz w:val="23"/>
          <w:szCs w:val="23"/>
          <w:lang w:val="en-IE" w:eastAsia="zh-CN"/>
        </w:rPr>
        <w:t>5</w:t>
      </w:r>
      <w:r>
        <w:rPr>
          <w:rFonts w:hint="eastAsia" w:ascii="宋体" w:hAnsi="宋体"/>
          <w:color w:val="000000"/>
          <w:spacing w:val="20"/>
          <w:kern w:val="10"/>
          <w:sz w:val="23"/>
          <w:szCs w:val="23"/>
          <w:lang w:eastAsia="zh-CN"/>
        </w:rPr>
        <w:t>月</w:t>
      </w:r>
      <w:r>
        <w:rPr>
          <w:rFonts w:hint="default" w:ascii="宋体" w:hAnsi="宋体"/>
          <w:color w:val="000000"/>
          <w:spacing w:val="20"/>
          <w:kern w:val="10"/>
          <w:sz w:val="23"/>
          <w:szCs w:val="23"/>
          <w:lang w:val="en-IE" w:eastAsia="zh-CN"/>
        </w:rPr>
        <w:t>18</w:t>
      </w:r>
      <w:r>
        <w:rPr>
          <w:rFonts w:hint="eastAsia" w:ascii="宋体" w:hAnsi="宋体"/>
          <w:color w:val="000000"/>
          <w:spacing w:val="20"/>
          <w:kern w:val="10"/>
          <w:sz w:val="23"/>
          <w:szCs w:val="23"/>
          <w:lang w:eastAsia="zh-CN"/>
        </w:rPr>
        <w:t>日</w:t>
      </w:r>
      <w:r>
        <w:rPr>
          <w:rFonts w:hint="eastAsia" w:ascii="宋体" w:hAnsi="宋体"/>
          <w:color w:val="000000"/>
          <w:spacing w:val="20"/>
          <w:kern w:val="10"/>
          <w:sz w:val="23"/>
          <w:szCs w:val="23"/>
          <w:lang w:val="en-US" w:eastAsia="zh-CN"/>
        </w:rPr>
        <w:t>14</w:t>
      </w:r>
      <w:r>
        <w:rPr>
          <w:rFonts w:hint="eastAsia" w:ascii="宋体" w:hAnsi="宋体"/>
          <w:color w:val="000000"/>
          <w:spacing w:val="20"/>
          <w:kern w:val="10"/>
          <w:sz w:val="23"/>
          <w:szCs w:val="23"/>
          <w:lang w:eastAsia="zh-CN"/>
        </w:rPr>
        <w:t>时</w:t>
      </w:r>
      <w:r>
        <w:rPr>
          <w:rFonts w:hint="eastAsia" w:ascii="宋体" w:hAnsi="宋体"/>
          <w:color w:val="000000"/>
          <w:spacing w:val="20"/>
          <w:kern w:val="10"/>
          <w:sz w:val="23"/>
          <w:szCs w:val="23"/>
          <w:lang w:val="en-US" w:eastAsia="zh-CN"/>
        </w:rPr>
        <w:t>30</w:t>
      </w:r>
      <w:r>
        <w:rPr>
          <w:rFonts w:hint="eastAsia" w:ascii="宋体" w:hAnsi="宋体"/>
          <w:color w:val="000000"/>
          <w:spacing w:val="20"/>
          <w:kern w:val="10"/>
          <w:sz w:val="23"/>
          <w:szCs w:val="23"/>
          <w:lang w:eastAsia="zh-CN"/>
        </w:rPr>
        <w:t>分前（工作日），到交易大厦3楼</w:t>
      </w:r>
      <w:r>
        <w:rPr>
          <w:rFonts w:hint="eastAsia" w:ascii="宋体" w:hAnsi="宋体"/>
          <w:color w:val="000000"/>
          <w:spacing w:val="20"/>
          <w:kern w:val="10"/>
          <w:sz w:val="23"/>
          <w:szCs w:val="23"/>
          <w:lang w:val="en-US" w:eastAsia="zh-CN"/>
        </w:rPr>
        <w:t>土地业务</w:t>
      </w:r>
      <w:r>
        <w:rPr>
          <w:rFonts w:hint="eastAsia" w:ascii="宋体" w:hAnsi="宋体"/>
          <w:color w:val="000000"/>
          <w:spacing w:val="20"/>
          <w:kern w:val="10"/>
          <w:sz w:val="23"/>
          <w:szCs w:val="23"/>
          <w:lang w:eastAsia="zh-CN"/>
        </w:rPr>
        <w:t>受理窗口提交书面材料，申请确认竞买资格。申请确认竞买资格须提交的材料详见《深圳市土地使用权挂牌出让竞买须知》（以下简称《竞买须知》）。</w:t>
      </w:r>
    </w:p>
    <w:p>
      <w:pPr>
        <w:spacing w:line="400" w:lineRule="exact"/>
        <w:ind w:firstLine="542" w:firstLineChars="200"/>
        <w:rPr>
          <w:rFonts w:hint="eastAsia" w:ascii="宋体" w:hAnsi="宋体"/>
          <w:b/>
          <w:color w:val="000000"/>
          <w:spacing w:val="20"/>
          <w:kern w:val="10"/>
          <w:sz w:val="23"/>
          <w:szCs w:val="23"/>
          <w:lang w:eastAsia="zh-CN"/>
        </w:rPr>
      </w:pPr>
      <w:r>
        <w:rPr>
          <w:rFonts w:hint="eastAsia" w:ascii="宋体" w:hAnsi="宋体"/>
          <w:b/>
          <w:color w:val="000000"/>
          <w:spacing w:val="20"/>
          <w:kern w:val="10"/>
          <w:sz w:val="23"/>
          <w:szCs w:val="23"/>
          <w:lang w:eastAsia="zh-CN"/>
        </w:rPr>
        <w:t>五、确定竞得人的办法</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深圳土地矿业权交易平台在挂牌期内（工作日）接受竞买人的电脑报价，电脑报价截止时间为202</w:t>
      </w:r>
      <w:r>
        <w:rPr>
          <w:rFonts w:hint="default" w:ascii="宋体" w:hAnsi="宋体"/>
          <w:color w:val="000000"/>
          <w:spacing w:val="20"/>
          <w:kern w:val="10"/>
          <w:sz w:val="23"/>
          <w:szCs w:val="23"/>
          <w:lang w:val="en-IE" w:eastAsia="zh-CN"/>
        </w:rPr>
        <w:t>2</w:t>
      </w:r>
      <w:r>
        <w:rPr>
          <w:rFonts w:hint="eastAsia" w:ascii="宋体" w:hAnsi="宋体"/>
          <w:color w:val="000000"/>
          <w:spacing w:val="20"/>
          <w:kern w:val="10"/>
          <w:sz w:val="23"/>
          <w:szCs w:val="23"/>
          <w:lang w:eastAsia="zh-CN"/>
        </w:rPr>
        <w:t>年</w:t>
      </w:r>
      <w:r>
        <w:rPr>
          <w:rFonts w:hint="default" w:ascii="宋体" w:hAnsi="宋体"/>
          <w:color w:val="000000"/>
          <w:spacing w:val="20"/>
          <w:kern w:val="10"/>
          <w:sz w:val="23"/>
          <w:szCs w:val="23"/>
          <w:lang w:val="en-IE" w:eastAsia="zh-CN"/>
        </w:rPr>
        <w:t>5</w:t>
      </w:r>
      <w:r>
        <w:rPr>
          <w:rFonts w:hint="eastAsia" w:ascii="宋体" w:hAnsi="宋体"/>
          <w:color w:val="000000"/>
          <w:spacing w:val="20"/>
          <w:kern w:val="10"/>
          <w:sz w:val="23"/>
          <w:szCs w:val="23"/>
          <w:lang w:eastAsia="zh-CN"/>
        </w:rPr>
        <w:t>月</w:t>
      </w:r>
      <w:r>
        <w:rPr>
          <w:rFonts w:hint="default" w:ascii="宋体" w:hAnsi="宋体"/>
          <w:color w:val="000000"/>
          <w:spacing w:val="20"/>
          <w:kern w:val="10"/>
          <w:sz w:val="23"/>
          <w:szCs w:val="23"/>
          <w:lang w:val="en-IE" w:eastAsia="zh-CN"/>
        </w:rPr>
        <w:t>18</w:t>
      </w:r>
      <w:r>
        <w:rPr>
          <w:rFonts w:hint="eastAsia" w:ascii="宋体" w:hAnsi="宋体"/>
          <w:color w:val="000000"/>
          <w:spacing w:val="20"/>
          <w:kern w:val="10"/>
          <w:sz w:val="23"/>
          <w:szCs w:val="23"/>
          <w:lang w:eastAsia="zh-CN"/>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lang w:eastAsia="zh-CN"/>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hint="eastAsia" w:ascii="宋体" w:hAnsi="宋体"/>
          <w:b/>
          <w:color w:val="000000"/>
          <w:spacing w:val="20"/>
          <w:kern w:val="10"/>
          <w:sz w:val="23"/>
          <w:szCs w:val="23"/>
          <w:lang w:eastAsia="zh-CN"/>
        </w:rPr>
      </w:pPr>
      <w:r>
        <w:rPr>
          <w:rFonts w:hint="eastAsia" w:ascii="宋体" w:hAnsi="宋体"/>
          <w:b/>
          <w:color w:val="000000"/>
          <w:spacing w:val="20"/>
          <w:kern w:val="10"/>
          <w:sz w:val="23"/>
          <w:szCs w:val="23"/>
          <w:lang w:eastAsia="zh-CN"/>
        </w:rPr>
        <w:t>六、其他</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本公告内容如有调整，将在深圳土地矿业权交易平台网站发布补充公告。本公告有关详细资料请参阅挂牌出让文件（包括但不限于本公告、《竞买须知》《成交确认书》《出让合同》《国有土地使用权出让收入缴费指南》、产业发展监管协议等）。本公告同时在</w:t>
      </w:r>
      <w:r>
        <w:rPr>
          <w:rFonts w:hint="eastAsia" w:ascii="宋体" w:hAnsi="宋体"/>
          <w:color w:val="000000"/>
          <w:spacing w:val="20"/>
          <w:kern w:val="10"/>
          <w:sz w:val="23"/>
          <w:szCs w:val="23"/>
          <w:lang w:val="en-US" w:eastAsia="zh-CN"/>
        </w:rPr>
        <w:t>深圳</w:t>
      </w:r>
      <w:r>
        <w:rPr>
          <w:rFonts w:hint="eastAsia" w:ascii="宋体" w:hAnsi="宋体"/>
          <w:color w:val="000000"/>
          <w:spacing w:val="20"/>
          <w:kern w:val="10"/>
          <w:sz w:val="23"/>
          <w:szCs w:val="23"/>
          <w:lang w:eastAsia="zh-CN"/>
        </w:rPr>
        <w:t>市规划和自然资源局、深圳土地矿业权交易平台网站发布，挂牌出让文件可在深圳土地矿业权交易平台下载。需咨询本次出让程序相关问题的，可以书面方式向</w:t>
      </w:r>
      <w:r>
        <w:rPr>
          <w:rFonts w:hint="eastAsia" w:ascii="宋体" w:hAnsi="宋体"/>
          <w:color w:val="000000"/>
          <w:spacing w:val="20"/>
          <w:kern w:val="10"/>
          <w:sz w:val="23"/>
          <w:szCs w:val="23"/>
          <w:lang w:val="en-US" w:eastAsia="zh-CN"/>
        </w:rPr>
        <w:t>深</w:t>
      </w:r>
      <w:r>
        <w:rPr>
          <w:rFonts w:hint="eastAsia" w:ascii="宋体" w:hAnsi="宋体"/>
          <w:color w:val="000000"/>
          <w:spacing w:val="20"/>
          <w:kern w:val="10"/>
          <w:sz w:val="23"/>
          <w:szCs w:val="23"/>
          <w:lang w:eastAsia="zh-CN"/>
        </w:rPr>
        <w:t>圳交易集团有限公司土地矿业权业务分公司提出；其他相关问题，请迳向相关职能部门提出。</w:t>
      </w:r>
    </w:p>
    <w:p>
      <w:pPr>
        <w:spacing w:line="400" w:lineRule="exact"/>
        <w:ind w:firstLine="540" w:firstLineChars="200"/>
        <w:rPr>
          <w:rFonts w:hint="eastAsia" w:ascii="宋体" w:hAnsi="宋体"/>
          <w:color w:val="000000"/>
          <w:spacing w:val="20"/>
          <w:kern w:val="10"/>
          <w:sz w:val="23"/>
          <w:szCs w:val="23"/>
          <w:lang w:eastAsia="zh-CN"/>
        </w:rPr>
      </w:pP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深圳市规划和自然资源局龙华管理局地址：深圳市龙华区清湖路壹点规划馆；咨询电话：（0755）23335</w:t>
      </w:r>
      <w:r>
        <w:rPr>
          <w:rFonts w:hint="eastAsia" w:ascii="宋体" w:hAnsi="宋体"/>
          <w:color w:val="000000"/>
          <w:spacing w:val="20"/>
          <w:kern w:val="10"/>
          <w:sz w:val="23"/>
          <w:szCs w:val="23"/>
          <w:lang w:val="en-US" w:eastAsia="zh-CN"/>
        </w:rPr>
        <w:t>819</w:t>
      </w:r>
      <w:r>
        <w:rPr>
          <w:rFonts w:hint="eastAsia" w:ascii="宋体" w:hAnsi="宋体"/>
          <w:color w:val="000000"/>
          <w:spacing w:val="20"/>
          <w:kern w:val="10"/>
          <w:sz w:val="23"/>
          <w:szCs w:val="23"/>
          <w:lang w:eastAsia="zh-CN"/>
        </w:rPr>
        <w:t>。</w:t>
      </w:r>
    </w:p>
    <w:p>
      <w:pPr>
        <w:spacing w:line="400" w:lineRule="exact"/>
        <w:ind w:firstLine="540" w:firstLineChars="200"/>
        <w:rPr>
          <w:rFonts w:hint="eastAsia" w:ascii="宋体" w:hAnsi="宋体"/>
          <w:color w:val="000000"/>
          <w:spacing w:val="20"/>
          <w:kern w:val="10"/>
          <w:sz w:val="23"/>
          <w:szCs w:val="23"/>
          <w:lang w:eastAsia="zh-CN"/>
        </w:rPr>
      </w:pPr>
      <w:r>
        <w:rPr>
          <w:rFonts w:hint="eastAsia" w:ascii="宋体" w:hAnsi="宋体"/>
          <w:color w:val="000000"/>
          <w:spacing w:val="20"/>
          <w:kern w:val="10"/>
          <w:sz w:val="23"/>
          <w:szCs w:val="23"/>
          <w:lang w:eastAsia="zh-CN"/>
        </w:rPr>
        <w:t>深圳市工业和信息化局地址：深圳市福田区福中三路市民中心C区；咨询电话：（0755）88100631。</w:t>
      </w:r>
    </w:p>
    <w:p>
      <w:pPr>
        <w:spacing w:line="400" w:lineRule="exact"/>
        <w:ind w:firstLine="540" w:firstLineChars="200"/>
        <w:rPr>
          <w:rFonts w:hint="eastAsia" w:ascii="宋体" w:hAnsi="宋体"/>
          <w:color w:val="000000"/>
          <w:spacing w:val="20"/>
          <w:kern w:val="10"/>
          <w:sz w:val="23"/>
          <w:szCs w:val="23"/>
          <w:lang w:val="en-US" w:eastAsia="zh-CN"/>
        </w:rPr>
      </w:pPr>
      <w:r>
        <w:rPr>
          <w:rFonts w:hint="eastAsia" w:ascii="宋体" w:hAnsi="宋体"/>
          <w:color w:val="000000"/>
          <w:spacing w:val="20"/>
          <w:kern w:val="10"/>
          <w:sz w:val="23"/>
          <w:szCs w:val="23"/>
          <w:lang w:val="en-US" w:eastAsia="zh-CN"/>
        </w:rPr>
        <w:t>深圳交易集团有限公司土地矿业权业务分公司 地址：深圳市福田区红荔西路8007号土地房产交易大厦3楼；咨询电话：（0755）82713074、（0755）82713274；网址：https://td.szggzy.com。</w:t>
      </w:r>
    </w:p>
    <w:p>
      <w:pPr>
        <w:spacing w:line="440" w:lineRule="exact"/>
        <w:ind w:firstLine="4334" w:firstLineChars="1600"/>
        <w:jc w:val="left"/>
        <w:rPr>
          <w:rFonts w:ascii="宋体" w:hAnsi="宋体"/>
          <w:b/>
          <w:color w:val="000000"/>
          <w:spacing w:val="20"/>
          <w:kern w:val="10"/>
          <w:sz w:val="23"/>
          <w:szCs w:val="23"/>
          <w:highlight w:val="none"/>
        </w:rPr>
      </w:pPr>
    </w:p>
    <w:p>
      <w:pPr>
        <w:spacing w:line="440" w:lineRule="exact"/>
        <w:ind w:firstLine="4334" w:firstLineChars="1600"/>
        <w:jc w:val="left"/>
        <w:rPr>
          <w:rFonts w:ascii="宋体" w:hAnsi="宋体"/>
          <w:b/>
          <w:color w:val="000000"/>
          <w:spacing w:val="20"/>
          <w:kern w:val="10"/>
          <w:sz w:val="23"/>
          <w:szCs w:val="23"/>
          <w:highlight w:val="none"/>
        </w:rPr>
      </w:pPr>
    </w:p>
    <w:p>
      <w:pPr>
        <w:pStyle w:val="10"/>
        <w:keepNext w:val="0"/>
        <w:keepLines w:val="0"/>
        <w:widowControl/>
        <w:suppressLineNumbers w:val="0"/>
        <w:spacing w:before="0" w:beforeAutospacing="0" w:after="20" w:afterAutospacing="0"/>
        <w:ind w:left="0" w:firstLine="4320"/>
        <w:jc w:val="right"/>
        <w:rPr>
          <w:rFonts w:hint="eastAsia" w:ascii="宋体" w:hAnsi="宋体" w:eastAsia="宋体" w:cs="宋体"/>
          <w:b/>
          <w:bCs/>
          <w:i w:val="0"/>
          <w:iCs w:val="0"/>
          <w:caps w:val="0"/>
          <w:color w:val="000000"/>
          <w:spacing w:val="0"/>
          <w:sz w:val="22"/>
          <w:szCs w:val="22"/>
          <w:highlight w:val="none"/>
        </w:rPr>
      </w:pPr>
      <w:r>
        <w:rPr>
          <w:rFonts w:hint="eastAsia" w:ascii="宋体" w:hAnsi="宋体" w:cs="宋体"/>
          <w:b/>
          <w:bCs/>
          <w:i w:val="0"/>
          <w:iCs w:val="0"/>
          <w:caps w:val="0"/>
          <w:color w:val="000000"/>
          <w:spacing w:val="0"/>
          <w:sz w:val="22"/>
          <w:szCs w:val="22"/>
          <w:highlight w:val="none"/>
          <w:lang w:val="en-US" w:eastAsia="zh-CN"/>
        </w:rPr>
        <w:t>出让人：</w:t>
      </w:r>
      <w:r>
        <w:rPr>
          <w:rFonts w:hint="eastAsia" w:ascii="宋体" w:hAnsi="宋体" w:eastAsia="宋体" w:cs="宋体"/>
          <w:b/>
          <w:bCs/>
          <w:i w:val="0"/>
          <w:iCs w:val="0"/>
          <w:caps w:val="0"/>
          <w:color w:val="000000"/>
          <w:spacing w:val="0"/>
          <w:sz w:val="22"/>
          <w:szCs w:val="22"/>
          <w:highlight w:val="none"/>
        </w:rPr>
        <w:t>深圳市规划和自然资源局龙华管理局</w:t>
      </w:r>
    </w:p>
    <w:p>
      <w:pPr>
        <w:pStyle w:val="10"/>
        <w:keepNext w:val="0"/>
        <w:keepLines w:val="0"/>
        <w:widowControl/>
        <w:suppressLineNumbers w:val="0"/>
        <w:spacing w:before="0" w:beforeAutospacing="0" w:after="20" w:afterAutospacing="0"/>
        <w:ind w:left="0" w:firstLine="4320"/>
        <w:jc w:val="right"/>
        <w:rPr>
          <w:rFonts w:hint="eastAsia" w:ascii="宋体" w:hAnsi="宋体" w:eastAsia="宋体" w:cs="宋体"/>
          <w:b/>
          <w:bCs/>
          <w:i w:val="0"/>
          <w:iCs w:val="0"/>
          <w:caps w:val="0"/>
          <w:color w:val="000000"/>
          <w:spacing w:val="0"/>
          <w:sz w:val="22"/>
          <w:szCs w:val="22"/>
          <w:highlight w:val="none"/>
        </w:rPr>
      </w:pPr>
      <w:r>
        <w:rPr>
          <w:rFonts w:hint="eastAsia" w:ascii="宋体" w:hAnsi="宋体" w:eastAsia="宋体" w:cs="宋体"/>
          <w:b/>
          <w:bCs/>
          <w:i w:val="0"/>
          <w:iCs w:val="0"/>
          <w:caps w:val="0"/>
          <w:color w:val="000000"/>
          <w:spacing w:val="0"/>
          <w:sz w:val="22"/>
          <w:szCs w:val="22"/>
          <w:highlight w:val="none"/>
        </w:rPr>
        <w:t>交易机构：深圳交易集团有限公司</w:t>
      </w:r>
    </w:p>
    <w:p>
      <w:pPr>
        <w:pStyle w:val="10"/>
        <w:keepNext w:val="0"/>
        <w:keepLines w:val="0"/>
        <w:widowControl/>
        <w:suppressLineNumbers w:val="0"/>
        <w:spacing w:before="0" w:beforeAutospacing="0" w:after="20" w:afterAutospacing="0"/>
        <w:ind w:left="0" w:firstLine="4320"/>
        <w:jc w:val="right"/>
        <w:rPr>
          <w:rFonts w:hint="eastAsia" w:ascii="宋体" w:hAnsi="宋体" w:eastAsia="宋体" w:cs="宋体"/>
          <w:b/>
          <w:bCs/>
          <w:i w:val="0"/>
          <w:iCs w:val="0"/>
          <w:caps w:val="0"/>
          <w:color w:val="000000"/>
          <w:spacing w:val="0"/>
          <w:sz w:val="22"/>
          <w:szCs w:val="22"/>
          <w:highlight w:val="none"/>
        </w:rPr>
      </w:pPr>
      <w:r>
        <w:rPr>
          <w:rFonts w:hint="eastAsia" w:ascii="宋体" w:hAnsi="宋体" w:eastAsia="宋体" w:cs="宋体"/>
          <w:b/>
          <w:bCs/>
          <w:i w:val="0"/>
          <w:iCs w:val="0"/>
          <w:caps w:val="0"/>
          <w:color w:val="000000"/>
          <w:spacing w:val="0"/>
          <w:sz w:val="22"/>
          <w:szCs w:val="22"/>
          <w:highlight w:val="none"/>
        </w:rPr>
        <w:t>（深圳公共资源交易中心）</w:t>
      </w:r>
    </w:p>
    <w:p>
      <w:pPr>
        <w:pStyle w:val="10"/>
        <w:keepNext w:val="0"/>
        <w:keepLines w:val="0"/>
        <w:widowControl/>
        <w:suppressLineNumbers w:val="0"/>
        <w:spacing w:before="0" w:beforeAutospacing="0" w:after="20" w:afterAutospacing="0"/>
        <w:ind w:left="0" w:firstLine="4320"/>
        <w:jc w:val="right"/>
        <w:rPr>
          <w:rFonts w:ascii="宋体" w:hAnsi="宋体"/>
          <w:highlight w:val="none"/>
        </w:rPr>
      </w:pPr>
      <w:r>
        <w:rPr>
          <w:rFonts w:hint="eastAsia" w:ascii="宋体" w:hAnsi="宋体" w:eastAsia="宋体" w:cs="宋体"/>
          <w:b/>
          <w:bCs/>
          <w:i w:val="0"/>
          <w:iCs w:val="0"/>
          <w:caps w:val="0"/>
          <w:color w:val="000000"/>
          <w:spacing w:val="0"/>
          <w:sz w:val="22"/>
          <w:szCs w:val="22"/>
          <w:highlight w:val="none"/>
        </w:rPr>
        <w:t>202</w:t>
      </w:r>
      <w:r>
        <w:rPr>
          <w:rFonts w:hint="default" w:ascii="宋体" w:hAnsi="宋体" w:eastAsia="宋体" w:cs="宋体"/>
          <w:b/>
          <w:bCs/>
          <w:i w:val="0"/>
          <w:iCs w:val="0"/>
          <w:caps w:val="0"/>
          <w:color w:val="000000"/>
          <w:spacing w:val="0"/>
          <w:sz w:val="22"/>
          <w:szCs w:val="22"/>
          <w:highlight w:val="none"/>
          <w:lang w:val="en-IE"/>
        </w:rPr>
        <w:t>2</w:t>
      </w:r>
      <w:r>
        <w:rPr>
          <w:rFonts w:hint="eastAsia" w:ascii="宋体" w:hAnsi="宋体" w:eastAsia="宋体" w:cs="宋体"/>
          <w:b/>
          <w:bCs/>
          <w:i w:val="0"/>
          <w:iCs w:val="0"/>
          <w:caps w:val="0"/>
          <w:color w:val="000000"/>
          <w:spacing w:val="0"/>
          <w:sz w:val="22"/>
          <w:szCs w:val="22"/>
          <w:highlight w:val="none"/>
        </w:rPr>
        <w:t>年</w:t>
      </w:r>
      <w:r>
        <w:rPr>
          <w:rFonts w:hint="default" w:ascii="宋体" w:hAnsi="宋体" w:cs="宋体"/>
          <w:b/>
          <w:bCs/>
          <w:i w:val="0"/>
          <w:iCs w:val="0"/>
          <w:caps w:val="0"/>
          <w:color w:val="000000"/>
          <w:spacing w:val="0"/>
          <w:sz w:val="22"/>
          <w:szCs w:val="22"/>
          <w:highlight w:val="none"/>
          <w:lang w:val="en-IE" w:eastAsia="zh-CN"/>
        </w:rPr>
        <w:t>4</w:t>
      </w:r>
      <w:r>
        <w:rPr>
          <w:rFonts w:hint="eastAsia" w:ascii="宋体" w:hAnsi="宋体" w:eastAsia="宋体" w:cs="宋体"/>
          <w:b/>
          <w:bCs/>
          <w:i w:val="0"/>
          <w:iCs w:val="0"/>
          <w:caps w:val="0"/>
          <w:color w:val="000000"/>
          <w:spacing w:val="0"/>
          <w:sz w:val="22"/>
          <w:szCs w:val="22"/>
          <w:highlight w:val="none"/>
        </w:rPr>
        <w:t>月</w:t>
      </w:r>
      <w:r>
        <w:rPr>
          <w:rFonts w:hint="default" w:ascii="宋体" w:hAnsi="宋体" w:cs="宋体"/>
          <w:b/>
          <w:bCs/>
          <w:i w:val="0"/>
          <w:iCs w:val="0"/>
          <w:caps w:val="0"/>
          <w:color w:val="000000"/>
          <w:spacing w:val="0"/>
          <w:sz w:val="22"/>
          <w:szCs w:val="22"/>
          <w:highlight w:val="none"/>
          <w:lang w:val="en-IE" w:eastAsia="zh-CN"/>
        </w:rPr>
        <w:t>19</w:t>
      </w:r>
      <w:r>
        <w:rPr>
          <w:rFonts w:hint="eastAsia" w:ascii="宋体" w:hAnsi="宋体" w:eastAsia="宋体" w:cs="宋体"/>
          <w:b/>
          <w:bCs/>
          <w:i w:val="0"/>
          <w:iCs w:val="0"/>
          <w:caps w:val="0"/>
          <w:color w:val="000000"/>
          <w:spacing w:val="0"/>
          <w:sz w:val="22"/>
          <w:szCs w:val="22"/>
          <w:highlight w:val="none"/>
        </w:rPr>
        <w:t>日</w:t>
      </w:r>
    </w:p>
    <w:sectPr>
      <w:footerReference r:id="rId3" w:type="default"/>
      <w:footerReference r:id="rId4" w:type="even"/>
      <w:pgSz w:w="11907" w:h="16839"/>
      <w:pgMar w:top="1616" w:right="1276" w:bottom="1259" w:left="851"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47D7"/>
    <w:rsid w:val="00046177"/>
    <w:rsid w:val="000474C3"/>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17FD"/>
    <w:rsid w:val="0012538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46A9C"/>
    <w:rsid w:val="0015006E"/>
    <w:rsid w:val="0015176D"/>
    <w:rsid w:val="001532F7"/>
    <w:rsid w:val="0015374E"/>
    <w:rsid w:val="00153C03"/>
    <w:rsid w:val="001551B0"/>
    <w:rsid w:val="00157D0D"/>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5C4D"/>
    <w:rsid w:val="001E647F"/>
    <w:rsid w:val="001E6A03"/>
    <w:rsid w:val="001E6DE7"/>
    <w:rsid w:val="001F0212"/>
    <w:rsid w:val="001F685A"/>
    <w:rsid w:val="001F7F90"/>
    <w:rsid w:val="0020085B"/>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0B64"/>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471C0"/>
    <w:rsid w:val="00350703"/>
    <w:rsid w:val="00350ED8"/>
    <w:rsid w:val="00354F5D"/>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35F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8D9"/>
    <w:rsid w:val="003F3BA0"/>
    <w:rsid w:val="003F410E"/>
    <w:rsid w:val="004031E2"/>
    <w:rsid w:val="00407766"/>
    <w:rsid w:val="00410F97"/>
    <w:rsid w:val="004143D3"/>
    <w:rsid w:val="0041559A"/>
    <w:rsid w:val="004171A3"/>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4318"/>
    <w:rsid w:val="00445D8C"/>
    <w:rsid w:val="00450700"/>
    <w:rsid w:val="00451ACD"/>
    <w:rsid w:val="00453449"/>
    <w:rsid w:val="00454537"/>
    <w:rsid w:val="00455722"/>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3DB4"/>
    <w:rsid w:val="00514DF3"/>
    <w:rsid w:val="005156E8"/>
    <w:rsid w:val="00516F49"/>
    <w:rsid w:val="0052043A"/>
    <w:rsid w:val="005216B0"/>
    <w:rsid w:val="00521C0C"/>
    <w:rsid w:val="00521E87"/>
    <w:rsid w:val="0052214B"/>
    <w:rsid w:val="00522F9E"/>
    <w:rsid w:val="005247C0"/>
    <w:rsid w:val="0052741E"/>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76994"/>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839"/>
    <w:rsid w:val="005D2A4D"/>
    <w:rsid w:val="005D2B71"/>
    <w:rsid w:val="005E030F"/>
    <w:rsid w:val="005E2177"/>
    <w:rsid w:val="005E3D3B"/>
    <w:rsid w:val="005E40B1"/>
    <w:rsid w:val="005F12A2"/>
    <w:rsid w:val="005F3106"/>
    <w:rsid w:val="005F5156"/>
    <w:rsid w:val="005F5E9D"/>
    <w:rsid w:val="0060077E"/>
    <w:rsid w:val="00602221"/>
    <w:rsid w:val="006046FA"/>
    <w:rsid w:val="00604A6D"/>
    <w:rsid w:val="00605677"/>
    <w:rsid w:val="00606A97"/>
    <w:rsid w:val="006101DD"/>
    <w:rsid w:val="0061088C"/>
    <w:rsid w:val="00610D73"/>
    <w:rsid w:val="006141A9"/>
    <w:rsid w:val="0061475B"/>
    <w:rsid w:val="0061494D"/>
    <w:rsid w:val="00615157"/>
    <w:rsid w:val="0062035C"/>
    <w:rsid w:val="00623FA1"/>
    <w:rsid w:val="00624480"/>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1626"/>
    <w:rsid w:val="006618FD"/>
    <w:rsid w:val="006629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3"/>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4C0E"/>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2AD8"/>
    <w:rsid w:val="007D3545"/>
    <w:rsid w:val="007D6A65"/>
    <w:rsid w:val="007E0420"/>
    <w:rsid w:val="007E3CBC"/>
    <w:rsid w:val="007E7ABF"/>
    <w:rsid w:val="007E7FF0"/>
    <w:rsid w:val="007F0671"/>
    <w:rsid w:val="007F13A8"/>
    <w:rsid w:val="007F209F"/>
    <w:rsid w:val="007F33B4"/>
    <w:rsid w:val="007F4825"/>
    <w:rsid w:val="007F507A"/>
    <w:rsid w:val="007F5AE0"/>
    <w:rsid w:val="0080242A"/>
    <w:rsid w:val="00803F1F"/>
    <w:rsid w:val="00805D4D"/>
    <w:rsid w:val="00810CFA"/>
    <w:rsid w:val="00811379"/>
    <w:rsid w:val="00811400"/>
    <w:rsid w:val="00816034"/>
    <w:rsid w:val="00816E8C"/>
    <w:rsid w:val="00821FEF"/>
    <w:rsid w:val="00824A54"/>
    <w:rsid w:val="00826828"/>
    <w:rsid w:val="00826FEF"/>
    <w:rsid w:val="00830694"/>
    <w:rsid w:val="00830897"/>
    <w:rsid w:val="00831FD9"/>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2A13"/>
    <w:rsid w:val="00903C69"/>
    <w:rsid w:val="009042C7"/>
    <w:rsid w:val="00905109"/>
    <w:rsid w:val="00913453"/>
    <w:rsid w:val="00914D70"/>
    <w:rsid w:val="009158E0"/>
    <w:rsid w:val="00916645"/>
    <w:rsid w:val="00916798"/>
    <w:rsid w:val="00922672"/>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468"/>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112"/>
    <w:rsid w:val="00A543EA"/>
    <w:rsid w:val="00A5769A"/>
    <w:rsid w:val="00A60F74"/>
    <w:rsid w:val="00A63C3F"/>
    <w:rsid w:val="00A6402B"/>
    <w:rsid w:val="00A67D46"/>
    <w:rsid w:val="00A712FD"/>
    <w:rsid w:val="00A72FC4"/>
    <w:rsid w:val="00A8122C"/>
    <w:rsid w:val="00A81BBA"/>
    <w:rsid w:val="00A91AFB"/>
    <w:rsid w:val="00A92D52"/>
    <w:rsid w:val="00A936D0"/>
    <w:rsid w:val="00A97B5A"/>
    <w:rsid w:val="00AA4DF2"/>
    <w:rsid w:val="00AA5E54"/>
    <w:rsid w:val="00AB0363"/>
    <w:rsid w:val="00AB1E26"/>
    <w:rsid w:val="00AB24F8"/>
    <w:rsid w:val="00AB3E43"/>
    <w:rsid w:val="00AB4473"/>
    <w:rsid w:val="00AB4678"/>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0239"/>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505B"/>
    <w:rsid w:val="00B657C6"/>
    <w:rsid w:val="00B664DD"/>
    <w:rsid w:val="00B67B8A"/>
    <w:rsid w:val="00B72033"/>
    <w:rsid w:val="00B763C2"/>
    <w:rsid w:val="00B7700A"/>
    <w:rsid w:val="00B806C7"/>
    <w:rsid w:val="00B81B9C"/>
    <w:rsid w:val="00B81D3D"/>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BDE"/>
    <w:rsid w:val="00BE2CD0"/>
    <w:rsid w:val="00BE3F06"/>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501"/>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B0"/>
    <w:rsid w:val="00CA61D0"/>
    <w:rsid w:val="00CA7C81"/>
    <w:rsid w:val="00CA7F55"/>
    <w:rsid w:val="00CB1383"/>
    <w:rsid w:val="00CB1F32"/>
    <w:rsid w:val="00CB2218"/>
    <w:rsid w:val="00CB3458"/>
    <w:rsid w:val="00CB5C8D"/>
    <w:rsid w:val="00CC0109"/>
    <w:rsid w:val="00CC1ED9"/>
    <w:rsid w:val="00CC235A"/>
    <w:rsid w:val="00CC2FA6"/>
    <w:rsid w:val="00CC3DA9"/>
    <w:rsid w:val="00CC6E01"/>
    <w:rsid w:val="00CD3C59"/>
    <w:rsid w:val="00CD5408"/>
    <w:rsid w:val="00CD5C7A"/>
    <w:rsid w:val="00CD5E59"/>
    <w:rsid w:val="00CD5F24"/>
    <w:rsid w:val="00CD6421"/>
    <w:rsid w:val="00CE0BEC"/>
    <w:rsid w:val="00CE213A"/>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158A"/>
    <w:rsid w:val="00D461AA"/>
    <w:rsid w:val="00D5366A"/>
    <w:rsid w:val="00D56D48"/>
    <w:rsid w:val="00D60AF2"/>
    <w:rsid w:val="00D666E7"/>
    <w:rsid w:val="00D66FD5"/>
    <w:rsid w:val="00D67EDD"/>
    <w:rsid w:val="00D70917"/>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DF3938"/>
    <w:rsid w:val="00E00F7E"/>
    <w:rsid w:val="00E022F9"/>
    <w:rsid w:val="00E03AEE"/>
    <w:rsid w:val="00E069A7"/>
    <w:rsid w:val="00E0755F"/>
    <w:rsid w:val="00E1048F"/>
    <w:rsid w:val="00E116ED"/>
    <w:rsid w:val="00E130C6"/>
    <w:rsid w:val="00E20993"/>
    <w:rsid w:val="00E20CF6"/>
    <w:rsid w:val="00E2158F"/>
    <w:rsid w:val="00E21F85"/>
    <w:rsid w:val="00E23C3C"/>
    <w:rsid w:val="00E3170B"/>
    <w:rsid w:val="00E33A07"/>
    <w:rsid w:val="00E4144B"/>
    <w:rsid w:val="00E437D8"/>
    <w:rsid w:val="00E44A46"/>
    <w:rsid w:val="00E4634E"/>
    <w:rsid w:val="00E463A3"/>
    <w:rsid w:val="00E470BC"/>
    <w:rsid w:val="00E50D8E"/>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EA8"/>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17CF2"/>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476CC"/>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0891"/>
    <w:rsid w:val="00FB23F3"/>
    <w:rsid w:val="00FB5A66"/>
    <w:rsid w:val="00FB5B2F"/>
    <w:rsid w:val="00FB6A8D"/>
    <w:rsid w:val="00FC036C"/>
    <w:rsid w:val="00FC0608"/>
    <w:rsid w:val="00FC1A68"/>
    <w:rsid w:val="00FC2809"/>
    <w:rsid w:val="00FC59DD"/>
    <w:rsid w:val="00FC6239"/>
    <w:rsid w:val="00FC6B6D"/>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5976809"/>
    <w:rsid w:val="061303F9"/>
    <w:rsid w:val="06C1141B"/>
    <w:rsid w:val="07331260"/>
    <w:rsid w:val="07A62AE0"/>
    <w:rsid w:val="07DF15F8"/>
    <w:rsid w:val="08843074"/>
    <w:rsid w:val="08EC706B"/>
    <w:rsid w:val="093B622B"/>
    <w:rsid w:val="09AA6B0A"/>
    <w:rsid w:val="0B2B170D"/>
    <w:rsid w:val="0B680A2B"/>
    <w:rsid w:val="0D8B43CC"/>
    <w:rsid w:val="0E296B84"/>
    <w:rsid w:val="0E6B65DF"/>
    <w:rsid w:val="115C47CC"/>
    <w:rsid w:val="12241424"/>
    <w:rsid w:val="1235261C"/>
    <w:rsid w:val="15892216"/>
    <w:rsid w:val="18CB1F1B"/>
    <w:rsid w:val="190D262B"/>
    <w:rsid w:val="1A2656D2"/>
    <w:rsid w:val="1A3B578B"/>
    <w:rsid w:val="1A951111"/>
    <w:rsid w:val="1BC577D4"/>
    <w:rsid w:val="22AC75FC"/>
    <w:rsid w:val="231D6147"/>
    <w:rsid w:val="24BB5C18"/>
    <w:rsid w:val="257C53A7"/>
    <w:rsid w:val="27F34941"/>
    <w:rsid w:val="29361D11"/>
    <w:rsid w:val="2A997988"/>
    <w:rsid w:val="2BD72137"/>
    <w:rsid w:val="2C26606D"/>
    <w:rsid w:val="32F56799"/>
    <w:rsid w:val="344927F3"/>
    <w:rsid w:val="38750BE9"/>
    <w:rsid w:val="3A7838BB"/>
    <w:rsid w:val="3CA82230"/>
    <w:rsid w:val="3CAE1060"/>
    <w:rsid w:val="3CE33B06"/>
    <w:rsid w:val="40EC7D19"/>
    <w:rsid w:val="42391D26"/>
    <w:rsid w:val="42DF53F3"/>
    <w:rsid w:val="43315CBC"/>
    <w:rsid w:val="433C5D1E"/>
    <w:rsid w:val="448636F5"/>
    <w:rsid w:val="448C4D48"/>
    <w:rsid w:val="46054AED"/>
    <w:rsid w:val="470F1B58"/>
    <w:rsid w:val="47D13824"/>
    <w:rsid w:val="49366255"/>
    <w:rsid w:val="4A516A7D"/>
    <w:rsid w:val="4A626DE5"/>
    <w:rsid w:val="4AE27464"/>
    <w:rsid w:val="4B3F1C6F"/>
    <w:rsid w:val="4B553E21"/>
    <w:rsid w:val="4BE42400"/>
    <w:rsid w:val="4C2C3052"/>
    <w:rsid w:val="4CA90842"/>
    <w:rsid w:val="4D782049"/>
    <w:rsid w:val="4EF30938"/>
    <w:rsid w:val="4F672375"/>
    <w:rsid w:val="51AA7D7B"/>
    <w:rsid w:val="52E825A0"/>
    <w:rsid w:val="538A1638"/>
    <w:rsid w:val="538A3A16"/>
    <w:rsid w:val="560315CB"/>
    <w:rsid w:val="575A5A81"/>
    <w:rsid w:val="5BB22BCA"/>
    <w:rsid w:val="5BD87731"/>
    <w:rsid w:val="5D667C17"/>
    <w:rsid w:val="5F15383C"/>
    <w:rsid w:val="60340051"/>
    <w:rsid w:val="60700533"/>
    <w:rsid w:val="607466A0"/>
    <w:rsid w:val="614442C4"/>
    <w:rsid w:val="63A3791B"/>
    <w:rsid w:val="63DB0104"/>
    <w:rsid w:val="65164135"/>
    <w:rsid w:val="675A7174"/>
    <w:rsid w:val="6A150036"/>
    <w:rsid w:val="6B874D63"/>
    <w:rsid w:val="6C477AB2"/>
    <w:rsid w:val="6C6E1D56"/>
    <w:rsid w:val="6CDE55B7"/>
    <w:rsid w:val="6FAD4C22"/>
    <w:rsid w:val="6FE566FB"/>
    <w:rsid w:val="70F532F2"/>
    <w:rsid w:val="721343A3"/>
    <w:rsid w:val="72FB7AC1"/>
    <w:rsid w:val="749C31FD"/>
    <w:rsid w:val="75D43102"/>
    <w:rsid w:val="761738EE"/>
    <w:rsid w:val="76AC673B"/>
    <w:rsid w:val="77B86FFA"/>
    <w:rsid w:val="77CA3F36"/>
    <w:rsid w:val="784366A7"/>
    <w:rsid w:val="788F37AE"/>
    <w:rsid w:val="78D67AA0"/>
    <w:rsid w:val="7BD04C7A"/>
    <w:rsid w:val="7DCC3FD1"/>
    <w:rsid w:val="7FEC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0"/>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5"/>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6">
    <w:name w:val="Body Text Indent 2"/>
    <w:basedOn w:val="1"/>
    <w:link w:val="16"/>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正文文本缩进 Char"/>
    <w:link w:val="5"/>
    <w:qFormat/>
    <w:uiPriority w:val="0"/>
    <w:rPr>
      <w:rFonts w:ascii="汉仪书宋二简" w:hAnsi="汉仪书宋二简" w:eastAsia="汉仪书宋二简"/>
      <w:spacing w:val="20"/>
      <w:w w:val="110"/>
      <w:kern w:val="10"/>
      <w:sz w:val="23"/>
      <w:szCs w:val="23"/>
    </w:rPr>
  </w:style>
  <w:style w:type="character" w:customStyle="1" w:styleId="16">
    <w:name w:val="正文文本缩进 2 Char"/>
    <w:link w:val="6"/>
    <w:qFormat/>
    <w:uiPriority w:val="0"/>
    <w:rPr>
      <w:rFonts w:ascii="汉仪书宋二简" w:hAnsi="汉仪书宋二简" w:eastAsia="汉仪书宋二简"/>
      <w:spacing w:val="20"/>
      <w:w w:val="110"/>
      <w:kern w:val="10"/>
      <w:sz w:val="23"/>
      <w:szCs w:val="23"/>
    </w:rPr>
  </w:style>
  <w:style w:type="paragraph" w:styleId="17">
    <w:name w:val="List Paragraph"/>
    <w:basedOn w:val="1"/>
    <w:qFormat/>
    <w:uiPriority w:val="99"/>
    <w:pPr>
      <w:ind w:firstLine="420" w:firstLineChars="200"/>
    </w:pPr>
  </w:style>
  <w:style w:type="character" w:customStyle="1" w:styleId="18">
    <w:name w:val="标题 1 Char"/>
    <w:link w:val="2"/>
    <w:qFormat/>
    <w:uiPriority w:val="0"/>
    <w:rPr>
      <w:b/>
      <w:kern w:val="44"/>
      <w:sz w:val="44"/>
    </w:rPr>
  </w:style>
  <w:style w:type="character" w:customStyle="1" w:styleId="19">
    <w:name w:val="标题 2 Char"/>
    <w:link w:val="3"/>
    <w:qFormat/>
    <w:uiPriority w:val="0"/>
    <w:rPr>
      <w:rFonts w:ascii="Arial" w:hAnsi="Arial" w:eastAsia="黑体"/>
      <w:b/>
      <w:sz w:val="32"/>
    </w:rPr>
  </w:style>
  <w:style w:type="character" w:customStyle="1" w:styleId="20">
    <w:name w:val="标题 3 Char"/>
    <w:link w:val="4"/>
    <w:qFormat/>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3439</Words>
  <Characters>3702</Characters>
  <Lines>6</Lines>
  <Paragraphs>6</Paragraphs>
  <TotalTime>18</TotalTime>
  <ScaleCrop>false</ScaleCrop>
  <LinksUpToDate>false</LinksUpToDate>
  <CharactersWithSpaces>3703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Luna</cp:lastModifiedBy>
  <cp:lastPrinted>2020-09-02T08:09:00Z</cp:lastPrinted>
  <dcterms:modified xsi:type="dcterms:W3CDTF">2022-04-18T10:30:02Z</dcterms:modified>
  <dc:title>深圳市土地使用权出让公告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0BC752E362C94458B53AFB434C949C67</vt:lpwstr>
  </property>
</Properties>
</file>