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560" w:lineRule="exact"/>
        <w:rPr>
          <w:rFonts w:ascii="Times New Roman" w:hAnsi="Times New Roman" w:eastAsia="黑体"/>
        </w:rPr>
      </w:pPr>
      <w:bookmarkStart w:id="0" w:name="_GoBack"/>
      <w:bookmarkEnd w:id="0"/>
      <w:r>
        <w:rPr>
          <w:rFonts w:hint="eastAsia" w:ascii="黑体" w:hAnsi="黑体" w:eastAsia="黑体" w:cs="黑体"/>
          <w:kern w:val="36"/>
          <w:sz w:val="32"/>
          <w:szCs w:val="32"/>
        </w:rPr>
        <w:t>附件</w:t>
      </w:r>
    </w:p>
    <w:p>
      <w:pPr>
        <w:pStyle w:val="2"/>
        <w:ind w:firstLine="560"/>
      </w:pPr>
    </w:p>
    <w:p>
      <w:pPr>
        <w:pStyle w:val="2"/>
        <w:spacing w:line="560" w:lineRule="exact"/>
        <w:ind w:firstLine="560"/>
      </w:pPr>
    </w:p>
    <w:p>
      <w:pPr>
        <w:overflowPunct w:val="0"/>
        <w:adjustRightInd w:val="0"/>
        <w:snapToGrid w:val="0"/>
        <w:spacing w:line="560" w:lineRule="exact"/>
        <w:jc w:val="center"/>
        <w:rPr>
          <w:rFonts w:ascii="Times New Roman" w:hAnsi="Times New Roman" w:eastAsia="黑体"/>
        </w:rPr>
      </w:pPr>
    </w:p>
    <w:p>
      <w:pPr>
        <w:snapToGrid w:val="0"/>
        <w:spacing w:line="560" w:lineRule="exact"/>
        <w:jc w:val="center"/>
        <w:rPr>
          <w:rFonts w:ascii="黑体" w:hAnsi="黑体" w:eastAsia="黑体" w:cs="黑体"/>
          <w:b/>
          <w:bCs/>
          <w:sz w:val="52"/>
        </w:rPr>
      </w:pPr>
      <w:r>
        <w:rPr>
          <w:rFonts w:hint="eastAsia" w:ascii="黑体" w:hAnsi="黑体" w:eastAsia="黑体" w:cs="黑体"/>
          <w:b/>
          <w:bCs/>
          <w:sz w:val="52"/>
        </w:rPr>
        <w:t>深圳市产业</w:t>
      </w:r>
      <w:r>
        <w:rPr>
          <w:rFonts w:hint="eastAsia" w:ascii="黑体" w:hAnsi="黑体" w:eastAsia="黑体" w:cs="黑体"/>
          <w:b/>
          <w:bCs/>
          <w:sz w:val="52"/>
          <w:szCs w:val="52"/>
        </w:rPr>
        <w:t>发展监管协议</w:t>
      </w:r>
    </w:p>
    <w:p>
      <w:pPr>
        <w:pStyle w:val="2"/>
        <w:spacing w:line="560" w:lineRule="exact"/>
        <w:ind w:firstLine="560"/>
      </w:pPr>
    </w:p>
    <w:p>
      <w:pPr>
        <w:pStyle w:val="2"/>
        <w:spacing w:line="560" w:lineRule="exact"/>
        <w:ind w:firstLine="560"/>
      </w:pPr>
    </w:p>
    <w:p>
      <w:pPr>
        <w:snapToGrid w:val="0"/>
        <w:spacing w:line="560" w:lineRule="exact"/>
        <w:jc w:val="center"/>
        <w:rPr>
          <w:rFonts w:ascii="Times New Roman" w:hAnsi="Times New Roman" w:eastAsia="仿宋_GB2312"/>
          <w:b/>
          <w:bCs/>
          <w:sz w:val="32"/>
        </w:rPr>
      </w:pPr>
    </w:p>
    <w:p>
      <w:pPr>
        <w:snapToGrid w:val="0"/>
        <w:spacing w:line="560" w:lineRule="exact"/>
        <w:jc w:val="center"/>
        <w:rPr>
          <w:rFonts w:ascii="Times New Roman" w:hAnsi="Times New Roman" w:eastAsia="仿宋_GB2312"/>
          <w:b/>
          <w:bCs/>
          <w:sz w:val="32"/>
        </w:rPr>
      </w:pPr>
    </w:p>
    <w:p>
      <w:pPr>
        <w:snapToGrid w:val="0"/>
        <w:spacing w:line="560" w:lineRule="exact"/>
        <w:jc w:val="center"/>
        <w:rPr>
          <w:rFonts w:ascii="Times New Roman" w:hAnsi="Times New Roman" w:eastAsia="仿宋_GB2312"/>
          <w:b/>
          <w:bCs/>
          <w:sz w:val="32"/>
        </w:rPr>
      </w:pPr>
    </w:p>
    <w:p>
      <w:pPr>
        <w:snapToGrid w:val="0"/>
        <w:spacing w:line="560" w:lineRule="exact"/>
        <w:jc w:val="center"/>
        <w:rPr>
          <w:rFonts w:ascii="Times New Roman" w:hAnsi="Times New Roman" w:eastAsia="仿宋_GB2312"/>
          <w:b/>
          <w:bCs/>
          <w:sz w:val="32"/>
        </w:rPr>
      </w:pPr>
    </w:p>
    <w:p>
      <w:pPr>
        <w:spacing w:line="560" w:lineRule="exact"/>
        <w:ind w:firstLine="1108" w:firstLineChars="345"/>
        <w:rPr>
          <w:rFonts w:ascii="宋体" w:hAnsi="宋体" w:cs="宋体"/>
          <w:b/>
          <w:bCs/>
          <w:sz w:val="32"/>
          <w:u w:val="single"/>
        </w:rPr>
      </w:pPr>
      <w:r>
        <w:rPr>
          <w:rFonts w:hint="eastAsia" w:ascii="宋体" w:hAnsi="宋体" w:cs="宋体"/>
          <w:b/>
          <w:bCs/>
          <w:sz w:val="32"/>
        </w:rPr>
        <w:t>宗地编号：</w:t>
      </w:r>
    </w:p>
    <w:p>
      <w:pPr>
        <w:spacing w:line="560" w:lineRule="exact"/>
        <w:ind w:firstLine="1108" w:firstLineChars="345"/>
        <w:rPr>
          <w:rFonts w:ascii="黑体" w:hAnsi="黑体" w:eastAsia="黑体" w:cs="黑体"/>
          <w:b/>
          <w:bCs/>
          <w:sz w:val="32"/>
          <w:u w:val="single"/>
        </w:rPr>
      </w:pPr>
      <w:r>
        <w:rPr>
          <w:rFonts w:hint="eastAsia" w:ascii="宋体" w:hAnsi="宋体" w:cs="宋体"/>
          <w:b/>
          <w:bCs/>
          <w:sz w:val="32"/>
        </w:rPr>
        <w:t>准入产业：</w:t>
      </w:r>
      <w:r>
        <w:rPr>
          <w:rFonts w:hint="eastAsia" w:ascii="仿宋_GB2312" w:hAnsi="仿宋_GB2312" w:eastAsia="仿宋_GB2312" w:cs="仿宋_GB2312"/>
          <w:color w:val="040404"/>
          <w:kern w:val="0"/>
          <w:sz w:val="32"/>
          <w:szCs w:val="32"/>
          <w:u w:val="single"/>
        </w:rPr>
        <w:t>A01生物产业、A19先进制造业</w:t>
      </w:r>
    </w:p>
    <w:p>
      <w:pPr>
        <w:spacing w:line="560" w:lineRule="exact"/>
        <w:ind w:firstLine="1108" w:firstLineChars="345"/>
        <w:rPr>
          <w:rFonts w:ascii="仿宋_GB2312" w:hAnsi="仿宋_GB2312" w:eastAsia="仿宋_GB2312" w:cs="仿宋_GB2312"/>
          <w:b/>
          <w:bCs/>
          <w:sz w:val="32"/>
          <w:u w:val="single"/>
        </w:rPr>
      </w:pPr>
      <w:r>
        <w:rPr>
          <w:rFonts w:hint="eastAsia" w:ascii="宋体" w:hAnsi="宋体" w:cs="宋体"/>
          <w:b/>
          <w:bCs/>
          <w:sz w:val="32"/>
        </w:rPr>
        <w:t>项目名称：</w:t>
      </w:r>
      <w:r>
        <w:rPr>
          <w:rFonts w:hint="eastAsia" w:ascii="仿宋_GB2312" w:hAnsi="仿宋_GB2312" w:eastAsia="仿宋_GB2312" w:cs="仿宋_GB2312"/>
          <w:color w:val="040404"/>
          <w:kern w:val="0"/>
          <w:sz w:val="32"/>
          <w:szCs w:val="32"/>
          <w:u w:val="single"/>
        </w:rPr>
        <w:t>医疗器械标杆制造基地</w:t>
      </w:r>
    </w:p>
    <w:p>
      <w:pPr>
        <w:spacing w:line="560" w:lineRule="exact"/>
        <w:ind w:firstLine="1108" w:firstLineChars="345"/>
        <w:rPr>
          <w:rFonts w:ascii="黑体" w:hAnsi="黑体" w:eastAsia="黑体" w:cs="黑体"/>
          <w:b/>
          <w:bCs/>
          <w:sz w:val="32"/>
          <w:szCs w:val="32"/>
        </w:rPr>
      </w:pPr>
      <w:r>
        <w:rPr>
          <w:rFonts w:hint="eastAsia" w:ascii="宋体" w:hAnsi="宋体" w:cs="宋体"/>
          <w:b/>
          <w:bCs/>
          <w:sz w:val="32"/>
          <w:szCs w:val="32"/>
        </w:rPr>
        <w:t>土地出让合同编号：</w:t>
      </w:r>
      <w:r>
        <w:rPr>
          <w:rFonts w:hint="eastAsia" w:ascii="仿宋_GB2312" w:hAnsi="仿宋_GB2312" w:eastAsia="仿宋_GB2312" w:cs="仿宋_GB2312"/>
          <w:b/>
          <w:bCs/>
          <w:sz w:val="32"/>
          <w:szCs w:val="32"/>
        </w:rPr>
        <w:t>（以土地出让合同为准）</w:t>
      </w:r>
    </w:p>
    <w:p>
      <w:pPr>
        <w:snapToGrid w:val="0"/>
        <w:spacing w:line="560" w:lineRule="exact"/>
        <w:rPr>
          <w:rFonts w:ascii="Times New Roman" w:hAnsi="Times New Roman" w:eastAsia="黑体"/>
          <w:sz w:val="32"/>
        </w:rPr>
      </w:pPr>
    </w:p>
    <w:p>
      <w:pPr>
        <w:pStyle w:val="2"/>
        <w:spacing w:line="560" w:lineRule="exact"/>
        <w:ind w:firstLine="0" w:firstLineChars="0"/>
        <w:rPr>
          <w:rFonts w:ascii="Times New Roman" w:hAnsi="Times New Roman" w:eastAsia="黑体"/>
          <w:sz w:val="32"/>
        </w:rPr>
      </w:pPr>
    </w:p>
    <w:p>
      <w:pPr>
        <w:pStyle w:val="2"/>
        <w:spacing w:line="560" w:lineRule="exact"/>
        <w:ind w:firstLine="0" w:firstLineChars="0"/>
        <w:rPr>
          <w:rFonts w:ascii="Times New Roman" w:hAnsi="Times New Roman" w:eastAsia="黑体"/>
          <w:sz w:val="32"/>
        </w:rPr>
      </w:pPr>
    </w:p>
    <w:p>
      <w:pPr>
        <w:snapToGrid w:val="0"/>
        <w:spacing w:after="0" w:line="560" w:lineRule="exact"/>
        <w:jc w:val="center"/>
        <w:rPr>
          <w:rFonts w:ascii="仿宋_GB2312" w:hAnsi="仿宋_GB2312" w:eastAsia="方正小标宋简体" w:cs="方正小标宋简体"/>
          <w:bCs/>
          <w:sz w:val="44"/>
          <w:szCs w:val="44"/>
        </w:rPr>
      </w:pPr>
      <w:r>
        <w:rPr>
          <w:rFonts w:hint="eastAsia" w:ascii="仿宋_GB2312" w:hAnsi="仿宋_GB2312" w:eastAsia="方正小标宋简体" w:cs="方正小标宋简体"/>
          <w:bCs/>
          <w:sz w:val="44"/>
          <w:szCs w:val="44"/>
        </w:rPr>
        <w:t>深圳市产业发展监管协议</w:t>
      </w:r>
    </w:p>
    <w:p>
      <w:pPr>
        <w:snapToGrid w:val="0"/>
        <w:spacing w:after="0" w:line="560" w:lineRule="exact"/>
        <w:rPr>
          <w:rFonts w:ascii="仿宋_GB2312" w:hAnsi="仿宋_GB2312" w:eastAsia="黑体"/>
          <w:b/>
          <w:bCs/>
          <w:sz w:val="30"/>
          <w:szCs w:val="30"/>
        </w:rPr>
      </w:pPr>
    </w:p>
    <w:p>
      <w:pPr>
        <w:overflowPunct w:val="0"/>
        <w:spacing w:after="0" w:line="560" w:lineRule="exact"/>
        <w:ind w:firstLine="640" w:firstLineChars="200"/>
        <w:rPr>
          <w:rFonts w:ascii="仿宋_GB2312" w:hAnsi="仿宋_GB2312" w:eastAsia="黑体"/>
          <w:sz w:val="32"/>
          <w:szCs w:val="32"/>
        </w:rPr>
      </w:pPr>
      <w:r>
        <w:rPr>
          <w:rFonts w:hint="eastAsia" w:ascii="仿宋_GB2312" w:hAnsi="仿宋_GB2312" w:eastAsia="黑体"/>
          <w:sz w:val="32"/>
          <w:szCs w:val="32"/>
        </w:rPr>
        <w:t>一、本协议双方当事人</w:t>
      </w:r>
    </w:p>
    <w:p>
      <w:pPr>
        <w:overflowPunct w:val="0"/>
        <w:spacing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甲方：</w:t>
      </w:r>
    </w:p>
    <w:p>
      <w:pPr>
        <w:overflowPunct w:val="0"/>
        <w:spacing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p>
    <w:p>
      <w:pPr>
        <w:overflowPunct w:val="0"/>
        <w:spacing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                身份证号码：</w:t>
      </w:r>
    </w:p>
    <w:p>
      <w:pPr>
        <w:overflowPunct w:val="0"/>
        <w:spacing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职务：                      联系电话：</w:t>
      </w:r>
    </w:p>
    <w:p>
      <w:pPr>
        <w:overflowPunct w:val="0"/>
        <w:spacing w:after="0" w:line="560" w:lineRule="exact"/>
        <w:ind w:firstLine="640" w:firstLineChars="200"/>
        <w:rPr>
          <w:rFonts w:ascii="仿宋_GB2312" w:hAnsi="仿宋_GB2312" w:eastAsia="仿宋" w:cs="仿宋"/>
          <w:sz w:val="32"/>
          <w:szCs w:val="32"/>
        </w:rPr>
      </w:pPr>
    </w:p>
    <w:p>
      <w:pPr>
        <w:overflowPunct w:val="0"/>
        <w:spacing w:after="0" w:line="560" w:lineRule="exact"/>
        <w:ind w:left="638" w:leftChars="304"/>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乙方（土地竞得人/土地竞买申请人）：</w:t>
      </w:r>
    </w:p>
    <w:p>
      <w:pPr>
        <w:overflowPunct w:val="0"/>
        <w:spacing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p>
    <w:p>
      <w:pPr>
        <w:overflowPunct w:val="0"/>
        <w:spacing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统一社会信用代码：</w:t>
      </w:r>
    </w:p>
    <w:p>
      <w:pPr>
        <w:overflowPunct w:val="0"/>
        <w:spacing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                 身份证号码：</w:t>
      </w:r>
    </w:p>
    <w:p>
      <w:pPr>
        <w:overflowPunct w:val="0"/>
        <w:spacing w:after="0" w:line="560" w:lineRule="exact"/>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职务：                       联系电话：</w:t>
      </w:r>
    </w:p>
    <w:p>
      <w:pPr>
        <w:pStyle w:val="6"/>
        <w:overflowPunct w:val="0"/>
        <w:spacing w:after="0" w:line="560" w:lineRule="exact"/>
        <w:ind w:firstLine="640" w:firstLineChars="200"/>
        <w:rPr>
          <w:rFonts w:ascii="仿宋_GB2312" w:hAnsi="仿宋_GB2312" w:eastAsia="仿宋_GB2312" w:cs="仿宋_GB2312"/>
          <w:szCs w:val="32"/>
        </w:rPr>
      </w:pPr>
    </w:p>
    <w:p>
      <w:pPr>
        <w:pStyle w:val="6"/>
        <w:overflowPunct w:val="0"/>
        <w:spacing w:after="0"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为切实履行《深圳市土地使用权出让公告》（深土交告〔      〕    号）要求，根据《深圳市工业及其他产业用地供应管理办法》（深府规〔2019〕4号）（以下简称《管理办法》）的有关规定及已公示的《医疗器械标杆制造基地重点产业项目遴选方案》，经甲乙双方同意，订立此协议。</w:t>
      </w:r>
    </w:p>
    <w:p>
      <w:pPr>
        <w:numPr>
          <w:ilvl w:val="0"/>
          <w:numId w:val="1"/>
        </w:numPr>
        <w:overflowPunct w:val="0"/>
        <w:spacing w:after="0" w:line="560" w:lineRule="exact"/>
        <w:ind w:left="0" w:firstLine="640" w:firstLineChars="200"/>
        <w:rPr>
          <w:rFonts w:ascii="仿宋_GB2312" w:hAnsi="仿宋_GB2312" w:eastAsia="黑体"/>
          <w:bCs/>
          <w:sz w:val="32"/>
          <w:szCs w:val="32"/>
        </w:rPr>
      </w:pPr>
      <w:r>
        <w:rPr>
          <w:rFonts w:hint="eastAsia" w:ascii="仿宋_GB2312" w:hAnsi="仿宋_GB2312" w:eastAsia="黑体"/>
          <w:bCs/>
          <w:sz w:val="32"/>
          <w:szCs w:val="32"/>
        </w:rPr>
        <w:t>地块及项目基本情况</w:t>
      </w:r>
    </w:p>
    <w:p>
      <w:pPr>
        <w:overflowPunct w:val="0"/>
        <w:spacing w:after="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宗地编号：</w:t>
      </w:r>
    </w:p>
    <w:p>
      <w:pPr>
        <w:overflowPunct w:val="0"/>
        <w:spacing w:after="0" w:line="560" w:lineRule="exact"/>
        <w:ind w:firstLine="640" w:firstLineChars="200"/>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土地位置：</w:t>
      </w:r>
    </w:p>
    <w:p>
      <w:pPr>
        <w:overflowPunct w:val="0"/>
        <w:spacing w:after="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土地用途：</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rPr>
        <w:t>总用地面积（平方米）：</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rPr>
        <w:t>总建筑面积（平方米）：</w:t>
      </w:r>
    </w:p>
    <w:p>
      <w:pPr>
        <w:overflowPunct w:val="0"/>
        <w:spacing w:after="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土地使用年期（年）：30年</w:t>
      </w:r>
    </w:p>
    <w:p>
      <w:pPr>
        <w:overflowPunct w:val="0"/>
        <w:spacing w:after="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项目名称：医疗器械标杆制造基地</w:t>
      </w:r>
    </w:p>
    <w:p>
      <w:pPr>
        <w:overflowPunct w:val="0"/>
        <w:spacing w:after="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准入条件：</w:t>
      </w:r>
    </w:p>
    <w:p>
      <w:pPr>
        <w:numPr>
          <w:ilvl w:val="0"/>
          <w:numId w:val="2"/>
        </w:num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楷体_GB2312" w:cs="楷体_GB2312"/>
          <w:sz w:val="32"/>
          <w:szCs w:val="32"/>
        </w:rPr>
        <w:t>产业准入类别</w:t>
      </w:r>
      <w:r>
        <w:rPr>
          <w:rFonts w:hint="eastAsia" w:ascii="仿宋_GB2312" w:hAnsi="仿宋_GB2312" w:eastAsia="仿宋_GB2312" w:cs="仿宋_GB2312"/>
          <w:sz w:val="32"/>
          <w:szCs w:val="32"/>
        </w:rPr>
        <w:t>：《深圳市产业结构调整优化和产业导向目录（2016年修订）》中鼓励发展类</w:t>
      </w:r>
      <w:r>
        <w:rPr>
          <w:rFonts w:hint="eastAsia" w:ascii="仿宋_GB2312" w:hAnsi="仿宋_GB2312" w:eastAsia="仿宋_GB2312" w:cs="仿宋_GB2312"/>
          <w:kern w:val="0"/>
          <w:sz w:val="32"/>
          <w:szCs w:val="32"/>
        </w:rPr>
        <w:t>A01生物产业中的</w:t>
      </w:r>
      <w:r>
        <w:rPr>
          <w:rFonts w:ascii="仿宋_GB2312" w:hAnsi="仿宋_GB2312" w:eastAsia="仿宋_GB2312" w:cs="仿宋_GB2312"/>
          <w:kern w:val="0"/>
          <w:sz w:val="32"/>
          <w:szCs w:val="32"/>
        </w:rPr>
        <w:t>A0111</w:t>
      </w:r>
      <w:r>
        <w:rPr>
          <w:rFonts w:hint="eastAsia" w:ascii="仿宋_GB2312" w:hAnsi="仿宋_GB2312" w:eastAsia="仿宋_GB2312" w:cs="仿宋_GB2312"/>
          <w:kern w:val="0"/>
          <w:sz w:val="32"/>
          <w:szCs w:val="32"/>
        </w:rPr>
        <w:t>“临床诊断的新型数字成像技术，多模态医学影像融合成像与处理技术，专用新型彩色超声诊断技术与高性能超声诊断设备，人体内窥镜的微型摄像技术与高清柔性电子内窥镜设备”和</w:t>
      </w:r>
      <w:r>
        <w:rPr>
          <w:rFonts w:ascii="仿宋_GB2312" w:hAnsi="仿宋_GB2312" w:eastAsia="仿宋_GB2312" w:cs="仿宋_GB2312"/>
          <w:kern w:val="0"/>
          <w:sz w:val="32"/>
          <w:szCs w:val="32"/>
        </w:rPr>
        <w:t>A0117</w:t>
      </w:r>
      <w:r>
        <w:rPr>
          <w:rFonts w:hint="eastAsia" w:ascii="仿宋_GB2312" w:hAnsi="仿宋_GB2312" w:eastAsia="仿宋_GB2312" w:cs="仿宋_GB2312"/>
          <w:kern w:val="0"/>
          <w:sz w:val="32"/>
          <w:szCs w:val="32"/>
        </w:rPr>
        <w:t>“各类有创及无创呼吸机，持续血液净化系统，血液透析机，腹膜透析机，人工肝治疗仪，血液灌流、血浆吸附及血浆置换设备和耗材，人工心肺机，左心辅助装置，自动除颤器等生命支持设</w:t>
      </w:r>
      <w:r>
        <w:rPr>
          <w:rFonts w:hint="eastAsia" w:ascii="仿宋_GB2312" w:hAnsi="仿宋_GB2312" w:eastAsia="仿宋_GB2312" w:cs="仿宋_GB2312"/>
          <w:sz w:val="32"/>
          <w:szCs w:val="32"/>
        </w:rPr>
        <w:t>备、专科治疗设备”以及A19先进制造业中的A1912“电子测量和电工仪表、专业仪表、医疗器械”和A1929“基因组学检测技术到产品的转化平台、诊断检测仪器和试剂制造平台”。</w:t>
      </w:r>
    </w:p>
    <w:p>
      <w:pPr>
        <w:overflowPunct w:val="0"/>
        <w:spacing w:after="0" w:line="560" w:lineRule="exact"/>
        <w:ind w:firstLine="640" w:firstLineChars="200"/>
        <w:rPr>
          <w:rFonts w:ascii="仿宋_GB2312" w:hAnsi="仿宋_GB2312" w:eastAsia="仿宋_GB2312" w:cs="仿宋_GB2312"/>
          <w:sz w:val="32"/>
          <w:szCs w:val="32"/>
          <w:u w:val="single"/>
        </w:rPr>
      </w:pPr>
      <w:r>
        <w:rPr>
          <w:rFonts w:hint="eastAsia" w:ascii="楷体_GB2312" w:hAnsi="楷体_GB2312" w:eastAsia="楷体_GB2312" w:cs="楷体_GB2312"/>
          <w:sz w:val="32"/>
          <w:szCs w:val="32"/>
        </w:rPr>
        <w:t>（二）</w:t>
      </w:r>
      <w:r>
        <w:rPr>
          <w:rFonts w:hint="eastAsia" w:ascii="仿宋_GB2312" w:hAnsi="仿宋_GB2312" w:eastAsia="楷体_GB2312"/>
          <w:sz w:val="32"/>
          <w:szCs w:val="32"/>
        </w:rPr>
        <w:t>企业注册地：</w:t>
      </w:r>
      <w:r>
        <w:rPr>
          <w:rFonts w:hint="eastAsia" w:ascii="仿宋_GB2312" w:hAnsi="仿宋_GB2312" w:eastAsia="仿宋_GB2312" w:cs="仿宋_GB2312"/>
          <w:sz w:val="32"/>
          <w:szCs w:val="32"/>
        </w:rPr>
        <w:t>在深圳市注册的企业法人。</w:t>
      </w:r>
    </w:p>
    <w:p>
      <w:pPr>
        <w:overflowPunct w:val="0"/>
        <w:spacing w:after="0"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楷体_GB2312"/>
          <w:sz w:val="32"/>
          <w:szCs w:val="32"/>
        </w:rPr>
        <w:t>（三）生产技术：</w:t>
      </w:r>
      <w:r>
        <w:rPr>
          <w:rFonts w:hint="eastAsia" w:ascii="仿宋_GB2312" w:hAnsi="仿宋_GB2312" w:eastAsia="仿宋_GB2312" w:cs="仿宋_GB2312"/>
          <w:sz w:val="32"/>
          <w:szCs w:val="32"/>
        </w:rPr>
        <w:t>乙方具备国家高新技术企业资质，获得国家科技进步奖或国家技术发明奖等荣誉。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楷体_GB2312"/>
          <w:sz w:val="32"/>
          <w:szCs w:val="32"/>
        </w:rPr>
        <w:t>（四）产业标准及产品品质：</w:t>
      </w:r>
      <w:r>
        <w:rPr>
          <w:rFonts w:hint="eastAsia" w:ascii="仿宋_GB2312" w:hAnsi="仿宋_GB2312" w:eastAsia="仿宋_GB2312" w:cs="仿宋_GB2312"/>
          <w:sz w:val="32"/>
          <w:szCs w:val="32"/>
        </w:rPr>
        <w:t>乙方产品通过ISO9001/EN46001质量体系认证，通过中国医疗器械质量认证中心（CMDC）认证、欧盟CE认证、美国FDA认证，并通过美国FDA复检。</w:t>
      </w:r>
    </w:p>
    <w:p>
      <w:pPr>
        <w:pStyle w:val="6"/>
        <w:overflowPunct w:val="0"/>
        <w:spacing w:after="0" w:line="560" w:lineRule="exact"/>
        <w:ind w:firstLine="640" w:firstLineChars="200"/>
        <w:rPr>
          <w:rFonts w:ascii="仿宋_GB2312" w:hAnsi="仿宋_GB2312" w:eastAsia="黑体"/>
          <w:szCs w:val="32"/>
        </w:rPr>
      </w:pPr>
      <w:r>
        <w:rPr>
          <w:rFonts w:hint="eastAsia" w:ascii="仿宋_GB2312" w:hAnsi="仿宋_GB2312" w:eastAsia="黑体"/>
          <w:szCs w:val="32"/>
        </w:rPr>
        <w:t>三、甲方权利和义务</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楷体_GB2312"/>
          <w:sz w:val="32"/>
          <w:szCs w:val="32"/>
        </w:rPr>
        <w:t>（一）</w:t>
      </w:r>
      <w:r>
        <w:rPr>
          <w:rFonts w:hint="eastAsia" w:ascii="仿宋_GB2312" w:hAnsi="仿宋_GB2312" w:eastAsia="仿宋_GB2312" w:cs="仿宋_GB2312"/>
          <w:sz w:val="32"/>
          <w:szCs w:val="32"/>
        </w:rPr>
        <w:t>甲方应根据深圳市产业政策和发展要求，为产业用地项目提供指导性服务。</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楷体_GB2312"/>
          <w:sz w:val="32"/>
          <w:szCs w:val="32"/>
        </w:rPr>
        <w:t>（二）</w:t>
      </w:r>
      <w:r>
        <w:rPr>
          <w:rFonts w:hint="eastAsia" w:ascii="仿宋_GB2312" w:hAnsi="仿宋_GB2312" w:eastAsia="仿宋_GB2312" w:cs="仿宋_GB2312"/>
          <w:sz w:val="32"/>
          <w:szCs w:val="32"/>
        </w:rPr>
        <w:t>工业及其他产业用地实行“全方位、全年限”和多部门联动的监管机制。甲方应当对协议约定事项的履行情况进行阶段性核查，即在项目建成投产当年、每5年</w:t>
      </w:r>
      <w:r>
        <w:rPr>
          <w:rFonts w:hint="eastAsia" w:ascii="仿宋_GB2312" w:hAnsi="仿宋_GB2312" w:eastAsia="仿宋_GB2312" w:cs="仿宋_GB2312"/>
          <w:kern w:val="0"/>
          <w:sz w:val="32"/>
          <w:szCs w:val="32"/>
        </w:rPr>
        <w:t>（含投产当年）</w:t>
      </w:r>
      <w:r>
        <w:rPr>
          <w:rFonts w:hint="eastAsia" w:ascii="仿宋_GB2312" w:hAnsi="仿宋_GB2312" w:eastAsia="仿宋_GB2312" w:cs="仿宋_GB2312"/>
          <w:sz w:val="32"/>
          <w:szCs w:val="32"/>
        </w:rPr>
        <w:t>及出让年期届满前1年进行核查。甲方可以根据项目情况，不定期核查乙方履行本协议约定事项的情况。经核查，乙方未能达到本协议书所约定事项要求的，甲方可责令乙方限期改正或按照本协议书违约责任的约定进行责任追究。甲方可委托相关专业机构代为主张权利或履行义务。</w:t>
      </w:r>
    </w:p>
    <w:p>
      <w:pPr>
        <w:pStyle w:val="2"/>
        <w:spacing w:after="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（三）甲方可委托区政府对协议约定事项进行核查和监管。</w:t>
      </w:r>
    </w:p>
    <w:p>
      <w:pPr>
        <w:widowControl/>
        <w:spacing w:after="0" w:line="560" w:lineRule="exact"/>
        <w:ind w:firstLine="645"/>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ascii="Times New Roman" w:hAnsi="Times New Roman" w:eastAsia="仿宋_GB2312"/>
          <w:sz w:val="32"/>
          <w:szCs w:val="32"/>
        </w:rPr>
        <w:t>乙方因人民法院强制执行拍卖或者变卖建设用地使用权的，次受让人应当符合原</w:t>
      </w:r>
      <w:r>
        <w:rPr>
          <w:rFonts w:hint="eastAsia" w:ascii="Times New Roman" w:hAnsi="Times New Roman" w:eastAsia="仿宋_GB2312"/>
          <w:sz w:val="32"/>
          <w:szCs w:val="32"/>
        </w:rPr>
        <w:t>土地出让合同</w:t>
      </w:r>
      <w:r>
        <w:rPr>
          <w:rFonts w:ascii="Times New Roman" w:hAnsi="Times New Roman" w:eastAsia="仿宋_GB2312"/>
          <w:sz w:val="32"/>
          <w:szCs w:val="32"/>
        </w:rPr>
        <w:t>中限定的受让人资格条件，并应当承接原国有建设用地使用权出让合同及本产业发展协议规定的受让人责任及义务。人民法院强制执行又无符合条件的次受让人的，其建设用地使用权及地上建（构）筑物可由龙</w:t>
      </w:r>
      <w:r>
        <w:rPr>
          <w:rFonts w:hint="eastAsia" w:ascii="Times New Roman" w:hAnsi="Times New Roman" w:eastAsia="仿宋_GB2312"/>
          <w:sz w:val="32"/>
          <w:szCs w:val="32"/>
        </w:rPr>
        <w:t>华</w:t>
      </w:r>
      <w:r>
        <w:rPr>
          <w:rFonts w:ascii="Times New Roman" w:hAnsi="Times New Roman" w:eastAsia="仿宋_GB2312"/>
          <w:sz w:val="32"/>
          <w:szCs w:val="32"/>
        </w:rPr>
        <w:t>区政府优先回购</w:t>
      </w:r>
      <w:r>
        <w:rPr>
          <w:rFonts w:hint="eastAsia" w:ascii="Times New Roman" w:hAnsi="Times New Roman" w:eastAsia="仿宋_GB2312"/>
          <w:sz w:val="32"/>
          <w:szCs w:val="32"/>
        </w:rPr>
        <w:t>，回购价不高于土地剩余年期残值与</w:t>
      </w:r>
      <w:r>
        <w:rPr>
          <w:rFonts w:ascii="Times New Roman" w:hAnsi="Times New Roman" w:eastAsia="仿宋_GB2312"/>
          <w:sz w:val="32"/>
          <w:szCs w:val="32"/>
        </w:rPr>
        <w:t>地上建（构）筑物</w:t>
      </w:r>
      <w:r>
        <w:rPr>
          <w:rFonts w:hint="eastAsia" w:ascii="Times New Roman" w:hAnsi="Times New Roman" w:eastAsia="仿宋_GB2312"/>
          <w:sz w:val="32"/>
          <w:szCs w:val="32"/>
        </w:rPr>
        <w:t>评估价之和。</w:t>
      </w:r>
    </w:p>
    <w:p>
      <w:pPr>
        <w:overflowPunct w:val="0"/>
        <w:spacing w:after="0" w:line="560" w:lineRule="exact"/>
        <w:ind w:firstLine="640" w:firstLineChars="200"/>
        <w:rPr>
          <w:rFonts w:ascii="仿宋_GB2312" w:hAnsi="仿宋_GB2312" w:eastAsia="黑体"/>
          <w:bCs/>
          <w:sz w:val="32"/>
          <w:szCs w:val="32"/>
        </w:rPr>
      </w:pPr>
      <w:r>
        <w:rPr>
          <w:rFonts w:hint="eastAsia" w:ascii="仿宋_GB2312" w:hAnsi="仿宋_GB2312" w:eastAsia="黑体"/>
          <w:bCs/>
          <w:sz w:val="32"/>
          <w:szCs w:val="32"/>
        </w:rPr>
        <w:t>四、乙方权利和义务</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楷体_GB2312"/>
          <w:sz w:val="32"/>
          <w:szCs w:val="32"/>
        </w:rPr>
        <w:t>（一）</w:t>
      </w:r>
      <w:r>
        <w:rPr>
          <w:rFonts w:hint="eastAsia" w:ascii="仿宋_GB2312" w:hAnsi="仿宋_GB2312" w:eastAsia="仿宋_GB2312" w:cs="仿宋_GB2312"/>
          <w:sz w:val="32"/>
          <w:szCs w:val="32"/>
        </w:rPr>
        <w:t>乙方应当遵循《管理办法》的规定，按期全面履行本协议承诺和有关约定，积极推进医疗器械标杆制造基地重点产业项目的投资建设。</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楷体_GB2312"/>
          <w:sz w:val="32"/>
          <w:szCs w:val="32"/>
        </w:rPr>
        <w:t>（二）</w:t>
      </w:r>
      <w:r>
        <w:rPr>
          <w:rFonts w:hint="eastAsia" w:ascii="仿宋_GB2312" w:hAnsi="仿宋_GB2312" w:eastAsia="仿宋_GB2312" w:cs="仿宋_GB2312"/>
          <w:sz w:val="32"/>
          <w:szCs w:val="32"/>
        </w:rPr>
        <w:t>乙方竞买取得的上述地块只能用于医疗器械标杆制造基地重点产业项目建设。</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（三）乙方承诺</w:t>
      </w:r>
    </w:p>
    <w:p>
      <w:pPr>
        <w:pStyle w:val="27"/>
        <w:overflowPunct w:val="0"/>
        <w:spacing w:after="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力争到2030年全市产值达1000亿元（含深圳迈瑞生物医疗电子股份有限公司、深圳迈瑞科技有限公司、深圳迈瑞动物医疗科技有限公司），并达成以下目标：</w:t>
      </w:r>
    </w:p>
    <w:p>
      <w:pPr>
        <w:pStyle w:val="27"/>
        <w:overflowPunct w:val="0"/>
        <w:spacing w:after="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1.乙方在2022年6月30日前开工建设，202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年内全部建成投产。</w:t>
      </w:r>
    </w:p>
    <w:p>
      <w:pPr>
        <w:pStyle w:val="27"/>
        <w:overflowPunct w:val="0"/>
        <w:spacing w:after="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2.乙方上述项目总投资额不低于195000万元，固定资产投资强度（项目用地范围内单位土地面积纳统固定资产投资额，包括厂房、设备和地价款）不低于</w:t>
      </w:r>
      <w:r>
        <w:rPr>
          <w:rFonts w:ascii="仿宋_GB2312" w:hAnsi="仿宋_GB2312" w:eastAsia="仿宋_GB2312" w:cs="仿宋_GB2312"/>
          <w:sz w:val="32"/>
          <w:szCs w:val="32"/>
        </w:rPr>
        <w:t>15800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/公顷</w:t>
      </w:r>
      <w:r>
        <w:rPr>
          <w:rFonts w:hint="eastAsia" w:ascii="仿宋_GB2312" w:hAnsi="仿宋_GB2312" w:eastAsia="仿宋_GB2312" w:cs="仿宋_GB2312"/>
          <w:sz w:val="32"/>
          <w:szCs w:val="32"/>
        </w:rPr>
        <w:t>。</w:t>
      </w:r>
    </w:p>
    <w:p>
      <w:pPr>
        <w:pStyle w:val="27"/>
        <w:overflowPunct w:val="0"/>
        <w:spacing w:after="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3.乙方上述项目投产后增加值能耗（单位增加值的能耗量）每年均不高于0.05吨标准煤/万元。</w:t>
      </w:r>
    </w:p>
    <w:p>
      <w:pPr>
        <w:pStyle w:val="27"/>
        <w:overflowPunct w:val="0"/>
        <w:spacing w:after="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4.乙方在签署土地出让合同的当年起至2025年在深圳市累计产值不低于1016.94亿元，增加值不低于471.31亿元。</w:t>
      </w:r>
    </w:p>
    <w:p>
      <w:pPr>
        <w:pStyle w:val="27"/>
        <w:spacing w:after="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5.乙方在本项目建成投产后当年起，至出让年限届满前一年止，以5年为周期，第一个周期在深圳市累计产值不低于2356.25亿元，增加值不低于1100.06亿元，后续周期</w:t>
      </w:r>
      <w:r>
        <w:rPr>
          <w:rFonts w:hint="eastAsia" w:ascii="仿宋_GB2312" w:hAnsi="仿宋_GB2312" w:eastAsia="仿宋_GB2312" w:cs="仿宋_GB2312"/>
          <w:kern w:val="0"/>
          <w:sz w:val="32"/>
          <w:szCs w:val="32"/>
        </w:rPr>
        <w:t>应保持相对稳定。</w:t>
      </w:r>
    </w:p>
    <w:p>
      <w:pPr>
        <w:pStyle w:val="27"/>
        <w:spacing w:after="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6.乙方在深圳市纳税额2022-2025年累计不低于95.06亿元，2026-2030年累计不低于220.12亿元。</w:t>
      </w:r>
    </w:p>
    <w:p>
      <w:pPr>
        <w:pStyle w:val="27"/>
        <w:spacing w:after="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7.乙方竞买获得的上述产业用地，建设用地使用权及建筑物100%的建筑面积在全年期内不得转让和出租。</w:t>
      </w:r>
    </w:p>
    <w:p>
      <w:pPr>
        <w:pStyle w:val="6"/>
        <w:overflowPunct w:val="0"/>
        <w:spacing w:after="0" w:line="560" w:lineRule="exact"/>
        <w:ind w:firstLine="640" w:firstLineChars="200"/>
        <w:rPr>
          <w:rFonts w:ascii="仿宋_GB2312" w:hAnsi="仿宋_GB2312" w:eastAsia="仿宋_GB2312" w:cs="仿宋_GB2312"/>
          <w:szCs w:val="32"/>
        </w:rPr>
      </w:pPr>
      <w:r>
        <w:rPr>
          <w:rFonts w:hint="eastAsia" w:ascii="仿宋_GB2312" w:hAnsi="仿宋_GB2312" w:eastAsia="楷体_GB2312"/>
          <w:szCs w:val="32"/>
        </w:rPr>
        <w:t>（四）</w:t>
      </w:r>
      <w:r>
        <w:rPr>
          <w:rFonts w:hint="eastAsia" w:ascii="仿宋_GB2312" w:hAnsi="仿宋_GB2312" w:eastAsia="仿宋_GB2312" w:cs="仿宋_GB2312"/>
          <w:szCs w:val="32"/>
        </w:rPr>
        <w:t>乙方在签订土地出让合同后，应按季度向甲方书面报告项目进展情况（包括主体及附属建筑工程进度、固定资产投资完成情况、总投资完成情况等），直至项目建成投产。乙方应在本协议第二条约定的投产期内投产，并在投产后30个自然日内向甲方备案。项目投产后，乙方应每年向甲方书面报告项目运营情况（包括纳税额、产值、增加值、项目土地产出率和增加值能耗等）。</w:t>
      </w:r>
    </w:p>
    <w:p>
      <w:pPr>
        <w:pStyle w:val="6"/>
        <w:overflowPunct w:val="0"/>
        <w:spacing w:after="0" w:line="560" w:lineRule="exact"/>
        <w:ind w:firstLine="640" w:firstLineChars="200"/>
        <w:rPr>
          <w:rFonts w:ascii="仿宋_GB2312" w:hAnsi="仿宋_GB2312" w:eastAsia="仿宋_GB2312" w:cs="仿宋_GB2312"/>
          <w:szCs w:val="32"/>
        </w:rPr>
      </w:pPr>
      <w:r>
        <w:rPr>
          <w:rFonts w:hint="eastAsia" w:ascii="仿宋_GB2312" w:hAnsi="仿宋_GB2312" w:eastAsia="楷体_GB2312"/>
          <w:kern w:val="2"/>
          <w:szCs w:val="32"/>
        </w:rPr>
        <w:t>（五）</w:t>
      </w:r>
      <w:r>
        <w:rPr>
          <w:rFonts w:hint="eastAsia" w:ascii="仿宋_GB2312" w:hAnsi="仿宋_GB2312" w:eastAsia="仿宋_GB2312" w:cs="仿宋_GB2312"/>
          <w:szCs w:val="32"/>
        </w:rPr>
        <w:t>乙方在项目投产当年后的30个自然日内，应就项目投资强度、纳统产值、增加值、纳税额履约情况向甲方提出阶段性核查申请，并向甲方提交项目投资额、纳统产值、增加值和纳税等证明材料。</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楷体_GB2312"/>
          <w:sz w:val="32"/>
          <w:szCs w:val="32"/>
        </w:rPr>
        <w:t>（六）</w:t>
      </w:r>
      <w:r>
        <w:rPr>
          <w:rFonts w:hint="eastAsia" w:ascii="仿宋_GB2312" w:hAnsi="仿宋_GB2312" w:eastAsia="仿宋_GB2312" w:cs="仿宋_GB2312"/>
          <w:kern w:val="0"/>
          <w:sz w:val="32"/>
          <w:szCs w:val="32"/>
        </w:rPr>
        <w:t>乙方在投产后（含投产当年）每5年、出让年期届满前1年等阶段后30个自然日内，乙方应就纳统产值、增加值、纳税额、土地产出率、增加值能耗履约情况向甲方提出阶段性核查申请，并向甲方提缴纳统产值、增加值、纳税、土地产出率、增加值能耗等证明材料。</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楷体_GB2312"/>
          <w:sz w:val="32"/>
          <w:szCs w:val="32"/>
        </w:rPr>
        <w:t>（七）</w:t>
      </w:r>
      <w:r>
        <w:rPr>
          <w:rFonts w:hint="eastAsia" w:ascii="仿宋_GB2312" w:hAnsi="仿宋_GB2312" w:eastAsia="仿宋_GB2312" w:cs="仿宋_GB2312"/>
          <w:sz w:val="32"/>
          <w:szCs w:val="32"/>
        </w:rPr>
        <w:t>原则上乙方在全年期内不得以股权转让或变更的方式变相转让建设用地使用权以及附着于该土地上的建筑物、构筑物及其附属设施。如因企业经营需要，在不导致企业控股权和实际控制权发生变更的前提下，乙方可先经甲方备案后进行股权调整。</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楷体_GB2312"/>
          <w:sz w:val="32"/>
          <w:szCs w:val="32"/>
        </w:rPr>
        <w:t>（八）</w:t>
      </w:r>
      <w:r>
        <w:rPr>
          <w:rFonts w:hint="eastAsia" w:ascii="仿宋_GB2312" w:hAnsi="仿宋_GB2312" w:eastAsia="仿宋_GB2312" w:cs="仿宋_GB2312"/>
          <w:kern w:val="0"/>
          <w:sz w:val="32"/>
          <w:szCs w:val="32"/>
        </w:rPr>
        <w:t>乙方取得的建设用地使用权及建筑物允许抵押，但抵押金额不得超出合同剩余年期地价与建筑物残值之和。</w:t>
      </w:r>
    </w:p>
    <w:p>
      <w:pPr>
        <w:overflowPunct w:val="0"/>
        <w:spacing w:after="0" w:line="560" w:lineRule="exact"/>
        <w:ind w:firstLine="640" w:firstLineChars="200"/>
        <w:rPr>
          <w:rFonts w:ascii="仿宋_GB2312" w:hAnsi="仿宋_GB2312" w:eastAsia="仿宋" w:cs="仿宋"/>
          <w:sz w:val="32"/>
          <w:szCs w:val="32"/>
        </w:rPr>
      </w:pPr>
      <w:r>
        <w:rPr>
          <w:rFonts w:hint="eastAsia" w:ascii="仿宋_GB2312" w:hAnsi="仿宋_GB2312" w:eastAsia="楷体_GB2312"/>
          <w:sz w:val="32"/>
          <w:szCs w:val="32"/>
        </w:rPr>
        <w:t>（九）</w:t>
      </w:r>
      <w:r>
        <w:rPr>
          <w:rFonts w:hint="eastAsia" w:ascii="仿宋_GB2312" w:hAnsi="仿宋_GB2312" w:eastAsia="仿宋_GB2312" w:cs="仿宋_GB2312"/>
          <w:kern w:val="0"/>
          <w:sz w:val="32"/>
          <w:szCs w:val="32"/>
        </w:rPr>
        <w:t>乙方在项目建设运营过程中，应满足甲方及政府有关部门或法律法规关于轨道规划建设、区域集中供冷、建筑环保、节能减排等具体要求，项目粉尘、废气、废水、废渣、磁辐射污染、噪声等的排放和产生符合国家、省、市环保政策和法律法规的标准和要求。</w:t>
      </w:r>
    </w:p>
    <w:p>
      <w:pPr>
        <w:spacing w:after="0" w:line="560" w:lineRule="exact"/>
        <w:ind w:firstLine="640" w:firstLineChars="200"/>
        <w:rPr>
          <w:rFonts w:eastAsia="仿宋_GB2312" w:cs="仿宋_GB2312"/>
          <w:kern w:val="0"/>
          <w:sz w:val="32"/>
          <w:szCs w:val="32"/>
        </w:rPr>
      </w:pPr>
      <w:r>
        <w:rPr>
          <w:rFonts w:hint="eastAsia" w:ascii="仿宋_GB2312" w:hAnsi="仿宋_GB2312" w:eastAsia="楷体_GB2312"/>
          <w:sz w:val="32"/>
          <w:szCs w:val="32"/>
        </w:rPr>
        <w:t>（十）</w:t>
      </w:r>
      <w:r>
        <w:rPr>
          <w:rFonts w:hint="eastAsia" w:eastAsia="仿宋_GB2312" w:cs="仿宋_GB2312"/>
          <w:kern w:val="0"/>
          <w:sz w:val="32"/>
          <w:szCs w:val="32"/>
        </w:rPr>
        <w:t>土地使用年期内，乙方</w:t>
      </w:r>
      <w:r>
        <w:rPr>
          <w:rFonts w:hint="eastAsia" w:ascii="仿宋_GB2312" w:hAnsi="仿宋_GB2312" w:eastAsia="仿宋_GB2312" w:cs="仿宋_GB2312"/>
          <w:sz w:val="32"/>
          <w:szCs w:val="32"/>
        </w:rPr>
        <w:t>在深圳市纳统的一级、二级子公司</w:t>
      </w:r>
      <w:r>
        <w:rPr>
          <w:rFonts w:hint="eastAsia" w:eastAsia="仿宋_GB2312" w:cs="仿宋_GB2312"/>
          <w:kern w:val="0"/>
          <w:sz w:val="32"/>
          <w:szCs w:val="32"/>
        </w:rPr>
        <w:t>注册住所、实际经营地、工商税务登记、统计关系不迁出深圳市。乙方在深圳市已建及拟建的项目不迁出深圳市。</w:t>
      </w:r>
    </w:p>
    <w:p>
      <w:pPr>
        <w:spacing w:after="0" w:line="560" w:lineRule="exact"/>
        <w:ind w:firstLine="640" w:firstLineChars="200"/>
      </w:pPr>
      <w:r>
        <w:rPr>
          <w:rFonts w:hint="eastAsia" w:ascii="楷体_GB2312" w:hAnsi="楷体_GB2312" w:eastAsia="楷体_GB2312" w:cs="楷体_GB2312"/>
          <w:bCs/>
          <w:sz w:val="32"/>
          <w:szCs w:val="32"/>
        </w:rPr>
        <w:t>（十一）</w:t>
      </w:r>
      <w:r>
        <w:rPr>
          <w:rFonts w:hint="eastAsia" w:ascii="仿宋_GB2312" w:hAnsi="仿宋_GB2312" w:eastAsia="仿宋_GB2312" w:cs="仿宋_GB2312"/>
          <w:bCs/>
          <w:sz w:val="32"/>
          <w:szCs w:val="32"/>
        </w:rPr>
        <w:t>配合房地产项目全链条监管工作。</w:t>
      </w:r>
    </w:p>
    <w:p>
      <w:pPr>
        <w:overflowPunct w:val="0"/>
        <w:spacing w:after="0" w:line="560" w:lineRule="exact"/>
        <w:ind w:firstLine="640" w:firstLineChars="200"/>
        <w:rPr>
          <w:rFonts w:ascii="仿宋_GB2312" w:hAnsi="仿宋_GB2312" w:eastAsia="黑体"/>
          <w:sz w:val="32"/>
          <w:szCs w:val="32"/>
        </w:rPr>
      </w:pPr>
      <w:r>
        <w:rPr>
          <w:rFonts w:hint="eastAsia" w:ascii="仿宋_GB2312" w:hAnsi="仿宋_GB2312" w:eastAsia="黑体"/>
          <w:sz w:val="32"/>
          <w:szCs w:val="32"/>
        </w:rPr>
        <w:t>五、违约责任</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（一）履约核查内容及一般违约责任</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甲方应组织相关部门或委托第三方专业机构按照本协议约定及《管理办法》规定内容，对乙方实行全年期考核监督，进行履约情况核查。若经甲方核查，乙方未通过履约核查的，甲方可按照本协议约定及《管理办法》规定追究乙方的违约责任，将乙方及其法定代表人、负责人、股东、投资人等责任主体及乙方关联企业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（二）违反建成投产时间的违约责任</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甲方核查，乙方未按照本协议第四条第（三）款约定建成投产，甲方有权要求乙方加快建设进度，逾期1个月支付固定资产投资额（乙方承诺固定资产投资强度×总用地面积）的1%作为违约金，违约金累计计算，直至该项目建成投产。</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（三）违反投资强度的违约责任</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1.项目建成投产后，经甲方核查，乙方投资强度未达到</w:t>
      </w:r>
      <w:r>
        <w:rPr>
          <w:rFonts w:hint="eastAsia" w:ascii="仿宋_GB2312" w:hAnsi="仿宋_GB2312" w:eastAsia="仿宋_GB2312" w:cs="仿宋_GB2312"/>
          <w:kern w:val="0"/>
          <w:sz w:val="32"/>
          <w:szCs w:val="32"/>
        </w:rPr>
        <w:t>本协议第四条第（三）款</w:t>
      </w:r>
      <w:r>
        <w:rPr>
          <w:rFonts w:hint="eastAsia" w:ascii="仿宋_GB2312" w:hAnsi="仿宋_GB2312" w:eastAsia="仿宋_GB2312" w:cs="仿宋_GB2312"/>
          <w:sz w:val="32"/>
          <w:szCs w:val="32"/>
        </w:rPr>
        <w:t>要求的，甲方有权要求乙方限期补足投资额，并支付固定资产投资不足部分的5%作为违约金，即违约金=（乙方承诺固定资产投资强度-实际固定资产投资强度）×总用地面积×5%。</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2.核查不合格满一年经再次核查仍不合格的，甲方有权要求乙方支付固定资产投资不足部分的10%作为违约金，直至经核查投资强度达到约定要求为止。</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（四）违反增加值能耗承诺的违约责任</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1.项目建成投产后，经甲方核查，该项目每年增加值能耗未达到本协议第四条第（三）款</w:t>
      </w:r>
      <w:r>
        <w:rPr>
          <w:rFonts w:hint="eastAsia" w:ascii="仿宋_GB2312" w:hAnsi="仿宋_GB2312" w:eastAsia="仿宋_GB2312" w:cs="仿宋_GB2312"/>
          <w:sz w:val="32"/>
          <w:szCs w:val="32"/>
        </w:rPr>
        <w:t>要求的</w:t>
      </w:r>
      <w:r>
        <w:rPr>
          <w:rFonts w:hint="eastAsia" w:ascii="仿宋_GB2312" w:hAnsi="仿宋_GB2312" w:eastAsia="仿宋_GB2312" w:cs="仿宋_GB2312"/>
          <w:kern w:val="0"/>
          <w:sz w:val="32"/>
          <w:szCs w:val="32"/>
        </w:rPr>
        <w:t>，甲方有权要求乙方支付增加值能耗超标部分能耗费用的10%作为违约金，即违约金=（实际增加值能耗-乙方承诺增加值能耗）×实际产值×折电系数×10%。</w:t>
      </w:r>
    </w:p>
    <w:p>
      <w:pPr>
        <w:overflowPunct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2.核验不合格满一年经再次核查仍不合格的，甲方有权要求乙方支付增加值能耗超标部分能耗费用的20%作为违约金，直至核查增加值能耗达到约定要求为止。</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（五）违反产值承诺的违约责任</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甲方核查，乙方在深圳市产值达不到本协议第四条第（三）款约定要求的，自甲方出具核查不合格通知书之日起20个自然日内，乙方应向甲方一次性支付产值不足部分的1%，即〔（承诺产值-实际产值）×1%〕作为阶段性核查不合格违约金。</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（六）违反纳税额承诺的违约责任</w:t>
      </w:r>
    </w:p>
    <w:p>
      <w:pPr>
        <w:overflowPunct w:val="0"/>
        <w:spacing w:after="0" w:line="560" w:lineRule="exact"/>
        <w:ind w:firstLine="640" w:firstLineChars="200"/>
      </w:pPr>
      <w:r>
        <w:rPr>
          <w:rFonts w:hint="eastAsia" w:ascii="仿宋_GB2312" w:hAnsi="仿宋_GB2312" w:eastAsia="仿宋_GB2312" w:cs="仿宋_GB2312"/>
          <w:kern w:val="0"/>
          <w:sz w:val="32"/>
          <w:szCs w:val="32"/>
        </w:rPr>
        <w:t>经甲方核查，乙方在深圳市纳税额达不到本协议第四条第（三）款约定要求的，自甲方出具核查不合格通知书之日起20个自然日内，乙方应向甲方一次性支付纳税总额不足部分，即（约定纳税总额-实际纳税总额）作为阶段性核查不合格违约金。</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（七）违反转让、出租物业约定的违约责任</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在土地出让年期内，经甲方核查，乙方违反</w:t>
      </w:r>
      <w:r>
        <w:rPr>
          <w:rFonts w:hint="eastAsia" w:ascii="仿宋_GB2312" w:hAnsi="仿宋_GB2312" w:eastAsia="仿宋_GB2312" w:cs="仿宋_GB2312"/>
          <w:kern w:val="0"/>
          <w:sz w:val="32"/>
          <w:szCs w:val="32"/>
        </w:rPr>
        <w:t>本协议第四条第（三）款</w:t>
      </w:r>
      <w:r>
        <w:rPr>
          <w:rFonts w:hint="eastAsia" w:ascii="仿宋_GB2312" w:hAnsi="仿宋_GB2312" w:eastAsia="仿宋_GB2312" w:cs="仿宋_GB2312"/>
          <w:sz w:val="32"/>
          <w:szCs w:val="32"/>
        </w:rPr>
        <w:t>约定出租物业的，甲方有权按照乙方违规出租物业市场租金水平的2倍收取违约金，即违约金=乙方违规出租物业租金/月×违规出租物业时间月数×2。</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违反</w:t>
      </w:r>
      <w:r>
        <w:rPr>
          <w:rFonts w:hint="eastAsia" w:ascii="仿宋_GB2312" w:hAnsi="仿宋_GB2312" w:eastAsia="仿宋_GB2312" w:cs="仿宋_GB2312"/>
          <w:kern w:val="0"/>
          <w:sz w:val="32"/>
          <w:szCs w:val="32"/>
        </w:rPr>
        <w:t>本协议第四条第（三）款</w:t>
      </w:r>
      <w:r>
        <w:rPr>
          <w:rFonts w:hint="eastAsia" w:ascii="仿宋_GB2312" w:hAnsi="仿宋_GB2312" w:eastAsia="仿宋_GB2312" w:cs="仿宋_GB2312"/>
          <w:sz w:val="32"/>
          <w:szCs w:val="32"/>
        </w:rPr>
        <w:t>约定转让本项目建设用地使用权或建筑物的，甲方有权提请土地主管部门解除建设用地使用权出让合同，无偿收回土地使用权，地上建（构）筑物及其附属设施按残值方式补偿。</w:t>
      </w:r>
    </w:p>
    <w:p>
      <w:pPr>
        <w:overflowPunct w:val="0"/>
        <w:spacing w:after="0" w:line="560" w:lineRule="exact"/>
        <w:ind w:firstLine="640" w:firstLineChars="200"/>
        <w:rPr>
          <w:rFonts w:ascii="仿宋_GB2312" w:hAnsi="仿宋_GB2312" w:eastAsia="楷体_GB2312"/>
          <w:sz w:val="32"/>
          <w:szCs w:val="32"/>
        </w:rPr>
      </w:pPr>
      <w:r>
        <w:rPr>
          <w:rFonts w:hint="eastAsia" w:ascii="仿宋_GB2312" w:hAnsi="仿宋_GB2312" w:eastAsia="楷体_GB2312"/>
          <w:sz w:val="32"/>
          <w:szCs w:val="32"/>
        </w:rPr>
        <w:t>（九）违反权利限制的违约责任</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在土地出让年期内，经甲方核查，乙方违反</w:t>
      </w:r>
      <w:r>
        <w:rPr>
          <w:rFonts w:hint="eastAsia" w:ascii="仿宋_GB2312" w:hAnsi="仿宋_GB2312" w:eastAsia="仿宋_GB2312" w:cs="仿宋_GB2312"/>
          <w:kern w:val="0"/>
          <w:sz w:val="32"/>
          <w:szCs w:val="32"/>
        </w:rPr>
        <w:t>本协议第四条第（七）款</w:t>
      </w:r>
      <w:r>
        <w:rPr>
          <w:rFonts w:hint="eastAsia" w:ascii="仿宋_GB2312" w:hAnsi="仿宋_GB2312" w:eastAsia="仿宋_GB2312" w:cs="仿宋_GB2312"/>
          <w:sz w:val="32"/>
          <w:szCs w:val="32"/>
        </w:rPr>
        <w:t>约定或《管理办法》规定擅自转让或变更股权的，甲方有权要求乙方限期改正，乙方按该地块出让价款的20%向甲方缴纳违约金。限期内拒不改正的，甲方有权提请土地主管部门解除建设用地使用权出让合同，无偿收回土地使用权，地上建筑物及构筑物不予补偿。</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楷体_GB2312"/>
          <w:sz w:val="32"/>
          <w:szCs w:val="32"/>
        </w:rPr>
        <w:t>（十）其他违约责任</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有以下情形之一的，甲方有权要求乙方限期改正，乙方按该地块出让价款的3%向甲方缴纳违约金；拒不改正的，甲方可提请土地行政主管部门解除土地出让合同，无偿收回土地使用权，地上建筑物及构筑物不予补偿，如乙方或其母公司为上市企业或者未来成为上市企业，甲方还将根据《证券期货市场诚信监督管理办法》有权将乙方的违约失信情况向中国证券监督管理委员会申报记入其诚信档案：</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1.擅自改变上述产业用地的土地用途的；</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2.未经甲方同意，经营超出产业准入条件项目或擅自改变产业项目的；</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3.在土地出让期内，</w:t>
      </w:r>
      <w:r>
        <w:rPr>
          <w:rFonts w:hint="eastAsia" w:eastAsia="仿宋_GB2312" w:cs="仿宋_GB2312"/>
          <w:kern w:val="0"/>
          <w:sz w:val="32"/>
          <w:szCs w:val="32"/>
        </w:rPr>
        <w:t>乙方</w:t>
      </w:r>
      <w:r>
        <w:rPr>
          <w:rFonts w:hint="eastAsia" w:ascii="仿宋_GB2312" w:hAnsi="仿宋_GB2312" w:eastAsia="仿宋_GB2312" w:cs="仿宋_GB2312"/>
          <w:sz w:val="32"/>
          <w:szCs w:val="32"/>
        </w:rPr>
        <w:t>在深圳市纳统的一级、二级子公司将注册住所、实际经营地、工商税务登记地、统计关系</w:t>
      </w:r>
      <w:r>
        <w:rPr>
          <w:rFonts w:hint="eastAsia" w:eastAsia="仿宋_GB2312" w:cs="仿宋_GB2312"/>
          <w:kern w:val="0"/>
          <w:sz w:val="32"/>
          <w:szCs w:val="32"/>
        </w:rPr>
        <w:t>迁出深圳市。乙方</w:t>
      </w:r>
      <w:r>
        <w:rPr>
          <w:rFonts w:hint="eastAsia" w:ascii="仿宋_GB2312" w:hAnsi="仿宋_GB2312" w:eastAsia="仿宋_GB2312" w:cs="仿宋_GB2312"/>
          <w:sz w:val="32"/>
          <w:szCs w:val="32"/>
        </w:rPr>
        <w:t>在深圳市已建或拟建的项目迁出深圳市的；</w:t>
      </w:r>
    </w:p>
    <w:p>
      <w:pPr>
        <w:pStyle w:val="2"/>
        <w:spacing w:after="0" w:line="560" w:lineRule="exact"/>
        <w:ind w:firstLine="640"/>
        <w:rPr>
          <w:rFonts w:eastAsia="仿宋_GB2312"/>
        </w:rPr>
      </w:pPr>
      <w:r>
        <w:rPr>
          <w:rFonts w:hint="eastAsia" w:ascii="仿宋_GB2312" w:hAnsi="仿宋_GB2312" w:eastAsia="仿宋_GB2312" w:cs="仿宋_GB2312"/>
          <w:sz w:val="32"/>
          <w:szCs w:val="32"/>
        </w:rPr>
        <w:t>4.违规</w:t>
      </w:r>
      <w:r>
        <w:rPr>
          <w:rFonts w:hint="eastAsia" w:ascii="仿宋_GB2312" w:hAnsi="仿宋_GB2312" w:eastAsia="仿宋_GB2312" w:cs="仿宋_GB2312"/>
          <w:kern w:val="0"/>
          <w:sz w:val="32"/>
          <w:szCs w:val="32"/>
        </w:rPr>
        <w:t>抵押建设用地使用权及建筑物，抵押金额超出合同剩余年期地价与建筑物的残值之和的；</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5.在生产经营过程中严重违反环保政策或法规标准和要求，并拒不改正或整改后未达标的；</w:t>
      </w:r>
    </w:p>
    <w:p>
      <w:pPr>
        <w:spacing w:after="0" w:line="560" w:lineRule="exact"/>
        <w:ind w:firstLine="630" w:firstLineChars="197"/>
      </w:pPr>
      <w:r>
        <w:rPr>
          <w:rFonts w:hint="eastAsia" w:ascii="仿宋_GB2312" w:hAnsi="仿宋_GB2312" w:eastAsia="仿宋_GB2312" w:cs="仿宋_GB2312"/>
          <w:sz w:val="32"/>
          <w:szCs w:val="32"/>
        </w:rPr>
        <w:t>6.不</w:t>
      </w:r>
      <w:r>
        <w:rPr>
          <w:rFonts w:hint="eastAsia" w:ascii="仿宋_GB2312" w:hAnsi="仿宋_GB2312" w:eastAsia="仿宋_GB2312" w:cs="仿宋_GB2312"/>
          <w:bCs/>
          <w:sz w:val="32"/>
          <w:szCs w:val="32"/>
        </w:rPr>
        <w:t>配合房地产项目全链条监管工作的；</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7.其他未按约定的土地使用条件开发利用土地的行为。</w:t>
      </w:r>
    </w:p>
    <w:p>
      <w:pPr>
        <w:pStyle w:val="2"/>
        <w:spacing w:after="0" w:line="560" w:lineRule="exact"/>
        <w:ind w:firstLine="640"/>
        <w:rPr>
          <w:rFonts w:ascii="仿宋_GB2312" w:hAnsi="仿宋_GB2312" w:eastAsia="楷体_GB2312"/>
          <w:sz w:val="32"/>
          <w:szCs w:val="32"/>
        </w:rPr>
      </w:pPr>
      <w:r>
        <w:rPr>
          <w:rFonts w:hint="eastAsia" w:ascii="仿宋_GB2312" w:hAnsi="仿宋_GB2312" w:eastAsia="楷体_GB2312"/>
          <w:sz w:val="32"/>
          <w:szCs w:val="32"/>
        </w:rPr>
        <w:t>（十一）</w:t>
      </w:r>
      <w:r>
        <w:rPr>
          <w:rFonts w:hint="eastAsia" w:ascii="仿宋_GB2312" w:hAnsi="仿宋_GB2312" w:eastAsia="仿宋_GB2312" w:cs="仿宋_GB2312"/>
          <w:kern w:val="0"/>
          <w:sz w:val="32"/>
          <w:szCs w:val="32"/>
        </w:rPr>
        <w:t>乙方不按本协议约定规定向甲方提出核查申请的，甲方有权要求其限期改正，限期未改正的，视为乙方违约，自甲方发出缴款通知书之日起20个自然日内，乙方应向甲方缴纳5万元违约金，且不因此解除乙方的相关义务；乙方不配合甲方核查的，自甲方发出缴款通知书之日起20个自然日内，乙方应向甲方缴纳5万元违约金，且不因此解除乙方的相关义务。</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楷体_GB2312"/>
          <w:sz w:val="32"/>
          <w:szCs w:val="32"/>
        </w:rPr>
        <w:t>（十二）</w:t>
      </w:r>
      <w:r>
        <w:rPr>
          <w:rFonts w:hint="eastAsia" w:ascii="仿宋_GB2312" w:hAnsi="仿宋_GB2312" w:eastAsia="仿宋_GB2312" w:cs="仿宋_GB2312"/>
          <w:sz w:val="32"/>
          <w:szCs w:val="32"/>
        </w:rPr>
        <w:t>如乙方存在上述（二）至（十一）款违约行为，乙方应在甲方出具通知书20</w:t>
      </w:r>
      <w:r>
        <w:rPr>
          <w:rFonts w:hint="eastAsia" w:ascii="仿宋_GB2312" w:hAnsi="仿宋_GB2312" w:eastAsia="仿宋_GB2312" w:cs="仿宋_GB2312"/>
          <w:kern w:val="0"/>
          <w:sz w:val="32"/>
          <w:szCs w:val="32"/>
        </w:rPr>
        <w:t>个自然日</w:t>
      </w:r>
      <w:r>
        <w:rPr>
          <w:rFonts w:hint="eastAsia" w:ascii="仿宋_GB2312" w:hAnsi="仿宋_GB2312" w:eastAsia="仿宋_GB2312" w:cs="仿宋_GB2312"/>
          <w:sz w:val="32"/>
          <w:szCs w:val="32"/>
        </w:rPr>
        <w:t>内缴纳违约金，逾期未缴纳则每日加收1‰的违约金。</w:t>
      </w:r>
    </w:p>
    <w:p>
      <w:pPr>
        <w:overflowPunct w:val="0"/>
        <w:spacing w:after="0" w:line="560" w:lineRule="exact"/>
        <w:ind w:firstLine="640" w:firstLineChars="200"/>
        <w:rPr>
          <w:rFonts w:ascii="仿宋_GB2312" w:hAnsi="仿宋_GB2312" w:eastAsia="仿宋_GB2312"/>
          <w:sz w:val="32"/>
          <w:szCs w:val="32"/>
        </w:rPr>
      </w:pPr>
      <w:r>
        <w:rPr>
          <w:rFonts w:hint="eastAsia" w:ascii="仿宋_GB2312" w:hAnsi="仿宋_GB2312" w:eastAsia="楷体_GB2312"/>
          <w:sz w:val="32"/>
          <w:szCs w:val="32"/>
        </w:rPr>
        <w:t>（十三）</w:t>
      </w:r>
      <w:r>
        <w:rPr>
          <w:rFonts w:hint="eastAsia" w:ascii="仿宋_GB2312" w:hAnsi="仿宋_GB2312" w:eastAsia="仿宋_GB2312" w:cs="仿宋_GB2312"/>
          <w:sz w:val="32"/>
          <w:szCs w:val="32"/>
        </w:rPr>
        <w:t>若因政策调整、行业市场及汇率波动、不可抗力等非企业自身原因造成乙方未能履行合同约定，经市政府同意，可减轻或免除乙方违约责任。</w:t>
      </w:r>
    </w:p>
    <w:p>
      <w:pPr>
        <w:overflowPunct w:val="0"/>
        <w:spacing w:after="0" w:line="560" w:lineRule="exact"/>
        <w:ind w:firstLine="640" w:firstLineChars="200"/>
        <w:rPr>
          <w:rFonts w:ascii="仿宋_GB2312" w:hAnsi="仿宋_GB2312" w:eastAsia="黑体"/>
          <w:sz w:val="32"/>
          <w:szCs w:val="32"/>
        </w:rPr>
      </w:pPr>
      <w:r>
        <w:rPr>
          <w:rFonts w:hint="eastAsia" w:ascii="仿宋_GB2312" w:hAnsi="仿宋_GB2312" w:eastAsia="黑体"/>
          <w:sz w:val="32"/>
          <w:szCs w:val="32"/>
        </w:rPr>
        <w:t>六、退出机制</w:t>
      </w:r>
    </w:p>
    <w:p>
      <w:pPr>
        <w:tabs>
          <w:tab w:val="left" w:pos="5880"/>
        </w:tabs>
        <w:spacing w:after="0" w:line="560" w:lineRule="exact"/>
        <w:ind w:firstLine="640" w:firstLineChars="200"/>
        <w:rPr>
          <w:rFonts w:ascii="Times New Roman" w:hAnsi="Times New Roman" w:eastAsia="仿宋_GB2312" w:cs="仿宋_GB2312"/>
          <w:sz w:val="32"/>
          <w:szCs w:val="32"/>
        </w:rPr>
      </w:pPr>
      <w:r>
        <w:rPr>
          <w:rFonts w:hint="eastAsia" w:ascii="仿宋_GB2312" w:hAnsi="仿宋_GB2312" w:eastAsia="楷体_GB2312"/>
          <w:sz w:val="32"/>
          <w:szCs w:val="32"/>
        </w:rPr>
        <w:t>（一）</w:t>
      </w:r>
      <w:r>
        <w:rPr>
          <w:rFonts w:hint="eastAsia" w:ascii="Times New Roman" w:hAnsi="Times New Roman" w:eastAsia="仿宋_GB2312" w:cs="仿宋_GB2312"/>
          <w:sz w:val="32"/>
          <w:szCs w:val="32"/>
        </w:rPr>
        <w:t>主动退出。乙方因自身原因终止项目投资建设，向建设用地使用权出让人提出终止履行建设用地使用权出让合同并请求退还土地的，建设用地使用权出让人报龙华区政府批准后，分别按以下约定，退还部分建设用地使用权出让价款（不计利息），由龙华区政府收回建设用地使用权，地上建筑物及构筑物的补偿方式在建设用地使用权出让合同中予以明确：</w:t>
      </w:r>
    </w:p>
    <w:p>
      <w:pPr>
        <w:tabs>
          <w:tab w:val="left" w:pos="5880"/>
        </w:tabs>
        <w:spacing w:after="0" w:line="560" w:lineRule="exact"/>
        <w:ind w:firstLine="640" w:firstLineChars="200"/>
        <w:rPr>
          <w:rFonts w:ascii="Times New Roman" w:hAnsi="Times New Roman" w:eastAsia="仿宋_GB2312" w:cs="仿宋_GB2312"/>
          <w:sz w:val="32"/>
          <w:szCs w:val="32"/>
        </w:rPr>
      </w:pPr>
      <w:r>
        <w:rPr>
          <w:rFonts w:hint="eastAsia" w:ascii="仿宋_GB2312" w:hAnsi="仿宋_GB2312" w:eastAsia="仿宋_GB2312" w:cs="仿宋_GB2312"/>
          <w:sz w:val="32"/>
          <w:szCs w:val="32"/>
        </w:rPr>
        <w:t>1.超过建设用地使用权出让合同约定的开工建设日期但未满1年向出让人提出申请的，将剩余已付建设用地使用权出让价款退还建设用地使用权人。</w:t>
      </w:r>
    </w:p>
    <w:p>
      <w:pPr>
        <w:tabs>
          <w:tab w:val="left" w:pos="588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2.超过建设用地使用权出让合同约定的开工建设日期1年但未满2年向出让人提出申请的，按照规定征收土地闲置费后，将剩余已付建设用地使用权出让价款退还建设用地使用权人。</w:t>
      </w:r>
    </w:p>
    <w:p>
      <w:pPr>
        <w:tabs>
          <w:tab w:val="left" w:pos="5880"/>
        </w:tabs>
        <w:spacing w:after="0" w:line="560" w:lineRule="exact"/>
        <w:ind w:firstLine="640" w:firstLineChars="200"/>
        <w:rPr>
          <w:rFonts w:ascii="Times New Roman" w:hAnsi="Times New Roman" w:eastAsia="仿宋_GB2312" w:cs="仿宋_GB2312"/>
          <w:sz w:val="32"/>
          <w:szCs w:val="32"/>
        </w:rPr>
      </w:pPr>
      <w:r>
        <w:rPr>
          <w:rFonts w:hint="eastAsia" w:ascii="仿宋_GB2312" w:hAnsi="仿宋_GB2312" w:eastAsia="仿宋_GB2312" w:cs="仿宋_GB2312"/>
          <w:sz w:val="32"/>
          <w:szCs w:val="32"/>
        </w:rPr>
        <w:t>报经龙华区政府后未获批准的，乙方应继续履行建设用地使用权出让合同；拒不履行的，建设用地使用权和地上建筑物、构筑物及其附属设施由龙华区政府无偿收回。</w:t>
      </w:r>
    </w:p>
    <w:p>
      <w:pPr>
        <w:tabs>
          <w:tab w:val="left" w:pos="5880"/>
        </w:tabs>
        <w:spacing w:after="0" w:line="560" w:lineRule="exact"/>
        <w:ind w:firstLine="640" w:firstLineChars="200"/>
        <w:rPr>
          <w:rFonts w:ascii="Times New Roman" w:hAnsi="Times New Roman"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强制退出。符合法律法规规定、建设用地使用权出让合同和本协议约定的甲方有权提请土地主管部门解除建设用地使用权出让合同情形的，乙方的建设用地使用权由龙华区政府无偿收回，地上建筑物及构筑物补偿方式应当在建设用地使用权出让合同中约定。</w:t>
      </w:r>
    </w:p>
    <w:p>
      <w:pPr>
        <w:overflowPunct w:val="0"/>
        <w:spacing w:after="0" w:line="560" w:lineRule="exact"/>
        <w:ind w:firstLine="640" w:firstLineChars="200"/>
        <w:rPr>
          <w:rFonts w:ascii="仿宋_GB2312" w:hAnsi="仿宋_GB2312" w:eastAsia="黑体"/>
          <w:sz w:val="32"/>
          <w:szCs w:val="32"/>
        </w:rPr>
      </w:pPr>
      <w:r>
        <w:rPr>
          <w:rFonts w:hint="eastAsia" w:ascii="仿宋_GB2312" w:hAnsi="仿宋_GB2312" w:eastAsia="黑体"/>
          <w:sz w:val="32"/>
          <w:szCs w:val="32"/>
        </w:rPr>
        <w:t>七、争议解决方式</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凡因本协议书引起的任何争议，由双方协商解决。若协商不成，任何一方有权向该产业用地所在地人民法院提起诉讼。</w:t>
      </w:r>
    </w:p>
    <w:p>
      <w:pPr>
        <w:spacing w:after="0" w:line="560" w:lineRule="exact"/>
        <w:ind w:firstLine="640" w:firstLineChars="200"/>
        <w:rPr>
          <w:rFonts w:eastAsia="黑体"/>
          <w:bCs/>
          <w:sz w:val="32"/>
          <w:szCs w:val="32"/>
        </w:rPr>
      </w:pPr>
      <w:r>
        <w:rPr>
          <w:rFonts w:hint="eastAsia" w:ascii="Times New Roman" w:hAnsi="Times New Roman" w:eastAsia="黑体"/>
          <w:bCs/>
          <w:sz w:val="32"/>
          <w:szCs w:val="32"/>
        </w:rPr>
        <w:t>八、</w:t>
      </w:r>
      <w:r>
        <w:rPr>
          <w:rFonts w:hint="eastAsia" w:eastAsia="黑体"/>
          <w:bCs/>
          <w:sz w:val="32"/>
          <w:szCs w:val="32"/>
        </w:rPr>
        <w:t>其他事项</w:t>
      </w:r>
    </w:p>
    <w:p>
      <w:pPr>
        <w:tabs>
          <w:tab w:val="left" w:pos="5880"/>
        </w:tabs>
        <w:spacing w:after="0" w:line="560" w:lineRule="exact"/>
        <w:ind w:firstLine="640" w:firstLineChars="200"/>
        <w:rPr>
          <w:rFonts w:ascii="Times New Roman" w:hAnsi="Times New Roman" w:eastAsia="仿宋_GB2312" w:cs="仿宋_GB2312"/>
          <w:sz w:val="32"/>
          <w:szCs w:val="32"/>
        </w:rPr>
      </w:pPr>
      <w:r>
        <w:rPr>
          <w:rFonts w:hint="eastAsia" w:ascii="仿宋_GB2312" w:hAnsi="仿宋_GB2312" w:eastAsia="楷体_GB2312"/>
          <w:sz w:val="32"/>
          <w:szCs w:val="32"/>
        </w:rPr>
        <w:t>（一）</w:t>
      </w:r>
      <w:r>
        <w:rPr>
          <w:rFonts w:hint="eastAsia" w:ascii="仿宋_GB2312" w:hAnsi="仿宋_GB2312" w:eastAsia="仿宋_GB2312" w:cs="仿宋_GB2312"/>
          <w:sz w:val="32"/>
          <w:szCs w:val="32"/>
        </w:rPr>
        <w:t>本协议所称增加值、产值、纳税额的统计核算口径以乙方（不含各级子公司）作为统计核算口径。增加值按照“应付职工薪酬+应交增值税+税金及附加+本年固定资产折旧+营业利润-投资收益”计算，统计核算以具备资质的第三方审计机构出具的财务审计报告或统计部门数据作为数据依据；产值统计核算以统计部门的定报数据作为依据，纳税额按照“企业向税务部门缴纳的增值税（不含即征即退税款）+城市维护建设税+企业所得税+房产税+印花税+城镇土地使用税+车船税+车辆购置税+契税+代扣代缴的员工综合所得个人所得税+50%经税务部门认可的生产企业出口货物免抵退税申报汇总申报表中当期免抵税额本年累计数-退还增值税留抵税额”计算，统计核算以税务部门出具的纳税证明作为依据。</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ascii="仿宋_GB2312" w:hAnsi="仿宋_GB2312" w:eastAsia="仿宋_GB2312" w:cs="仿宋_GB2312"/>
          <w:sz w:val="32"/>
          <w:szCs w:val="32"/>
        </w:rPr>
        <w:t>本协议</w:t>
      </w:r>
      <w:r>
        <w:rPr>
          <w:rFonts w:hint="eastAsia" w:ascii="仿宋_GB2312" w:hAnsi="仿宋_GB2312" w:eastAsia="仿宋_GB2312" w:cs="仿宋_GB2312"/>
          <w:sz w:val="32"/>
          <w:szCs w:val="32"/>
        </w:rPr>
        <w:t>所称年期以自然年作为计算方式。</w:t>
      </w:r>
    </w:p>
    <w:p>
      <w:pPr>
        <w:pStyle w:val="2"/>
        <w:spacing w:after="0"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本协议所称项目固定资产投资强度=项目固定资产总投资÷项目总用地面积；地均纳税额=项目纳税额÷项目总用地面积；增加值能耗=耗电量*</w:t>
      </w:r>
      <w:r>
        <w:rPr>
          <w:rFonts w:hint="eastAsia" w:ascii="仿宋_GB2312" w:hAnsi="仿宋_GB2312" w:eastAsia="仿宋_GB2312" w:cs="仿宋_GB2312"/>
          <w:kern w:val="0"/>
          <w:sz w:val="32"/>
          <w:szCs w:val="32"/>
        </w:rPr>
        <w:t>折电系数</w:t>
      </w:r>
      <w:r>
        <w:rPr>
          <w:rFonts w:hint="eastAsia" w:ascii="仿宋_GB2312" w:hAnsi="仿宋_GB2312" w:eastAsia="仿宋_GB2312" w:cs="仿宋_GB2312"/>
          <w:sz w:val="32"/>
          <w:szCs w:val="32"/>
        </w:rPr>
        <w:t>÷项目增加值</w:t>
      </w:r>
      <w:r>
        <w:rPr>
          <w:rFonts w:hint="eastAsia" w:ascii="仿宋_GB2312" w:hAnsi="仿宋_GB2312" w:eastAsia="仿宋_GB2312" w:cs="仿宋_GB2312"/>
          <w:kern w:val="0"/>
          <w:sz w:val="32"/>
          <w:szCs w:val="32"/>
        </w:rPr>
        <w:t>，耗电量</w:t>
      </w:r>
      <w:r>
        <w:rPr>
          <w:rFonts w:hint="eastAsia" w:ascii="仿宋_GB2312" w:hAnsi="仿宋_GB2312" w:eastAsia="仿宋_GB2312" w:cs="仿宋_GB2312"/>
          <w:sz w:val="32"/>
          <w:szCs w:val="32"/>
        </w:rPr>
        <w:t>以供电部门出具的电费缴纳单据作为依据，折电系数为1.229吨标准煤/万千瓦时。</w:t>
      </w:r>
    </w:p>
    <w:p>
      <w:pPr>
        <w:pStyle w:val="2"/>
        <w:spacing w:after="0"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本协议履行过程中,对协议中部分名词含义的理解存在不同意见的，以甲方的解释为准。</w:t>
      </w:r>
    </w:p>
    <w:p>
      <w:pPr>
        <w:overflowPunct w:val="0"/>
        <w:spacing w:after="0" w:line="560" w:lineRule="exact"/>
        <w:ind w:firstLine="640" w:firstLineChars="200"/>
        <w:rPr>
          <w:rFonts w:ascii="仿宋_GB2312" w:hAnsi="仿宋_GB2312" w:eastAsia="黑体"/>
          <w:sz w:val="32"/>
          <w:szCs w:val="32"/>
        </w:rPr>
      </w:pPr>
      <w:r>
        <w:rPr>
          <w:rFonts w:hint="eastAsia" w:ascii="仿宋_GB2312" w:hAnsi="仿宋_GB2312" w:eastAsia="黑体"/>
          <w:sz w:val="32"/>
          <w:szCs w:val="32"/>
        </w:rPr>
        <w:t>九、协议效力</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本协议书一式六份，具同等法律效力，甲乙双方各执三份。</w:t>
      </w:r>
    </w:p>
    <w:p>
      <w:pPr>
        <w:overflowPunct w:val="0"/>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本协议书自甲乙双方签字并盖章之日起生效。</w:t>
      </w:r>
    </w:p>
    <w:p>
      <w:pPr>
        <w:overflowPunct w:val="0"/>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书未尽事宜，按照《深圳市工业及其他产业用地供应管理办法》（深政规〔2019〕4号）及相关规定处理；政策法规没有规定的，双方通过友好协商解决。双方可另行签订补充协议，补充协议与本协议书具有同等的法律效力。</w:t>
      </w:r>
    </w:p>
    <w:p>
      <w:pPr>
        <w:pStyle w:val="2"/>
        <w:spacing w:after="0" w:line="520" w:lineRule="exact"/>
        <w:ind w:firstLine="64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ind w:firstLine="640" w:firstLineChars="200"/>
      </w:pPr>
      <w:r>
        <w:rPr>
          <w:rFonts w:hint="eastAsia" w:ascii="仿宋_GB2312" w:hAnsi="仿宋_GB2312" w:eastAsia="仿宋_GB2312" w:cs="仿宋_GB2312"/>
          <w:sz w:val="32"/>
          <w:szCs w:val="32"/>
        </w:rPr>
        <w:t>（以下无正文）</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（此页为签字盖章页）</w:t>
      </w:r>
    </w:p>
    <w:p>
      <w:pPr>
        <w:overflowPunct w:val="0"/>
        <w:spacing w:line="560" w:lineRule="exact"/>
        <w:ind w:firstLine="640" w:firstLineChars="200"/>
        <w:rPr>
          <w:rFonts w:ascii="仿宋_GB2312" w:hAnsi="仿宋_GB2312" w:eastAsia="仿宋_GB2312" w:cs="仿宋_GB2312"/>
          <w:sz w:val="32"/>
          <w:szCs w:val="32"/>
        </w:rPr>
      </w:pP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法定代表人（委托代理人）：</w:t>
      </w:r>
    </w:p>
    <w:p>
      <w:pPr>
        <w:overflowPunct w:val="0"/>
        <w:spacing w:line="560" w:lineRule="exact"/>
        <w:ind w:firstLine="640" w:firstLineChars="200"/>
        <w:rPr>
          <w:rFonts w:ascii="仿宋_GB2312" w:hAnsi="仿宋_GB2312" w:eastAsia="仿宋_GB2312" w:cs="仿宋_GB2312"/>
          <w:sz w:val="32"/>
          <w:szCs w:val="32"/>
        </w:rPr>
      </w:pP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法定代表人（委托代理人）：</w:t>
      </w:r>
    </w:p>
    <w:p>
      <w:pPr>
        <w:overflowPunct w:val="0"/>
        <w:spacing w:line="560" w:lineRule="exact"/>
        <w:ind w:firstLine="640" w:firstLineChars="200"/>
        <w:rPr>
          <w:rFonts w:ascii="仿宋_GB2312" w:hAnsi="仿宋_GB2312" w:eastAsia="仿宋_GB2312" w:cs="仿宋_GB2312"/>
          <w:sz w:val="32"/>
          <w:szCs w:val="32"/>
        </w:rPr>
      </w:pPr>
    </w:p>
    <w:p>
      <w:pPr>
        <w:overflowPunct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签订日期：    年  月  日</w:t>
      </w:r>
    </w:p>
    <w:p>
      <w:pPr>
        <w:pStyle w:val="7"/>
        <w:spacing w:line="560" w:lineRule="exact"/>
      </w:pPr>
      <w:r>
        <w:rPr>
          <w:rFonts w:hint="eastAsia" w:ascii="仿宋_GB2312" w:hAnsi="仿宋_GB2312" w:eastAsia="仿宋_GB2312" w:cs="仿宋_GB2312"/>
          <w:sz w:val="32"/>
          <w:szCs w:val="32"/>
        </w:rPr>
        <w:t xml:space="preserve">                             签订地点：</w:t>
      </w:r>
    </w:p>
    <w:p>
      <w:pPr>
        <w:pStyle w:val="2"/>
        <w:spacing w:line="560" w:lineRule="exact"/>
        <w:ind w:firstLine="0" w:firstLineChars="0"/>
        <w:rPr>
          <w:rFonts w:ascii="仿宋_GB2312" w:hAnsi="仿宋_GB2312" w:eastAsia="仿宋_GB2312" w:cs="仿宋_GB2312"/>
          <w:sz w:val="32"/>
          <w:szCs w:val="32"/>
        </w:rPr>
      </w:pPr>
    </w:p>
    <w:sectPr>
      <w:headerReference r:id="rId6" w:type="first"/>
      <w:headerReference r:id="rId5"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9" o:spid="_x0000_s3079" o:spt="136" type="#_x0000_t136" style="position:absolute;left:0pt;height:44pt;width:280pt;mso-position-horizontal:center;mso-position-horizontal-relative:page;mso-position-vertical:center;mso-position-vertical-relative:page;z-index:251662336;mso-width-relative:page;mso-height-relative:page;" fillcolor="#E3E4E6" filled="t" stroked="t" coordsize="21600,21600">
          <v:path/>
          <v:fill on="t" focussize="0,0"/>
          <v:stroke color="#F4F5F6"/>
          <v:imagedata o:title=""/>
          <o:lock v:ext="edit"/>
          <v:textpath on="t" fitshape="t" fitpath="t" trim="f" xscale="f" string="深圳市工业和信息化局 陈琼芬（非）&#10;2022-02-24 09:53:43" style="font-family:宋体;font-size:36pt;v-text-align:center;"/>
        </v:shape>
      </w:pict>
    </w:r>
  </w:p>
  <w:p>
    <w:r>
      <w:pict>
        <v:shape id="_x0000_s3080" o:spid="_x0000_s3080" o:spt="136" type="#_x0000_t136" style="position:absolute;left:0pt;height:44pt;width:280pt;mso-position-horizontal:center;mso-position-horizontal-relative:page;mso-position-vertical:center;mso-position-vertical-relative:page;rotation:-2949120f;z-index:251660288;mso-width-relative:page;mso-height-relative:page;" fillcolor="#E3E4E6" filled="t" stroked="t" coordsize="21600,21600">
          <v:path/>
          <v:fill on="t" focussize="0,0"/>
          <v:stroke color="#F4F5F6"/>
          <v:imagedata o:title=""/>
          <o:lock v:ext="edit"/>
          <v:textpath on="t" fitshape="t" fitpath="t" trim="f" xscale="f" string="深圳市工业和信息化局 郑文婕（非）&#10;2022-02-24 11:12:18"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7" o:spid="_x0000_s3077" o:spt="136" type="#_x0000_t136" style="position:absolute;left:0pt;height:44pt;width:280pt;mso-position-horizontal:center;mso-position-horizontal-relative:page;mso-position-vertical:center;mso-position-vertical-relative:page;z-index:251661312;mso-width-relative:page;mso-height-relative:page;" fillcolor="#E3E4E6" filled="t" stroked="t" coordsize="21600,21600">
          <v:path/>
          <v:fill on="t" focussize="0,0"/>
          <v:stroke color="#F4F5F6"/>
          <v:imagedata o:title=""/>
          <o:lock v:ext="edit"/>
          <v:textpath on="t" fitshape="t" fitpath="t" trim="f" xscale="f" string="深圳市工业和信息化局 陈琼芬（非）&#10;2022-02-24 09:53:43" style="font-family:宋体;font-size:36pt;v-text-align:center;"/>
        </v:shape>
      </w:pict>
    </w:r>
  </w:p>
  <w:p>
    <w:r>
      <w:pict>
        <v:shape id="_x0000_s3078" o:spid="_x0000_s3078" o:spt="136" type="#_x0000_t136" style="position:absolute;left:0pt;height:44pt;width:280pt;mso-position-horizontal:center;mso-position-horizontal-relative:page;mso-position-vertical:center;mso-position-vertical-relative:page;rotation:-2949120f;z-index:251659264;mso-width-relative:page;mso-height-relative:page;" fillcolor="#E3E4E6" filled="t" stroked="t" coordsize="21600,21600">
          <v:path/>
          <v:fill on="t" focussize="0,0"/>
          <v:stroke color="#F4F5F6"/>
          <v:imagedata o:title=""/>
          <o:lock v:ext="edit"/>
          <v:textpath on="t" fitshape="t" fitpath="t" trim="f" xscale="f" string="深圳市工业和信息化局 郑文婕（非）&#10;2022-02-24 11:12:18"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A044B"/>
    <w:multiLevelType w:val="multilevel"/>
    <w:tmpl w:val="09EA044B"/>
    <w:lvl w:ilvl="0" w:tentative="0">
      <w:start w:val="2"/>
      <w:numFmt w:val="japaneseCounting"/>
      <w:lvlText w:val="%1、"/>
      <w:lvlJc w:val="left"/>
      <w:pPr>
        <w:tabs>
          <w:tab w:val="left" w:pos="1288"/>
        </w:tabs>
        <w:ind w:left="1288" w:hanging="720"/>
      </w:pPr>
    </w:lvl>
    <w:lvl w:ilvl="1" w:tentative="0">
      <w:start w:val="1"/>
      <w:numFmt w:val="decimal"/>
      <w:lvlText w:val="%2."/>
      <w:lvlJc w:val="left"/>
      <w:pPr>
        <w:tabs>
          <w:tab w:val="left" w:pos="1386"/>
        </w:tabs>
        <w:ind w:left="1386" w:hanging="360"/>
      </w:pPr>
    </w:lvl>
    <w:lvl w:ilvl="2" w:tentative="0">
      <w:start w:val="1"/>
      <w:numFmt w:val="decimal"/>
      <w:lvlText w:val="%3."/>
      <w:lvlJc w:val="left"/>
      <w:pPr>
        <w:tabs>
          <w:tab w:val="left" w:pos="2106"/>
        </w:tabs>
        <w:ind w:left="2106" w:hanging="360"/>
      </w:pPr>
    </w:lvl>
    <w:lvl w:ilvl="3" w:tentative="0">
      <w:start w:val="1"/>
      <w:numFmt w:val="decimal"/>
      <w:lvlText w:val="%4."/>
      <w:lvlJc w:val="left"/>
      <w:pPr>
        <w:tabs>
          <w:tab w:val="left" w:pos="2826"/>
        </w:tabs>
        <w:ind w:left="2826" w:hanging="360"/>
      </w:pPr>
    </w:lvl>
    <w:lvl w:ilvl="4" w:tentative="0">
      <w:start w:val="1"/>
      <w:numFmt w:val="decimal"/>
      <w:lvlText w:val="%5."/>
      <w:lvlJc w:val="left"/>
      <w:pPr>
        <w:tabs>
          <w:tab w:val="left" w:pos="3546"/>
        </w:tabs>
        <w:ind w:left="3546" w:hanging="360"/>
      </w:pPr>
    </w:lvl>
    <w:lvl w:ilvl="5" w:tentative="0">
      <w:start w:val="1"/>
      <w:numFmt w:val="decimal"/>
      <w:lvlText w:val="%6."/>
      <w:lvlJc w:val="left"/>
      <w:pPr>
        <w:tabs>
          <w:tab w:val="left" w:pos="4266"/>
        </w:tabs>
        <w:ind w:left="4266" w:hanging="360"/>
      </w:pPr>
    </w:lvl>
    <w:lvl w:ilvl="6" w:tentative="0">
      <w:start w:val="1"/>
      <w:numFmt w:val="decimal"/>
      <w:lvlText w:val="%7."/>
      <w:lvlJc w:val="left"/>
      <w:pPr>
        <w:tabs>
          <w:tab w:val="left" w:pos="4986"/>
        </w:tabs>
        <w:ind w:left="4986" w:hanging="360"/>
      </w:pPr>
    </w:lvl>
    <w:lvl w:ilvl="7" w:tentative="0">
      <w:start w:val="1"/>
      <w:numFmt w:val="decimal"/>
      <w:lvlText w:val="%8."/>
      <w:lvlJc w:val="left"/>
      <w:pPr>
        <w:tabs>
          <w:tab w:val="left" w:pos="5706"/>
        </w:tabs>
        <w:ind w:left="5706" w:hanging="360"/>
      </w:pPr>
    </w:lvl>
    <w:lvl w:ilvl="8" w:tentative="0">
      <w:start w:val="1"/>
      <w:numFmt w:val="decimal"/>
      <w:lvlText w:val="%9."/>
      <w:lvlJc w:val="left"/>
      <w:pPr>
        <w:tabs>
          <w:tab w:val="left" w:pos="6426"/>
        </w:tabs>
        <w:ind w:left="6426" w:hanging="360"/>
      </w:pPr>
    </w:lvl>
  </w:abstractNum>
  <w:abstractNum w:abstractNumId="1">
    <w:nsid w:val="4AA049BC"/>
    <w:multiLevelType w:val="singleLevel"/>
    <w:tmpl w:val="4AA049BC"/>
    <w:lvl w:ilvl="0" w:tentative="0">
      <w:start w:val="1"/>
      <w:numFmt w:val="chineseCounting"/>
      <w:suff w:val="nothing"/>
      <w:lvlText w:val="（%1）"/>
      <w:lvlJc w:val="left"/>
      <w:rPr>
        <w:rFonts w:hint="eastAsia"/>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3D"/>
    <w:rsid w:val="00263D9D"/>
    <w:rsid w:val="005F25FB"/>
    <w:rsid w:val="00786556"/>
    <w:rsid w:val="00837AF8"/>
    <w:rsid w:val="009557E1"/>
    <w:rsid w:val="00957312"/>
    <w:rsid w:val="00B5013D"/>
    <w:rsid w:val="00C7575E"/>
    <w:rsid w:val="00D71E6C"/>
    <w:rsid w:val="00E66869"/>
    <w:rsid w:val="00F35140"/>
    <w:rsid w:val="00FD26F3"/>
    <w:rsid w:val="03A96FF6"/>
    <w:rsid w:val="05874AEA"/>
    <w:rsid w:val="309A43BE"/>
    <w:rsid w:val="388624A5"/>
    <w:rsid w:val="39944EF1"/>
    <w:rsid w:val="50A04544"/>
    <w:rsid w:val="5D0956D9"/>
    <w:rsid w:val="64872D9A"/>
    <w:rsid w:val="6A465414"/>
    <w:rsid w:val="74342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0" w:afterAutospacing="1"/>
      <w:jc w:val="left"/>
      <w:outlineLvl w:val="0"/>
    </w:pPr>
    <w:rPr>
      <w:rFonts w:hint="eastAsia" w:ascii="宋体" w:hAnsi="宋体"/>
      <w:b/>
      <w:color w:val="333333"/>
      <w:kern w:val="44"/>
      <w:sz w:val="42"/>
      <w:szCs w:val="42"/>
    </w:rPr>
  </w:style>
  <w:style w:type="paragraph" w:styleId="4">
    <w:name w:val="heading 3"/>
    <w:basedOn w:val="1"/>
    <w:next w:val="1"/>
    <w:semiHidden/>
    <w:unhideWhenUsed/>
    <w:qFormat/>
    <w:uiPriority w:val="0"/>
    <w:pPr>
      <w:spacing w:after="0"/>
      <w:jc w:val="left"/>
      <w:outlineLvl w:val="2"/>
    </w:pPr>
    <w:rPr>
      <w:rFonts w:hint="eastAsia" w:ascii="宋体" w:hAnsi="宋体"/>
      <w:b/>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firstLineChars="200"/>
    </w:pPr>
    <w:rPr>
      <w:rFonts w:ascii="Arial" w:hAnsi="Arial" w:cs="宋体"/>
      <w:sz w:val="28"/>
      <w:szCs w:val="28"/>
    </w:rPr>
  </w:style>
  <w:style w:type="paragraph" w:styleId="5">
    <w:name w:val="annotation text"/>
    <w:basedOn w:val="1"/>
    <w:link w:val="29"/>
    <w:qFormat/>
    <w:uiPriority w:val="0"/>
    <w:pPr>
      <w:jc w:val="left"/>
    </w:pPr>
  </w:style>
  <w:style w:type="paragraph" w:styleId="6">
    <w:name w:val="Body Text Indent"/>
    <w:basedOn w:val="1"/>
    <w:qFormat/>
    <w:uiPriority w:val="0"/>
    <w:pPr>
      <w:ind w:firstLine="570"/>
    </w:pPr>
    <w:rPr>
      <w:rFonts w:ascii="宋体" w:hAnsi="宋体"/>
      <w:kern w:val="0"/>
      <w:sz w:val="32"/>
    </w:rPr>
  </w:style>
  <w:style w:type="paragraph" w:styleId="7">
    <w:name w:val="Plain Text"/>
    <w:basedOn w:val="1"/>
    <w:unhideWhenUsed/>
    <w:qFormat/>
    <w:uiPriority w:val="99"/>
    <w:rPr>
      <w:rFonts w:ascii="宋体" w:hAnsi="Courier New" w:cs="Courier New"/>
      <w:szCs w:val="21"/>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5"/>
    <w:next w:val="5"/>
    <w:link w:val="30"/>
    <w:qFormat/>
    <w:uiPriority w:val="0"/>
    <w:rPr>
      <w:b/>
      <w:bCs/>
    </w:rPr>
  </w:style>
  <w:style w:type="character" w:styleId="15">
    <w:name w:val="Strong"/>
    <w:basedOn w:val="14"/>
    <w:qFormat/>
    <w:uiPriority w:val="0"/>
    <w:rPr>
      <w:b/>
    </w:rPr>
  </w:style>
  <w:style w:type="character" w:styleId="16">
    <w:name w:val="FollowedHyperlink"/>
    <w:basedOn w:val="14"/>
    <w:qFormat/>
    <w:uiPriority w:val="0"/>
    <w:rPr>
      <w:color w:val="338DE6"/>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Variable"/>
    <w:basedOn w:val="14"/>
    <w:qFormat/>
    <w:uiPriority w:val="0"/>
  </w:style>
  <w:style w:type="character" w:styleId="20">
    <w:name w:val="Hyperlink"/>
    <w:basedOn w:val="14"/>
    <w:qFormat/>
    <w:uiPriority w:val="0"/>
    <w:rPr>
      <w:color w:val="338DE6"/>
      <w:u w:val="none"/>
    </w:rPr>
  </w:style>
  <w:style w:type="character" w:styleId="21">
    <w:name w:val="HTML Code"/>
    <w:basedOn w:val="14"/>
    <w:qFormat/>
    <w:uiPriority w:val="0"/>
    <w:rPr>
      <w:rFonts w:ascii="serif" w:hAnsi="serif" w:eastAsia="serif" w:cs="serif"/>
      <w:sz w:val="21"/>
      <w:szCs w:val="21"/>
    </w:rPr>
  </w:style>
  <w:style w:type="character" w:styleId="22">
    <w:name w:val="annotation reference"/>
    <w:basedOn w:val="14"/>
    <w:qFormat/>
    <w:uiPriority w:val="0"/>
    <w:rPr>
      <w:sz w:val="21"/>
      <w:szCs w:val="21"/>
    </w:rPr>
  </w:style>
  <w:style w:type="character" w:styleId="23">
    <w:name w:val="HTML Cite"/>
    <w:basedOn w:val="14"/>
    <w:qFormat/>
    <w:uiPriority w:val="0"/>
  </w:style>
  <w:style w:type="character" w:styleId="24">
    <w:name w:val="HTML Keyboard"/>
    <w:basedOn w:val="14"/>
    <w:qFormat/>
    <w:uiPriority w:val="0"/>
    <w:rPr>
      <w:rFonts w:hint="default" w:ascii="serif" w:hAnsi="serif" w:eastAsia="serif" w:cs="serif"/>
      <w:sz w:val="21"/>
      <w:szCs w:val="21"/>
    </w:rPr>
  </w:style>
  <w:style w:type="character" w:styleId="25">
    <w:name w:val="HTML Sample"/>
    <w:basedOn w:val="14"/>
    <w:qFormat/>
    <w:uiPriority w:val="0"/>
    <w:rPr>
      <w:rFonts w:hint="default" w:ascii="serif" w:hAnsi="serif" w:eastAsia="serif" w:cs="serif"/>
      <w:sz w:val="21"/>
      <w:szCs w:val="21"/>
    </w:rPr>
  </w:style>
  <w:style w:type="paragraph" w:customStyle="1" w:styleId="26">
    <w:name w:val="列表段落1"/>
    <w:basedOn w:val="1"/>
    <w:unhideWhenUsed/>
    <w:qFormat/>
    <w:uiPriority w:val="34"/>
    <w:pPr>
      <w:ind w:firstLine="420" w:firstLineChars="200"/>
    </w:pPr>
  </w:style>
  <w:style w:type="paragraph" w:customStyle="1" w:styleId="27">
    <w:name w:val="列出段落2"/>
    <w:basedOn w:val="1"/>
    <w:qFormat/>
    <w:uiPriority w:val="99"/>
    <w:pPr>
      <w:ind w:firstLine="420" w:firstLineChars="200"/>
    </w:pPr>
  </w:style>
  <w:style w:type="character" w:customStyle="1" w:styleId="28">
    <w:name w:val="font31"/>
    <w:basedOn w:val="14"/>
    <w:qFormat/>
    <w:uiPriority w:val="0"/>
    <w:rPr>
      <w:rFonts w:hint="eastAsia" w:ascii="宋体" w:hAnsi="宋体" w:eastAsia="宋体" w:cs="宋体"/>
      <w:color w:val="000000"/>
      <w:sz w:val="24"/>
      <w:szCs w:val="24"/>
      <w:u w:val="none"/>
    </w:rPr>
  </w:style>
  <w:style w:type="character" w:customStyle="1" w:styleId="29">
    <w:name w:val="批注文字 Char"/>
    <w:basedOn w:val="14"/>
    <w:link w:val="5"/>
    <w:qFormat/>
    <w:uiPriority w:val="0"/>
    <w:rPr>
      <w:rFonts w:ascii="Calibri" w:hAnsi="Calibri"/>
      <w:kern w:val="2"/>
      <w:sz w:val="21"/>
      <w:szCs w:val="24"/>
    </w:rPr>
  </w:style>
  <w:style w:type="character" w:customStyle="1" w:styleId="30">
    <w:name w:val="批注主题 Char"/>
    <w:basedOn w:val="29"/>
    <w:link w:val="12"/>
    <w:qFormat/>
    <w:uiPriority w:val="0"/>
    <w:rPr>
      <w:rFonts w:ascii="Calibri" w:hAnsi="Calibri"/>
      <w:b/>
      <w:bCs/>
      <w:kern w:val="2"/>
      <w:sz w:val="21"/>
      <w:szCs w:val="24"/>
    </w:rPr>
  </w:style>
  <w:style w:type="character" w:customStyle="1" w:styleId="31">
    <w:name w:val="批注框文本 Char"/>
    <w:basedOn w:val="14"/>
    <w:link w:val="8"/>
    <w:qFormat/>
    <w:uiPriority w:val="0"/>
    <w:rPr>
      <w:rFonts w:ascii="Calibri" w:hAnsi="Calibri"/>
      <w:kern w:val="2"/>
      <w:sz w:val="18"/>
      <w:szCs w:val="18"/>
    </w:rPr>
  </w:style>
  <w:style w:type="paragraph" w:customStyle="1" w:styleId="32">
    <w:name w:val="修订1"/>
    <w:hidden/>
    <w:semiHidden/>
    <w:qFormat/>
    <w:uiPriority w:val="99"/>
    <w:pPr>
      <w:spacing w:after="200" w:line="276" w:lineRule="auto"/>
    </w:pPr>
    <w:rPr>
      <w:rFonts w:ascii="Calibri" w:hAnsi="Calibri" w:eastAsia="宋体" w:cs="Times New Roman"/>
      <w:kern w:val="2"/>
      <w:sz w:val="21"/>
      <w:szCs w:val="24"/>
      <w:lang w:val="en-US" w:eastAsia="zh-CN" w:bidi="ar-SA"/>
    </w:rPr>
  </w:style>
  <w:style w:type="character" w:customStyle="1" w:styleId="33">
    <w:name w:val="font11"/>
    <w:basedOn w:val="14"/>
    <w:qFormat/>
    <w:uiPriority w:val="0"/>
    <w:rPr>
      <w:rFonts w:hint="eastAsia" w:ascii="仿宋_GB2312" w:eastAsia="仿宋_GB2312" w:cs="仿宋_GB2312"/>
      <w:b/>
      <w:color w:val="000000"/>
      <w:sz w:val="24"/>
      <w:szCs w:val="24"/>
      <w:u w:val="none"/>
    </w:rPr>
  </w:style>
  <w:style w:type="character" w:customStyle="1" w:styleId="34">
    <w:name w:val="font21"/>
    <w:basedOn w:val="14"/>
    <w:qFormat/>
    <w:uiPriority w:val="0"/>
    <w:rPr>
      <w:rFonts w:hint="eastAsia" w:ascii="仿宋_GB2312" w:eastAsia="仿宋_GB2312" w:cs="仿宋_GB2312"/>
      <w:b/>
      <w:color w:val="000000"/>
      <w:sz w:val="24"/>
      <w:szCs w:val="24"/>
      <w:u w:val="none"/>
    </w:rPr>
  </w:style>
  <w:style w:type="character" w:customStyle="1" w:styleId="35">
    <w:name w:val="fontstrikethrough"/>
    <w:basedOn w:val="14"/>
    <w:qFormat/>
    <w:uiPriority w:val="0"/>
    <w:rPr>
      <w:strike/>
    </w:rPr>
  </w:style>
  <w:style w:type="character" w:customStyle="1" w:styleId="36">
    <w:name w:val="fontborder"/>
    <w:basedOn w:val="14"/>
    <w:qFormat/>
    <w:uiPriority w:val="0"/>
    <w:rPr>
      <w:bdr w:val="single" w:color="000000" w:sz="6" w:space="0"/>
    </w:rPr>
  </w:style>
  <w:style w:type="character" w:customStyle="1" w:styleId="37">
    <w:name w:val="long-title5"/>
    <w:basedOn w:val="14"/>
    <w:qFormat/>
    <w:uiPriority w:val="0"/>
  </w:style>
  <w:style w:type="character" w:customStyle="1" w:styleId="38">
    <w:name w:val="c-icon"/>
    <w:basedOn w:val="14"/>
    <w:qFormat/>
    <w:uiPriority w:val="0"/>
  </w:style>
  <w:style w:type="character" w:customStyle="1" w:styleId="39">
    <w:name w:val="hover25"/>
    <w:basedOn w:val="14"/>
    <w:qFormat/>
    <w:uiPriority w:val="0"/>
  </w:style>
  <w:style w:type="character" w:customStyle="1" w:styleId="40">
    <w:name w:val="hover26"/>
    <w:basedOn w:val="14"/>
    <w:qFormat/>
    <w:uiPriority w:val="0"/>
    <w:rPr>
      <w:color w:val="315EFB"/>
    </w:rPr>
  </w:style>
  <w:style w:type="paragraph" w:customStyle="1" w:styleId="41">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9"/>
    <customShpInfo spid="_x0000_s3080"/>
    <customShpInfo spid="_x0000_s3077"/>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951</Words>
  <Characters>5423</Characters>
  <Lines>45</Lines>
  <Paragraphs>12</Paragraphs>
  <TotalTime>0</TotalTime>
  <ScaleCrop>false</ScaleCrop>
  <LinksUpToDate>false</LinksUpToDate>
  <CharactersWithSpaces>6362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2022-03-21T07:43:00Z</dcterms:created>
  <dc:creator>meng</dc:creator>
  <cp:lastModifiedBy>null</cp:lastModifiedBy>
  <cp:lastPrinted>2022-03-21T07:43:00Z</cp:lastPrinted>
  <dcterms:modified xsi:type="dcterms:W3CDTF">2022-04-08T11:45:23Z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C78E59B68491493193D329D0490BF9DF</vt:lpwstr>
  </property>
  <property fmtid="{D5CDD505-2E9C-101B-9397-08002B2CF9AE}" pid="3" name="KSOProductBuildVer">
    <vt:lpwstr>2052-11.8.2.10229</vt:lpwstr>
  </property>
</Properties>
</file>