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jc w:val="left"/>
        <w:rPr>
          <w:rFonts w:hint="eastAsia" w:ascii="Times New Roman" w:hAnsi="Times New Roman" w:eastAsia="汉仪中黑简"/>
          <w:b/>
          <w:color w:val="000000"/>
          <w:spacing w:val="40"/>
          <w:szCs w:val="21"/>
          <w:lang w:eastAsia="zh-CN"/>
        </w:rPr>
      </w:pPr>
      <w:r>
        <w:rPr>
          <w:rFonts w:hint="eastAsia" w:ascii="Times New Roman" w:hAnsi="Times New Roman" w:eastAsia="汉仪中黑简"/>
          <w:b/>
          <w:color w:val="000000"/>
          <w:spacing w:val="40"/>
          <w:szCs w:val="21"/>
        </w:rPr>
        <w:t>附件</w:t>
      </w:r>
      <w:r>
        <w:rPr>
          <w:rFonts w:hint="eastAsia" w:ascii="Times New Roman" w:hAnsi="Times New Roman" w:eastAsia="汉仪中黑简"/>
          <w:b/>
          <w:color w:val="000000"/>
          <w:spacing w:val="40"/>
          <w:szCs w:val="21"/>
          <w:lang w:val="en-US" w:eastAsia="zh-CN"/>
        </w:rPr>
        <w:t>4</w:t>
      </w:r>
    </w:p>
    <w:p>
      <w:pPr>
        <w:tabs>
          <w:tab w:val="right" w:pos="4820"/>
          <w:tab w:val="left" w:pos="5103"/>
          <w:tab w:val="right" w:pos="8505"/>
        </w:tabs>
        <w:ind w:left="3759" w:leftChars="1790" w:firstLine="145" w:firstLineChars="50"/>
        <w:jc w:val="left"/>
        <w:rPr>
          <w:rFonts w:hint="default" w:ascii="汉仪书宋二简" w:hAnsi="Times New Roman" w:eastAsia="宋体"/>
          <w:color w:val="000000"/>
          <w:spacing w:val="20"/>
          <w:w w:val="110"/>
          <w:sz w:val="23"/>
          <w:szCs w:val="24"/>
          <w:lang w:val="en-US" w:eastAsia="zh-CN"/>
        </w:rPr>
      </w:pPr>
      <w:r>
        <w:rPr>
          <w:rFonts w:hint="eastAsia" w:ascii="Times New Roman" w:hAnsi="Times New Roman" w:eastAsia="汉仪中黑简"/>
          <w:color w:val="000000"/>
          <w:spacing w:val="40"/>
          <w:szCs w:val="21"/>
        </w:rPr>
        <w:t xml:space="preserve">    宗地编号：</w:t>
      </w:r>
      <w:r>
        <w:rPr>
          <w:rFonts w:hint="eastAsia"/>
        </w:rPr>
        <w:t xml:space="preserve">   </w:t>
      </w:r>
      <w:r>
        <w:rPr>
          <w:rFonts w:hint="eastAsia"/>
          <w:lang w:val="en-US" w:eastAsia="zh-CN"/>
        </w:rPr>
        <w:t>A321-0944</w:t>
      </w:r>
    </w:p>
    <w:p>
      <w:pPr>
        <w:tabs>
          <w:tab w:val="right" w:pos="4820"/>
          <w:tab w:val="left" w:pos="5103"/>
          <w:tab w:val="right" w:pos="8505"/>
        </w:tabs>
        <w:ind w:left="4322" w:leftChars="1291" w:hanging="1611" w:hangingChars="550"/>
        <w:jc w:val="left"/>
        <w:rPr>
          <w:rFonts w:ascii="汉仪书宋二简" w:hAnsi="Times New Roman" w:eastAsia="汉仪书宋二简"/>
          <w:color w:val="000000"/>
          <w:spacing w:val="20"/>
          <w:w w:val="110"/>
          <w:sz w:val="23"/>
          <w:szCs w:val="24"/>
        </w:rPr>
      </w:pPr>
    </w:p>
    <w:p>
      <w:pPr>
        <w:tabs>
          <w:tab w:val="right" w:pos="4820"/>
          <w:tab w:val="left" w:pos="5103"/>
          <w:tab w:val="right" w:pos="8505"/>
        </w:tabs>
        <w:spacing w:line="800" w:lineRule="exact"/>
        <w:ind w:firstLine="1156" w:firstLineChars="241"/>
        <w:rPr>
          <w:rFonts w:ascii="Times New Roman" w:hAnsi="Times New Roman" w:eastAsia="汉仪书宋二简"/>
          <w:bCs/>
          <w:color w:val="000000"/>
          <w:spacing w:val="40"/>
          <w:w w:val="110"/>
          <w:sz w:val="32"/>
          <w:szCs w:val="24"/>
        </w:rPr>
      </w:pPr>
      <w:r>
        <w:rPr>
          <w:rFonts w:hint="eastAsia" w:ascii="Times New Roman" w:hAnsi="Times New Roman" w:eastAsia="汉仪中黑简"/>
          <w:color w:val="000000"/>
          <w:spacing w:val="40"/>
          <w:sz w:val="40"/>
          <w:szCs w:val="24"/>
        </w:rPr>
        <w:t>深圳市土地使用权出让合同书</w:t>
      </w:r>
    </w:p>
    <w:p>
      <w:pPr>
        <w:tabs>
          <w:tab w:val="right" w:pos="4820"/>
          <w:tab w:val="left" w:pos="5103"/>
          <w:tab w:val="right" w:pos="8505"/>
        </w:tabs>
        <w:spacing w:after="800" w:line="360" w:lineRule="exact"/>
        <w:jc w:val="center"/>
        <w:rPr>
          <w:rFonts w:ascii="汉仪书宋二简" w:hAnsi="宋体" w:eastAsia="汉仪书宋二简"/>
          <w:color w:val="FF0000"/>
          <w:spacing w:val="20"/>
          <w:w w:val="110"/>
          <w:sz w:val="23"/>
          <w:szCs w:val="24"/>
        </w:rPr>
      </w:pPr>
      <w:r>
        <w:rPr>
          <w:rFonts w:hint="eastAsia" w:ascii="汉仪书宋二简" w:hAnsi="Times New Roman" w:eastAsia="汉仪书宋二简"/>
          <w:color w:val="FF0000"/>
          <w:spacing w:val="20"/>
          <w:w w:val="110"/>
          <w:sz w:val="24"/>
          <w:szCs w:val="24"/>
        </w:rPr>
        <w:t>深地合字（</w:t>
      </w:r>
      <w:r>
        <w:rPr>
          <w:rFonts w:hint="eastAsia" w:ascii="汉仪书宋二简" w:hAnsi="Times New Roman" w:eastAsia="汉仪书宋二简"/>
          <w:color w:val="FF0000"/>
          <w:spacing w:val="20"/>
          <w:w w:val="110"/>
          <w:sz w:val="24"/>
          <w:szCs w:val="24"/>
          <w:lang w:val="en-US" w:eastAsia="zh-CN"/>
        </w:rPr>
        <w:t>2022）</w:t>
      </w:r>
      <w:r>
        <w:rPr>
          <w:rFonts w:hint="eastAsia" w:ascii="汉仪书宋二简" w:hAnsi="Times New Roman" w:eastAsia="汉仪书宋二简"/>
          <w:color w:val="FF0000"/>
          <w:spacing w:val="20"/>
          <w:w w:val="110"/>
          <w:sz w:val="24"/>
          <w:szCs w:val="24"/>
        </w:rPr>
        <w:t>号</w:t>
      </w:r>
    </w:p>
    <w:p>
      <w:pPr>
        <w:tabs>
          <w:tab w:val="right" w:pos="4820"/>
          <w:tab w:val="left" w:pos="5103"/>
          <w:tab w:val="right" w:pos="8505"/>
        </w:tabs>
        <w:spacing w:line="56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一、本合同双方当事人</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出  让 方：</w:t>
      </w:r>
      <w:r>
        <w:rPr>
          <w:rFonts w:hint="eastAsia" w:ascii="汉仪书宋二简" w:hAnsi="Times New Roman" w:eastAsia="汉仪书宋二简"/>
          <w:color w:val="000000"/>
          <w:spacing w:val="20"/>
          <w:w w:val="110"/>
          <w:sz w:val="23"/>
          <w:szCs w:val="24"/>
          <w:u w:val="single"/>
        </w:rPr>
        <w:t>深圳市规划和自然资源局宝安管理局</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（以下简称甲方）</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lang w:val="en-US" w:eastAsia="zh-CN"/>
        </w:rPr>
        <w:t>黄文辉</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局长</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深圳市宝安区前进一路293号 </w:t>
      </w:r>
      <w:r>
        <w:rPr>
          <w:rFonts w:hint="eastAsia" w:ascii="汉仪书宋二简" w:hAnsi="Times New Roman" w:eastAsia="汉仪书宋二简"/>
          <w:color w:val="000000"/>
          <w:spacing w:val="20"/>
          <w:w w:val="110"/>
          <w:sz w:val="23"/>
          <w:szCs w:val="24"/>
        </w:rPr>
        <w:t xml:space="preserve">    </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27820114</w:t>
      </w:r>
    </w:p>
    <w:p>
      <w:pPr>
        <w:tabs>
          <w:tab w:val="right" w:pos="5220"/>
          <w:tab w:val="left" w:pos="5760"/>
          <w:tab w:val="right" w:pos="8505"/>
        </w:tabs>
        <w:spacing w:line="560" w:lineRule="exact"/>
        <w:ind w:firstLine="586" w:firstLineChars="200"/>
        <w:rPr>
          <w:rFonts w:ascii="汉仪书宋二简" w:hAnsi="Times New Roman" w:eastAsia="汉仪书宋二简"/>
          <w:spacing w:val="20"/>
          <w:w w:val="110"/>
          <w:sz w:val="23"/>
          <w:szCs w:val="24"/>
          <w:u w:val="single"/>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u w:val="single"/>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left="2309" w:leftChars="275" w:hanging="1731" w:hangingChars="591"/>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left" w:pos="5103"/>
          <w:tab w:val="right" w:pos="8505"/>
        </w:tabs>
        <w:spacing w:line="5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二、根据国家有关法律、法规及深圳市的有关规定，订立本合同。</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三、甲方向乙方出让土地的使用权，土地所有权属于国家。地下自然资源、埋藏物均不在土地使用权出让范围。</w:t>
      </w:r>
    </w:p>
    <w:p>
      <w:pPr>
        <w:tabs>
          <w:tab w:val="right" w:pos="4820"/>
          <w:tab w:val="left" w:pos="5103"/>
          <w:tab w:val="right" w:pos="8505"/>
        </w:tabs>
        <w:spacing w:line="500" w:lineRule="exact"/>
        <w:ind w:firstLine="586" w:firstLineChars="200"/>
        <w:rPr>
          <w:rFonts w:hint="eastAsia"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四、本合同签订之日，甲方将宗地编号为</w:t>
      </w:r>
      <w:r>
        <w:rPr>
          <w:rFonts w:hint="eastAsia" w:ascii="汉仪书宋二简" w:hAnsi="Times New Roman" w:eastAsia="汉仪书宋二简"/>
          <w:spacing w:val="20"/>
          <w:w w:val="110"/>
          <w:sz w:val="23"/>
          <w:szCs w:val="24"/>
          <w:lang w:val="en-US" w:eastAsia="zh-CN"/>
        </w:rPr>
        <w:t>A321-0944</w:t>
      </w:r>
      <w:r>
        <w:rPr>
          <w:rFonts w:hint="eastAsia" w:ascii="汉仪书宋二简" w:hAnsi="Times New Roman" w:eastAsia="汉仪书宋二简"/>
          <w:spacing w:val="20"/>
          <w:w w:val="110"/>
          <w:sz w:val="23"/>
          <w:szCs w:val="24"/>
        </w:rPr>
        <w:t>宗地，土地总面积为40932.48平方米的土地使用权出让给乙方，乙方对上述宗地的现状无任何异议。本合同签订后，则视为甲方已向乙方交付土地。</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五、上述宗地的使用年期为</w:t>
      </w:r>
      <w:r>
        <w:rPr>
          <w:rFonts w:hint="eastAsia" w:ascii="汉仪书宋二简" w:hAnsi="Times New Roman" w:eastAsia="汉仪书宋二简"/>
          <w:spacing w:val="20"/>
          <w:w w:val="110"/>
          <w:sz w:val="23"/>
          <w:szCs w:val="24"/>
          <w:u w:val="single"/>
        </w:rPr>
        <w:t>叁拾</w:t>
      </w:r>
      <w:r>
        <w:rPr>
          <w:rFonts w:hint="eastAsia" w:ascii="汉仪书宋二简" w:hAnsi="Times New Roman" w:eastAsia="汉仪书宋二简"/>
          <w:spacing w:val="20"/>
          <w:w w:val="110"/>
          <w:sz w:val="8"/>
          <w:szCs w:val="24"/>
        </w:rPr>
        <w:t xml:space="preserve"> </w:t>
      </w:r>
      <w:r>
        <w:rPr>
          <w:rFonts w:hint="eastAsia" w:ascii="汉仪书宋二简" w:hAnsi="Times New Roman" w:eastAsia="汉仪书宋二简"/>
          <w:spacing w:val="20"/>
          <w:w w:val="110"/>
          <w:sz w:val="23"/>
          <w:szCs w:val="24"/>
        </w:rPr>
        <w:t>年，从</w:t>
      </w:r>
      <w:r>
        <w:rPr>
          <w:rFonts w:hint="eastAsia" w:ascii="汉仪书宋二简" w:hAnsi="Times New Roman" w:eastAsia="汉仪书宋二简"/>
          <w:spacing w:val="20"/>
          <w:w w:val="110"/>
          <w:sz w:val="23"/>
          <w:szCs w:val="24"/>
          <w:u w:val="single"/>
        </w:rPr>
        <w:t>20</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日起至</w:t>
      </w:r>
      <w:r>
        <w:rPr>
          <w:rFonts w:hint="eastAsia" w:ascii="汉仪书宋二简" w:hAnsi="Times New Roman" w:eastAsia="汉仪书宋二简"/>
          <w:spacing w:val="20"/>
          <w:w w:val="110"/>
          <w:sz w:val="23"/>
          <w:szCs w:val="24"/>
          <w:u w:val="single"/>
        </w:rPr>
        <w:t xml:space="preserve">20  </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日止。</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六、土地用途为</w:t>
      </w:r>
      <w:r>
        <w:rPr>
          <w:rFonts w:hint="eastAsia" w:ascii="汉仪书宋二简" w:hAnsi="Times New Roman" w:eastAsia="汉仪书宋二简"/>
          <w:spacing w:val="20"/>
          <w:w w:val="110"/>
          <w:sz w:val="23"/>
          <w:szCs w:val="24"/>
          <w:lang w:val="en-US" w:eastAsia="zh-CN"/>
        </w:rPr>
        <w:t>普通工业用地</w:t>
      </w:r>
      <w:r>
        <w:rPr>
          <w:rFonts w:hint="eastAsia" w:ascii="汉仪书宋二简" w:hAnsi="Times New Roman" w:eastAsia="汉仪书宋二简"/>
          <w:spacing w:val="20"/>
          <w:w w:val="110"/>
          <w:sz w:val="23"/>
          <w:szCs w:val="24"/>
        </w:rPr>
        <w:t>。</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lang w:val="en-US" w:eastAsia="zh-CN"/>
        </w:rPr>
        <w:t>七</w:t>
      </w:r>
      <w:r>
        <w:rPr>
          <w:rFonts w:hint="eastAsia" w:ascii="汉仪书宋二简" w:hAnsi="Times New Roman" w:eastAsia="汉仪书宋二简"/>
          <w:spacing w:val="20"/>
          <w:w w:val="110"/>
          <w:sz w:val="23"/>
          <w:szCs w:val="24"/>
        </w:rPr>
        <w:t>、</w:t>
      </w:r>
      <w:r>
        <w:rPr>
          <w:rFonts w:hint="eastAsia" w:ascii="汉仪书宋二简" w:hAnsi="Times New Roman" w:eastAsia="汉仪书宋二简"/>
          <w:color w:val="000000"/>
          <w:spacing w:val="20"/>
          <w:w w:val="110"/>
          <w:sz w:val="23"/>
          <w:szCs w:val="24"/>
        </w:rPr>
        <w:t>上述宗地土地使用权出让的总地价款为人民币</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万元</w:t>
      </w:r>
      <w:r>
        <w:rPr>
          <w:rFonts w:hint="eastAsia" w:ascii="汉仪书宋二简" w:hAnsi="Times New Roman" w:eastAsia="汉仪书宋二简"/>
          <w:color w:val="000000"/>
          <w:spacing w:val="20"/>
          <w:w w:val="110"/>
          <w:sz w:val="23"/>
          <w:szCs w:val="24"/>
        </w:rPr>
        <w:t>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元）。其中，出让金为人民币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元）；土地开发金为人民币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元）；市政配套设施金为人民币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lang w:val="en-US" w:eastAsia="zh-CN"/>
        </w:rPr>
        <w:t>八</w:t>
      </w:r>
      <w:r>
        <w:rPr>
          <w:rFonts w:hint="eastAsia" w:ascii="汉仪书宋二简" w:hAnsi="Times New Roman" w:eastAsia="汉仪书宋二简"/>
          <w:spacing w:val="20"/>
          <w:w w:val="110"/>
          <w:sz w:val="23"/>
          <w:szCs w:val="24"/>
        </w:rPr>
        <w:t>、乙方同意按下列其中第</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spacing w:val="20"/>
          <w:w w:val="110"/>
          <w:sz w:val="23"/>
          <w:szCs w:val="24"/>
        </w:rPr>
        <w:t>种方式给付地价款：</w:t>
      </w:r>
    </w:p>
    <w:p>
      <w:pPr>
        <w:spacing w:line="52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spacing w:val="20"/>
          <w:w w:val="110"/>
          <w:sz w:val="23"/>
          <w:szCs w:val="24"/>
        </w:rPr>
        <w:t>（一）</w:t>
      </w:r>
      <w:r>
        <w:rPr>
          <w:rFonts w:hint="eastAsia" w:ascii="汉仪书宋二简" w:hAnsi="Times New Roman" w:eastAsia="汉仪书宋二简"/>
          <w:color w:val="000000"/>
          <w:spacing w:val="20"/>
          <w:w w:val="110"/>
          <w:sz w:val="23"/>
          <w:szCs w:val="24"/>
        </w:rPr>
        <w:t>自本合同签订之日起</w:t>
      </w:r>
      <w:r>
        <w:rPr>
          <w:rFonts w:hint="eastAsia" w:ascii="汉仪书宋二简" w:hAnsi="Times New Roman" w:eastAsia="汉仪书宋二简"/>
          <w:color w:val="000000"/>
          <w:spacing w:val="20"/>
          <w:w w:val="110"/>
          <w:sz w:val="23"/>
          <w:szCs w:val="24"/>
          <w:lang w:val="en-US" w:eastAsia="zh-CN"/>
        </w:rPr>
        <w:t>1</w:t>
      </w:r>
      <w:r>
        <w:rPr>
          <w:rFonts w:hint="eastAsia" w:ascii="汉仪书宋二简" w:hAnsi="Times New Roman" w:eastAsia="汉仪书宋二简"/>
          <w:color w:val="000000"/>
          <w:spacing w:val="20"/>
          <w:w w:val="110"/>
          <w:sz w:val="23"/>
          <w:szCs w:val="24"/>
        </w:rPr>
        <w:t>5个工作日内，一次性付清总地价款；</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w:t>
      </w:r>
      <w:r>
        <w:rPr>
          <w:rFonts w:hint="eastAsia" w:ascii="汉仪书宋二简" w:hAnsi="Times New Roman" w:eastAsia="汉仪书宋二简"/>
          <w:color w:val="000000"/>
          <w:spacing w:val="20"/>
          <w:w w:val="110"/>
          <w:sz w:val="23"/>
          <w:szCs w:val="24"/>
        </w:rPr>
        <w:t>自本合同签订之日起15个工作日内支付不低于50%的地价款，余款一年内不计利息付清。</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九</w:t>
      </w:r>
      <w:r>
        <w:rPr>
          <w:rFonts w:hint="eastAsia" w:ascii="汉仪书宋二简" w:hAnsi="Times New Roman" w:eastAsia="汉仪书宋二简"/>
          <w:color w:val="auto"/>
          <w:spacing w:val="20"/>
          <w:w w:val="110"/>
          <w:sz w:val="23"/>
          <w:szCs w:val="24"/>
        </w:rPr>
        <w:t>、土地利用要求：</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（一）建筑容积率：≤</w:t>
      </w:r>
      <w:r>
        <w:rPr>
          <w:rFonts w:hint="eastAsia" w:ascii="汉仪书宋二简" w:hAnsi="Times New Roman" w:eastAsiaTheme="minorEastAsia"/>
          <w:color w:val="auto"/>
          <w:spacing w:val="20"/>
          <w:w w:val="110"/>
          <w:sz w:val="23"/>
          <w:szCs w:val="24"/>
          <w:lang w:val="en-US" w:eastAsia="zh-CN"/>
        </w:rPr>
        <w:t>4.3</w:t>
      </w:r>
    </w:p>
    <w:p>
      <w:pPr>
        <w:tabs>
          <w:tab w:val="right" w:pos="4820"/>
          <w:tab w:val="left" w:pos="5103"/>
          <w:tab w:val="right" w:pos="8505"/>
        </w:tabs>
        <w:spacing w:line="500" w:lineRule="exact"/>
        <w:ind w:firstLine="489" w:firstLineChars="167"/>
        <w:rPr>
          <w:rFonts w:hint="default" w:ascii="宋体" w:hAnsi="宋体" w:eastAsia="汉仪书宋二简" w:cs="宋体"/>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（二）建筑覆盖率：</w:t>
      </w:r>
      <w:r>
        <w:rPr>
          <w:rFonts w:hint="eastAsia" w:ascii="宋体" w:hAnsi="宋体" w:eastAsia="汉仪书宋二简" w:cs="宋体"/>
          <w:color w:val="auto"/>
          <w:spacing w:val="20"/>
          <w:w w:val="110"/>
          <w:sz w:val="23"/>
          <w:szCs w:val="24"/>
          <w:lang w:val="en-US" w:eastAsia="zh-CN"/>
        </w:rPr>
        <w:t>≤50%</w:t>
      </w:r>
    </w:p>
    <w:p>
      <w:pPr>
        <w:tabs>
          <w:tab w:val="right" w:pos="4820"/>
          <w:tab w:val="left" w:pos="5103"/>
          <w:tab w:val="right" w:pos="8505"/>
        </w:tabs>
        <w:spacing w:line="500" w:lineRule="exact"/>
        <w:ind w:firstLine="489" w:firstLineChars="167"/>
        <w:rPr>
          <w:rFonts w:hint="default"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（三）建筑间距：</w:t>
      </w:r>
      <w:r>
        <w:rPr>
          <w:rFonts w:hint="eastAsia" w:ascii="汉仪书宋二简" w:hAnsi="Times New Roman" w:eastAsia="汉仪书宋二简"/>
          <w:color w:val="auto"/>
          <w:spacing w:val="20"/>
          <w:w w:val="110"/>
          <w:sz w:val="23"/>
          <w:szCs w:val="24"/>
          <w:lang w:val="en-US" w:eastAsia="zh-CN"/>
        </w:rPr>
        <w:t>满足日照及消防间距等要求</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（四）建筑高度或层数：</w:t>
      </w:r>
      <w:r>
        <w:rPr>
          <w:rFonts w:hint="eastAsia" w:ascii="宋体" w:hAnsi="宋体" w:eastAsia="汉仪书宋二简" w:cs="宋体"/>
          <w:color w:val="auto"/>
          <w:spacing w:val="20"/>
          <w:w w:val="110"/>
          <w:sz w:val="23"/>
          <w:szCs w:val="24"/>
          <w:lang w:val="en-US" w:eastAsia="zh-CN"/>
        </w:rPr>
        <w:t>≤100米并</w:t>
      </w:r>
      <w:r>
        <w:rPr>
          <w:rFonts w:hint="eastAsia" w:ascii="宋体" w:hAnsi="宋体" w:cs="宋体"/>
          <w:color w:val="auto"/>
          <w:spacing w:val="20"/>
          <w:w w:val="110"/>
          <w:sz w:val="23"/>
          <w:szCs w:val="24"/>
        </w:rPr>
        <w:t>满足航空限高要求</w:t>
      </w:r>
    </w:p>
    <w:p>
      <w:pPr>
        <w:tabs>
          <w:tab w:val="right" w:pos="4820"/>
          <w:tab w:val="left" w:pos="5103"/>
          <w:tab w:val="right" w:pos="8505"/>
        </w:tabs>
        <w:spacing w:line="500" w:lineRule="exact"/>
        <w:ind w:firstLine="489" w:firstLineChars="167"/>
        <w:rPr>
          <w:rFonts w:hint="default" w:ascii="宋体" w:hAnsi="宋体" w:eastAsia="宋体" w:cs="宋体"/>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（五）</w:t>
      </w:r>
      <w:r>
        <w:rPr>
          <w:rFonts w:hint="eastAsia" w:ascii="宋体" w:hAnsi="宋体" w:cs="宋体"/>
          <w:color w:val="auto"/>
          <w:spacing w:val="20"/>
          <w:w w:val="110"/>
          <w:sz w:val="23"/>
          <w:szCs w:val="24"/>
        </w:rPr>
        <w:t>计规定容积率建筑面积</w:t>
      </w:r>
      <w:r>
        <w:rPr>
          <w:rFonts w:hint="eastAsia" w:ascii="宋体" w:hAnsi="宋体" w:cs="宋体"/>
          <w:color w:val="auto"/>
          <w:spacing w:val="20"/>
          <w:w w:val="110"/>
          <w:sz w:val="23"/>
          <w:szCs w:val="24"/>
          <w:lang w:val="en-US" w:eastAsia="zh-CN"/>
        </w:rPr>
        <w:t>176009</w:t>
      </w:r>
      <w:r>
        <w:rPr>
          <w:rFonts w:hint="eastAsia" w:ascii="宋体" w:hAnsi="宋体" w:cs="宋体"/>
          <w:color w:val="auto"/>
          <w:spacing w:val="20"/>
          <w:w w:val="110"/>
          <w:sz w:val="23"/>
          <w:szCs w:val="24"/>
        </w:rPr>
        <w:t>平方米。其中，</w:t>
      </w:r>
      <w:r>
        <w:rPr>
          <w:rFonts w:hint="eastAsia" w:ascii="宋体" w:hAnsi="宋体" w:cs="宋体"/>
          <w:color w:val="auto"/>
          <w:spacing w:val="20"/>
          <w:w w:val="110"/>
          <w:sz w:val="23"/>
          <w:szCs w:val="24"/>
          <w:lang w:val="en-US" w:eastAsia="zh-CN"/>
        </w:rPr>
        <w:t>厂房123409平方米，宿舍52000平方米，仓库600平方米。</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rPr>
      </w:pPr>
      <w:r>
        <w:rPr>
          <w:rFonts w:hint="eastAsia" w:ascii="宋体" w:hAnsi="宋体" w:cs="宋体"/>
          <w:color w:val="auto"/>
          <w:spacing w:val="20"/>
          <w:w w:val="110"/>
          <w:sz w:val="23"/>
          <w:szCs w:val="24"/>
        </w:rPr>
        <w:t>（六）总体布局及相关建设要求：</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highlight w:val="yellow"/>
          <w:lang w:val="en-US" w:eastAsia="zh-CN"/>
        </w:rPr>
      </w:pPr>
      <w:r>
        <w:rPr>
          <w:rFonts w:hint="eastAsia" w:ascii="宋体" w:hAnsi="宋体" w:cs="宋体"/>
          <w:color w:val="auto"/>
          <w:spacing w:val="20"/>
          <w:w w:val="110"/>
          <w:sz w:val="23"/>
          <w:szCs w:val="24"/>
          <w:lang w:val="en-US" w:eastAsia="zh-CN"/>
        </w:rPr>
        <w:t>1.</w:t>
      </w:r>
      <w:r>
        <w:rPr>
          <w:rFonts w:hint="eastAsia" w:ascii="宋体" w:hAnsi="宋体" w:cs="宋体"/>
          <w:color w:val="auto"/>
          <w:spacing w:val="20"/>
          <w:w w:val="110"/>
          <w:sz w:val="23"/>
          <w:szCs w:val="24"/>
        </w:rPr>
        <w:tab/>
      </w:r>
      <w:r>
        <w:rPr>
          <w:rFonts w:hint="eastAsia" w:ascii="宋体" w:hAnsi="宋体" w:cs="宋体"/>
          <w:color w:val="auto"/>
          <w:spacing w:val="20"/>
          <w:w w:val="110"/>
          <w:sz w:val="23"/>
          <w:szCs w:val="24"/>
        </w:rPr>
        <w:t>总体布局</w:t>
      </w:r>
      <w:r>
        <w:rPr>
          <w:rFonts w:hint="eastAsia" w:ascii="宋体" w:hAnsi="宋体" w:cs="宋体"/>
          <w:color w:val="auto"/>
          <w:spacing w:val="20"/>
          <w:w w:val="110"/>
          <w:sz w:val="23"/>
          <w:szCs w:val="24"/>
          <w:lang w:eastAsia="zh-CN"/>
        </w:rPr>
        <w:t>、</w:t>
      </w:r>
      <w:r>
        <w:rPr>
          <w:rFonts w:hint="eastAsia" w:ascii="宋体" w:hAnsi="宋体" w:cs="宋体"/>
          <w:color w:val="auto"/>
          <w:spacing w:val="20"/>
          <w:w w:val="110"/>
          <w:sz w:val="23"/>
          <w:szCs w:val="24"/>
          <w:lang w:val="en-US" w:eastAsia="zh-CN"/>
        </w:rPr>
        <w:t>建筑退线、</w:t>
      </w:r>
      <w:r>
        <w:rPr>
          <w:rFonts w:hint="eastAsia" w:ascii="宋体" w:hAnsi="宋体" w:cs="宋体"/>
          <w:color w:val="auto"/>
          <w:spacing w:val="20"/>
          <w:w w:val="110"/>
          <w:sz w:val="23"/>
          <w:szCs w:val="24"/>
        </w:rPr>
        <w:t>绿化覆盖率</w:t>
      </w:r>
      <w:r>
        <w:rPr>
          <w:rFonts w:hint="eastAsia" w:ascii="宋体" w:hAnsi="宋体" w:cs="宋体"/>
          <w:color w:val="auto"/>
          <w:spacing w:val="20"/>
          <w:w w:val="110"/>
          <w:sz w:val="23"/>
          <w:szCs w:val="24"/>
          <w:lang w:eastAsia="zh-CN"/>
        </w:rPr>
        <w:t>、</w:t>
      </w:r>
      <w:r>
        <w:rPr>
          <w:rFonts w:hint="eastAsia" w:ascii="宋体" w:hAnsi="宋体" w:cs="宋体"/>
          <w:color w:val="auto"/>
          <w:spacing w:val="20"/>
          <w:w w:val="110"/>
          <w:sz w:val="23"/>
          <w:szCs w:val="24"/>
          <w:lang w:val="en-US" w:eastAsia="zh-CN"/>
        </w:rPr>
        <w:t>机动车泊位等其他事项以《建设用地规划许可证》为准，并符合《深圳市城市规划标准与准则》及相关技术规范要求。</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2.本项目须按机动车停车位数量30%以上标准配建充电桩，剩余机动车停车位须预留充电设施建设安装条件。</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3.关于本项目环保节能有关规定，请根据《深圳市绿色建筑促进办法》的相关要求落实。</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4.根据深圳市海绵城市规划相关要求，项目雨水年径流总量控制率不应低于65%。</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5.项目应当按照《深圳市装配式建筑发展专项规划（2018-2020）》的要求实施装配式建筑，满足《深圳市装配式建筑评分规则》。</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6.在符合相关法律法规的情况下，允许本地块与A321-0943宗地地上地下联通。</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政府在建设周边市政道路及地下公共空间时，施工期间如需临时占用项目用地的应给予支持和配合。</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99"/>
          <w:sz w:val="23"/>
          <w:szCs w:val="24"/>
        </w:rPr>
      </w:pPr>
      <w:r>
        <w:rPr>
          <w:rFonts w:hint="eastAsia" w:ascii="汉仪书宋二简" w:hAnsi="Times New Roman" w:eastAsia="汉仪书宋二简"/>
          <w:color w:val="000000"/>
          <w:spacing w:val="20"/>
          <w:w w:val="110"/>
          <w:sz w:val="23"/>
          <w:szCs w:val="24"/>
        </w:rPr>
        <w:t>十、项目主体工程及附属工程竣工日期：20年  月 日前。</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一</w:t>
      </w:r>
      <w:r>
        <w:rPr>
          <w:rFonts w:hint="eastAsia" w:ascii="汉仪书宋二简" w:hAnsi="Times New Roman" w:eastAsia="汉仪书宋二简"/>
          <w:color w:val="000000"/>
          <w:spacing w:val="20"/>
          <w:w w:val="110"/>
          <w:sz w:val="23"/>
          <w:szCs w:val="24"/>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因甲方的过错致使乙方延迟使用土地的，甲方承担由此而造成乙方的经济损失。</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乙方在未交清上述地块的成交价款并取得《</w:t>
      </w:r>
      <w:r>
        <w:rPr>
          <w:rFonts w:hint="eastAsia" w:ascii="汉仪书宋二简" w:hAnsi="Times New Roman" w:eastAsia="汉仪书宋二简"/>
          <w:color w:val="000000"/>
          <w:spacing w:val="20"/>
          <w:w w:val="110"/>
          <w:sz w:val="23"/>
          <w:szCs w:val="24"/>
          <w:lang w:val="en-US" w:eastAsia="zh-CN"/>
        </w:rPr>
        <w:t>不动产权证</w:t>
      </w:r>
      <w:r>
        <w:rPr>
          <w:rFonts w:hint="eastAsia" w:ascii="汉仪书宋二简" w:hAnsi="Times New Roman" w:eastAsia="汉仪书宋二简"/>
          <w:color w:val="000000"/>
          <w:spacing w:val="20"/>
          <w:w w:val="110"/>
          <w:sz w:val="23"/>
          <w:szCs w:val="24"/>
        </w:rPr>
        <w:t>》前，不得抵押处分本地块。</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二</w:t>
      </w:r>
      <w:r>
        <w:rPr>
          <w:rFonts w:hint="eastAsia" w:ascii="汉仪书宋二简" w:hAnsi="Times New Roman" w:eastAsia="汉仪书宋二简"/>
          <w:color w:val="000000"/>
          <w:spacing w:val="20"/>
          <w:w w:val="110"/>
          <w:sz w:val="23"/>
          <w:szCs w:val="24"/>
        </w:rPr>
        <w:t>、乙方除向甲方给付本地块的成交价款外，每年还必须按规定缴付土地使用税。</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三</w:t>
      </w:r>
      <w:r>
        <w:rPr>
          <w:rFonts w:hint="eastAsia" w:ascii="汉仪书宋二简" w:hAnsi="Times New Roman" w:eastAsia="汉仪书宋二简"/>
          <w:color w:val="000000"/>
          <w:spacing w:val="20"/>
          <w:w w:val="110"/>
          <w:sz w:val="23"/>
          <w:szCs w:val="24"/>
        </w:rPr>
        <w:t>、乙方在土地使用年限内依照法律、法规、深圳市的有关规定以及本合同书的规定抵押土地使用权或将土地使用权用于其他经济活动，其合法权益受法律保护。乙方开发、利用、经营受让的土地，不得损害社会公共利益。</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四</w:t>
      </w:r>
      <w:r>
        <w:rPr>
          <w:rFonts w:hint="eastAsia" w:ascii="汉仪书宋二简" w:hAnsi="Times New Roman" w:eastAsia="汉仪书宋二简"/>
          <w:color w:val="000000"/>
          <w:spacing w:val="20"/>
          <w:w w:val="110"/>
          <w:sz w:val="23"/>
          <w:szCs w:val="24"/>
        </w:rPr>
        <w:t>、除法律法规另有规定外，本合同书规定的土地出让年限届满，甲方无偿收回出让地块的土地使用权，本地块上的建筑物及其他附着物也由甲方无偿取得。乙方承诺于20年  月  日前将土地及土地上建筑物、附着物无偿交给甲方，并在年期届满之日起十日内办理房地产权注销登记手续，否则由甲方移交房地产权登记部门迳行注销。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乙方如需继续使用本地块，可在期满前六个月内申请续期，甲方按届时土地政策和产业发展政策进行审批，批准续期的，续期年限与已使用年限之和不得超过国家规定的最高出让年限，并按规定缴纳地价。</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五</w:t>
      </w:r>
      <w:r>
        <w:rPr>
          <w:rFonts w:hint="eastAsia" w:ascii="汉仪书宋二简" w:hAnsi="Times New Roman" w:eastAsia="汉仪书宋二简"/>
          <w:color w:val="000000"/>
          <w:spacing w:val="20"/>
          <w:w w:val="110"/>
          <w:sz w:val="23"/>
          <w:szCs w:val="24"/>
        </w:rPr>
        <w:t>、其他要求</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w:t>
      </w:r>
      <w:r>
        <w:rPr>
          <w:rFonts w:hint="eastAsia" w:ascii="汉仪书宋二简" w:hAnsi="Times New Roman" w:eastAsia="汉仪书宋二简"/>
          <w:color w:val="000000"/>
          <w:spacing w:val="20"/>
          <w:w w:val="110"/>
          <w:sz w:val="23"/>
          <w:szCs w:val="24"/>
          <w:lang w:eastAsia="zh-CN"/>
        </w:rPr>
        <w:t>.</w:t>
      </w:r>
      <w:r>
        <w:rPr>
          <w:rFonts w:hint="eastAsia" w:ascii="汉仪书宋二简" w:hAnsi="Times New Roman" w:eastAsia="汉仪书宋二简"/>
          <w:color w:val="000000"/>
          <w:spacing w:val="20"/>
          <w:w w:val="110"/>
          <w:sz w:val="23"/>
          <w:szCs w:val="24"/>
        </w:rPr>
        <w:t>乙方已与宝安区工业信息化局签订了《</w:t>
      </w:r>
      <w:r>
        <w:rPr>
          <w:rFonts w:hint="eastAsia" w:ascii="汉仪书宋二简" w:hAnsi="Times New Roman" w:eastAsia="汉仪书宋二简"/>
          <w:color w:val="000000"/>
          <w:spacing w:val="20"/>
          <w:w w:val="110"/>
          <w:sz w:val="23"/>
          <w:szCs w:val="24"/>
          <w:lang w:val="en-US" w:eastAsia="zh-CN"/>
        </w:rPr>
        <w:t>深圳市</w:t>
      </w:r>
      <w:r>
        <w:rPr>
          <w:rFonts w:hint="eastAsia" w:ascii="汉仪书宋二简" w:hAnsi="Times New Roman" w:eastAsia="汉仪书宋二简"/>
          <w:color w:val="000000"/>
          <w:spacing w:val="20"/>
          <w:w w:val="110"/>
          <w:sz w:val="23"/>
          <w:szCs w:val="24"/>
        </w:rPr>
        <w:t>宝安区产业发展监管协议》（以下简称《监管协议》），乙方应按照《监管协议》的规定行使权利并承担义务。</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lang w:val="en-US" w:eastAsia="zh-CN"/>
        </w:rPr>
      </w:pPr>
      <w:r>
        <w:rPr>
          <w:rFonts w:hint="eastAsia" w:ascii="汉仪书宋二简" w:hAnsi="Times New Roman" w:eastAsia="汉仪书宋二简"/>
          <w:color w:val="000000"/>
          <w:spacing w:val="20"/>
          <w:w w:val="110"/>
          <w:sz w:val="23"/>
          <w:szCs w:val="24"/>
          <w:lang w:val="en-US" w:eastAsia="zh-CN"/>
        </w:rPr>
        <w:t>2.如乙方取得A321-0943宗地土地使用权，须申请用地合宗，并与产业部门、规划自然资源主管部门签订相应的监管协议及用地合同。</w:t>
      </w:r>
    </w:p>
    <w:p>
      <w:pPr>
        <w:tabs>
          <w:tab w:val="right" w:pos="4820"/>
          <w:tab w:val="left" w:pos="5103"/>
          <w:tab w:val="right" w:pos="8505"/>
        </w:tabs>
        <w:spacing w:line="500" w:lineRule="exact"/>
        <w:ind w:firstLine="489" w:firstLineChars="167"/>
        <w:rPr>
          <w:rFonts w:hint="default" w:ascii="汉仪书宋二简" w:hAnsi="Times New Roman" w:eastAsia="汉仪书宋二简"/>
          <w:color w:val="000000"/>
          <w:spacing w:val="20"/>
          <w:w w:val="110"/>
          <w:sz w:val="23"/>
          <w:szCs w:val="24"/>
          <w:lang w:val="en-US" w:eastAsia="zh-CN"/>
        </w:rPr>
      </w:pPr>
      <w:r>
        <w:rPr>
          <w:rFonts w:hint="eastAsia" w:ascii="宋体" w:hAnsi="宋体" w:cs="宋体"/>
          <w:color w:val="auto"/>
          <w:spacing w:val="20"/>
          <w:w w:val="110"/>
          <w:sz w:val="23"/>
          <w:szCs w:val="24"/>
          <w:highlight w:val="yellow"/>
          <w:lang w:val="en-US" w:eastAsia="zh-CN"/>
        </w:rPr>
        <w:t>3.本宗地土壤存在局部污染，宝安区</w:t>
      </w:r>
      <w:bookmarkStart w:id="0" w:name="_GoBack"/>
      <w:bookmarkEnd w:id="0"/>
      <w:r>
        <w:rPr>
          <w:rFonts w:hint="eastAsia" w:ascii="宋体" w:hAnsi="宋体" w:cs="宋体"/>
          <w:color w:val="auto"/>
          <w:spacing w:val="20"/>
          <w:w w:val="110"/>
          <w:sz w:val="23"/>
          <w:szCs w:val="24"/>
          <w:highlight w:val="yellow"/>
          <w:lang w:val="en-US" w:eastAsia="zh-CN"/>
        </w:rPr>
        <w:t>沙井街道办事处是本宗地污染地块的风险管控和治理修复主体，竞得人需与沙井街道办事处共同配合开展治理修复工作。在未完成修复治理或经生态部门批准修复方案前，上述污染地块区域不得开工建设任何与风险管控、修复无关的项目。</w:t>
      </w:r>
    </w:p>
    <w:p>
      <w:pPr>
        <w:tabs>
          <w:tab w:val="right" w:pos="4820"/>
          <w:tab w:val="left" w:pos="5103"/>
          <w:tab w:val="right" w:pos="8505"/>
        </w:tabs>
        <w:spacing w:line="500" w:lineRule="exact"/>
        <w:ind w:firstLine="489" w:firstLineChars="167"/>
        <w:rPr>
          <w:rFonts w:hint="eastAsia" w:ascii="汉仪书宋二简" w:hAnsi="Times New Roman" w:eastAsia="汉仪书宋二简"/>
          <w:spacing w:val="20"/>
          <w:w w:val="110"/>
          <w:sz w:val="23"/>
          <w:szCs w:val="24"/>
          <w:lang w:val="en-US" w:eastAsia="zh-CN"/>
        </w:rPr>
      </w:pPr>
      <w:r>
        <w:rPr>
          <w:rFonts w:hint="eastAsia" w:ascii="汉仪书宋二简" w:hAnsi="Times New Roman" w:eastAsia="汉仪书宋二简"/>
          <w:spacing w:val="20"/>
          <w:w w:val="110"/>
          <w:sz w:val="23"/>
          <w:szCs w:val="24"/>
          <w:lang w:val="en-US" w:eastAsia="zh-CN"/>
        </w:rPr>
        <w:t>4.项目建设用地使用权及建筑物允许抵押，应以宗地内的所有建筑物进行抵押，但抵押金额不得超出合同剩余年期地价与建筑物的残值之和，项目建设用地使用权及建筑物不得转让，竞买申请人及其全资子公司使用面积占总面积不少于 80%，总面积不多于20%的部分允许出租。</w:t>
      </w:r>
    </w:p>
    <w:p>
      <w:pPr>
        <w:tabs>
          <w:tab w:val="right" w:pos="4820"/>
          <w:tab w:val="left" w:pos="5103"/>
          <w:tab w:val="right" w:pos="8505"/>
        </w:tabs>
        <w:spacing w:line="500" w:lineRule="exact"/>
        <w:ind w:firstLine="489" w:firstLineChars="167"/>
        <w:rPr>
          <w:rFonts w:hint="eastAsia" w:ascii="汉仪书宋二简" w:hAnsi="Times New Roman" w:eastAsia="汉仪书宋二简"/>
          <w:spacing w:val="20"/>
          <w:w w:val="110"/>
          <w:sz w:val="23"/>
          <w:szCs w:val="24"/>
          <w:lang w:val="en-US" w:eastAsia="zh-CN"/>
        </w:rPr>
      </w:pPr>
      <w:r>
        <w:rPr>
          <w:rFonts w:hint="eastAsia" w:ascii="汉仪书宋二简" w:hAnsi="Times New Roman" w:eastAsia="汉仪书宋二简"/>
          <w:spacing w:val="20"/>
          <w:w w:val="110"/>
          <w:sz w:val="23"/>
          <w:szCs w:val="24"/>
          <w:lang w:val="en-US" w:eastAsia="zh-CN"/>
        </w:rPr>
        <w:t>5.人民法院强制执行拍卖或者变卖项目建设用地使用权及地上建（构）筑物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tabs>
          <w:tab w:val="right" w:pos="4820"/>
          <w:tab w:val="left" w:pos="5103"/>
          <w:tab w:val="right" w:pos="8505"/>
        </w:tabs>
        <w:spacing w:line="500" w:lineRule="exact"/>
        <w:ind w:firstLine="489" w:firstLineChars="167"/>
        <w:rPr>
          <w:rFonts w:hint="eastAsia" w:ascii="汉仪书宋二简" w:hAnsi="Times New Roman" w:eastAsia="汉仪书宋二简"/>
          <w:spacing w:val="20"/>
          <w:w w:val="110"/>
          <w:sz w:val="23"/>
          <w:szCs w:val="24"/>
          <w:lang w:val="en-US" w:eastAsia="zh-CN"/>
        </w:rPr>
      </w:pPr>
      <w:r>
        <w:rPr>
          <w:rFonts w:hint="eastAsia" w:ascii="汉仪书宋二简" w:hAnsi="Times New Roman" w:eastAsia="汉仪书宋二简"/>
          <w:spacing w:val="20"/>
          <w:w w:val="110"/>
          <w:sz w:val="23"/>
          <w:szCs w:val="24"/>
          <w:lang w:val="en-US" w:eastAsia="zh-CN"/>
        </w:rPr>
        <w:t>6.项目建设用地使用权以及附着于该土地上的建（构）筑物及其附属设施不得以股权转让或变更的方式变相转让。</w:t>
      </w:r>
    </w:p>
    <w:p>
      <w:pPr>
        <w:tabs>
          <w:tab w:val="right" w:pos="4820"/>
          <w:tab w:val="left" w:pos="5103"/>
          <w:tab w:val="right" w:pos="8505"/>
        </w:tabs>
        <w:spacing w:line="500" w:lineRule="exact"/>
        <w:ind w:firstLine="489" w:firstLineChars="167"/>
        <w:rPr>
          <w:rFonts w:hint="eastAsia"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lang w:val="en-US" w:eastAsia="zh-CN"/>
        </w:rPr>
        <w:t>7.建成投产等</w:t>
      </w:r>
      <w:r>
        <w:rPr>
          <w:rFonts w:hint="eastAsia" w:ascii="汉仪书宋二简" w:hAnsi="Times New Roman" w:eastAsia="汉仪书宋二简"/>
          <w:spacing w:val="20"/>
          <w:w w:val="110"/>
          <w:sz w:val="23"/>
          <w:szCs w:val="24"/>
        </w:rPr>
        <w:t>其他事宜按《深圳沙井高端精密智能模组基地重点产业项目遴选方案》</w:t>
      </w:r>
      <w:r>
        <w:rPr>
          <w:rFonts w:hint="eastAsia" w:ascii="汉仪书宋二简" w:hAnsi="Times New Roman" w:eastAsia="汉仪书宋二简"/>
          <w:spacing w:val="20"/>
          <w:w w:val="110"/>
          <w:sz w:val="23"/>
          <w:szCs w:val="24"/>
          <w:lang w:val="en-US" w:eastAsia="zh-CN"/>
        </w:rPr>
        <w:t>和</w:t>
      </w:r>
      <w:r>
        <w:rPr>
          <w:rFonts w:hint="eastAsia" w:ascii="汉仪书宋二简" w:hAnsi="Times New Roman" w:eastAsia="汉仪书宋二简"/>
          <w:spacing w:val="20"/>
          <w:w w:val="110"/>
          <w:sz w:val="23"/>
          <w:szCs w:val="24"/>
        </w:rPr>
        <w:t>《监管协议》</w:t>
      </w:r>
      <w:r>
        <w:rPr>
          <w:rFonts w:hint="eastAsia" w:ascii="汉仪书宋二简" w:hAnsi="Times New Roman" w:eastAsia="汉仪书宋二简"/>
          <w:spacing w:val="20"/>
          <w:w w:val="110"/>
          <w:sz w:val="23"/>
          <w:szCs w:val="24"/>
          <w:lang w:val="en-US" w:eastAsia="zh-CN"/>
        </w:rPr>
        <w:t>及其补充协议</w:t>
      </w:r>
      <w:r>
        <w:rPr>
          <w:rFonts w:hint="eastAsia" w:ascii="汉仪书宋二简" w:hAnsi="Times New Roman" w:eastAsia="汉仪书宋二简"/>
          <w:spacing w:val="20"/>
          <w:w w:val="110"/>
          <w:sz w:val="23"/>
          <w:szCs w:val="24"/>
        </w:rPr>
        <w:t>要求执行。</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六</w:t>
      </w:r>
      <w:r>
        <w:rPr>
          <w:rFonts w:hint="eastAsia" w:ascii="汉仪书宋二简" w:hAnsi="Times New Roman" w:eastAsia="汉仪书宋二简"/>
          <w:color w:val="000000"/>
          <w:spacing w:val="20"/>
          <w:w w:val="110"/>
          <w:sz w:val="23"/>
          <w:szCs w:val="24"/>
        </w:rPr>
        <w:t>、按照《监管协议》规定应当解除土地出让合同，由政府无偿收回建设用地的，对土地构筑物和建筑物按重置价补偿；但属《监管协议》</w:t>
      </w:r>
      <w:r>
        <w:rPr>
          <w:rFonts w:hint="eastAsia" w:ascii="汉仪书宋二简" w:hAnsi="Times New Roman" w:eastAsia="汉仪书宋二简"/>
          <w:spacing w:val="20"/>
          <w:w w:val="110"/>
          <w:sz w:val="23"/>
          <w:szCs w:val="24"/>
        </w:rPr>
        <w:t>第五条第（二）</w:t>
      </w:r>
      <w:r>
        <w:rPr>
          <w:rFonts w:hint="eastAsia" w:ascii="汉仪书宋二简" w:hAnsi="Times New Roman" w:eastAsia="汉仪书宋二简"/>
          <w:color w:val="000000"/>
          <w:spacing w:val="20"/>
          <w:w w:val="110"/>
          <w:sz w:val="23"/>
          <w:szCs w:val="24"/>
        </w:rPr>
        <w:t>款规定情形的土地构筑物和建筑物无偿收归政府所有。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七</w:t>
      </w:r>
      <w:r>
        <w:rPr>
          <w:rFonts w:hint="eastAsia" w:ascii="汉仪书宋二简" w:hAnsi="Times New Roman" w:eastAsia="汉仪书宋二简"/>
          <w:color w:val="000000"/>
          <w:spacing w:val="20"/>
          <w:w w:val="110"/>
          <w:sz w:val="23"/>
          <w:szCs w:val="24"/>
        </w:rPr>
        <w:t>、在履行本合同过程中甲方需向乙方告知有关事宜的，乙方同意甲方通过挂号信函或媒体公告的形式送达至本合同所规定的乙方地址。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lang w:val="en-US" w:eastAsia="zh-CN"/>
        </w:rPr>
        <w:t>十八</w:t>
      </w:r>
      <w:r>
        <w:rPr>
          <w:rFonts w:hint="eastAsia" w:ascii="汉仪书宋二简" w:hAnsi="Times New Roman" w:eastAsia="汉仪书宋二简"/>
          <w:color w:val="000000"/>
          <w:spacing w:val="20"/>
          <w:w w:val="110"/>
          <w:sz w:val="23"/>
          <w:szCs w:val="24"/>
        </w:rPr>
        <w:t>、《土地使用规则》及本合同书所有附件、附表是本合同的组成部分，与本合同书具有同等法律效力。甲、乙方须遵守《土地使用规则》及本合同书所有附件、附表。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lang w:val="en-US" w:eastAsia="zh-CN"/>
        </w:rPr>
        <w:t>十九</w:t>
      </w:r>
      <w:r>
        <w:rPr>
          <w:rFonts w:hint="eastAsia" w:ascii="汉仪书宋二简" w:hAnsi="Times New Roman" w:eastAsia="汉仪书宋二简"/>
          <w:color w:val="000000"/>
          <w:spacing w:val="20"/>
          <w:w w:val="110"/>
          <w:sz w:val="23"/>
          <w:szCs w:val="24"/>
        </w:rPr>
        <w:t>、本合同订立、效力、解释、履行及争议的解决均受中华人民共和国法律的管辖。</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一</w:t>
      </w:r>
      <w:r>
        <w:rPr>
          <w:rFonts w:hint="eastAsia" w:ascii="汉仪书宋二简" w:hAnsi="Times New Roman" w:eastAsia="汉仪书宋二简"/>
          <w:color w:val="000000"/>
          <w:spacing w:val="20"/>
          <w:w w:val="110"/>
          <w:sz w:val="23"/>
          <w:szCs w:val="24"/>
        </w:rPr>
        <w:t>、本合同从签订之日起生效。</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二</w:t>
      </w:r>
      <w:r>
        <w:rPr>
          <w:rFonts w:hint="eastAsia" w:ascii="汉仪书宋二简" w:hAnsi="Times New Roman" w:eastAsia="汉仪书宋二简"/>
          <w:color w:val="000000"/>
          <w:spacing w:val="20"/>
          <w:w w:val="110"/>
          <w:sz w:val="23"/>
          <w:szCs w:val="24"/>
        </w:rPr>
        <w:t>、本合同一式六份，乙方三份，其余由甲方持有及分送有关单位。</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三</w:t>
      </w:r>
      <w:r>
        <w:rPr>
          <w:rFonts w:hint="eastAsia" w:ascii="汉仪书宋二简" w:hAnsi="Times New Roman" w:eastAsia="汉仪书宋二简"/>
          <w:color w:val="000000"/>
          <w:spacing w:val="20"/>
          <w:w w:val="110"/>
          <w:sz w:val="23"/>
          <w:szCs w:val="24"/>
        </w:rPr>
        <w:t>、本合同未尽事宜，可由双方协商签订协议书明确。</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140"/>
          <w:tab w:val="left" w:pos="4500"/>
          <w:tab w:val="left" w:pos="4680"/>
          <w:tab w:val="right" w:pos="8505"/>
        </w:tabs>
        <w:spacing w:before="342" w:beforeLines="100" w:line="540" w:lineRule="exact"/>
        <w:ind w:firstLine="595" w:firstLineChars="218"/>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     方：</w:t>
      </w:r>
      <w:r>
        <w:rPr>
          <w:rFonts w:hint="eastAsia" w:ascii="汉仪书宋二简" w:hAnsi="Times New Roman" w:eastAsia="汉仪书宋二简"/>
          <w:color w:val="000000"/>
          <w:spacing w:val="2"/>
          <w:w w:val="110"/>
          <w:sz w:val="23"/>
          <w:szCs w:val="23"/>
          <w:u w:val="single"/>
        </w:rPr>
        <w:t>深圳市规划和自然资源局宝安管理局</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u w:val="single"/>
        </w:rPr>
      </w:pPr>
      <w:r>
        <w:rPr>
          <w:rFonts w:hint="eastAsia" w:ascii="汉仪书宋二简" w:hAnsi="Times New Roman" w:eastAsia="汉仪书宋二简"/>
          <w:spacing w:val="20"/>
          <w:w w:val="110"/>
          <w:sz w:val="23"/>
          <w:szCs w:val="24"/>
        </w:rPr>
        <w:t>乙     方：</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spacing w:val="20"/>
          <w:w w:val="110"/>
          <w:sz w:val="23"/>
          <w:szCs w:val="24"/>
        </w:rPr>
        <w:t xml:space="preserve">  </w:t>
      </w:r>
      <w:r>
        <w:rPr>
          <w:rFonts w:hint="eastAsia" w:ascii="汉仪书宋二简" w:hAnsi="Times New Roman" w:eastAsia="汉仪书宋二简"/>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before="200" w:line="340" w:lineRule="exact"/>
        <w:ind w:firstLine="586" w:firstLineChars="200"/>
        <w:rPr>
          <w:rFonts w:ascii="汉仪书宋二简" w:hAnsi="Times New Roman"/>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200" w:line="140" w:lineRule="exact"/>
        <w:ind w:firstLine="3184" w:firstLineChars="1087"/>
        <w:jc w:val="right"/>
        <w:rPr>
          <w:rFonts w:ascii="Times New Roman" w:hAnsi="Times New Roman" w:eastAsia="汉仪书宋二简"/>
          <w:spacing w:val="20"/>
          <w:w w:val="110"/>
          <w:sz w:val="23"/>
          <w:szCs w:val="24"/>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500" w:lineRule="exact"/>
        <w:ind w:right="438" w:firstLine="3184" w:firstLineChars="1087"/>
        <w:jc w:val="center"/>
        <w:rPr>
          <w:rFonts w:ascii="宋体" w:hAnsi="宋体"/>
          <w:spacing w:val="20"/>
          <w:w w:val="110"/>
          <w:sz w:val="23"/>
          <w:szCs w:val="23"/>
        </w:rPr>
      </w:pPr>
      <w:r>
        <w:rPr>
          <w:rFonts w:hint="eastAsia" w:ascii="宋体" w:hAnsi="宋体"/>
          <w:spacing w:val="20"/>
          <w:w w:val="110"/>
          <w:sz w:val="23"/>
          <w:szCs w:val="23"/>
        </w:rPr>
        <w:t xml:space="preserve"> </w:t>
      </w:r>
    </w:p>
    <w:p>
      <w:pPr>
        <w:tabs>
          <w:tab w:val="right" w:pos="4820"/>
          <w:tab w:val="left" w:pos="5103"/>
          <w:tab w:val="right" w:pos="8505"/>
        </w:tabs>
        <w:spacing w:before="200" w:line="500" w:lineRule="exact"/>
        <w:ind w:right="438" w:firstLine="3325" w:firstLineChars="1135"/>
        <w:rPr>
          <w:rFonts w:ascii="宋体" w:hAnsi="宋体"/>
          <w:spacing w:val="20"/>
          <w:w w:val="110"/>
          <w:sz w:val="23"/>
          <w:szCs w:val="23"/>
        </w:rPr>
      </w:pPr>
      <w:r>
        <w:rPr>
          <w:rFonts w:hint="eastAsia" w:ascii="宋体" w:hAnsi="宋体"/>
          <w:spacing w:val="20"/>
          <w:w w:val="110"/>
          <w:sz w:val="23"/>
          <w:szCs w:val="23"/>
        </w:rPr>
        <w:t>签订日期：</w:t>
      </w:r>
      <w:r>
        <w:rPr>
          <w:rFonts w:hint="eastAsia" w:ascii="宋体" w:hAnsi="宋体"/>
          <w:spacing w:val="20"/>
          <w:w w:val="110"/>
          <w:sz w:val="23"/>
          <w:szCs w:val="23"/>
          <w:u w:val="single"/>
        </w:rPr>
        <w:t>20</w:t>
      </w:r>
      <w:r>
        <w:rPr>
          <w:rFonts w:hint="eastAsia" w:ascii="宋体" w:hAnsi="宋体"/>
          <w:spacing w:val="20"/>
          <w:w w:val="110"/>
          <w:sz w:val="23"/>
          <w:szCs w:val="23"/>
          <w:u w:val="single"/>
          <w:lang w:val="en-US" w:eastAsia="zh-CN"/>
        </w:rPr>
        <w:t>2</w:t>
      </w:r>
      <w:r>
        <w:rPr>
          <w:rFonts w:hint="eastAsia" w:ascii="宋体" w:hAnsi="宋体"/>
          <w:spacing w:val="20"/>
          <w:w w:val="110"/>
          <w:sz w:val="23"/>
          <w:szCs w:val="23"/>
          <w:u w:val="single"/>
        </w:rPr>
        <w:t xml:space="preserve"> </w:t>
      </w:r>
      <w:r>
        <w:rPr>
          <w:rFonts w:hint="eastAsia" w:ascii="宋体" w:hAnsi="宋体"/>
          <w:spacing w:val="20"/>
          <w:w w:val="110"/>
          <w:sz w:val="23"/>
          <w:szCs w:val="23"/>
        </w:rPr>
        <w:t>年</w:t>
      </w:r>
      <w:r>
        <w:rPr>
          <w:rFonts w:hint="eastAsia" w:ascii="宋体" w:hAnsi="宋体"/>
          <w:spacing w:val="20"/>
          <w:w w:val="110"/>
          <w:sz w:val="23"/>
          <w:szCs w:val="23"/>
          <w:u w:val="single"/>
        </w:rPr>
        <w:t xml:space="preserve">  </w:t>
      </w:r>
      <w:r>
        <w:rPr>
          <w:rFonts w:hint="eastAsia" w:ascii="宋体" w:hAnsi="宋体"/>
          <w:spacing w:val="20"/>
          <w:w w:val="110"/>
          <w:sz w:val="23"/>
          <w:szCs w:val="23"/>
        </w:rPr>
        <w:t>月</w:t>
      </w:r>
      <w:r>
        <w:rPr>
          <w:rFonts w:hint="eastAsia" w:ascii="宋体" w:hAnsi="宋体"/>
          <w:spacing w:val="20"/>
          <w:w w:val="110"/>
          <w:sz w:val="23"/>
          <w:szCs w:val="23"/>
          <w:u w:val="single"/>
        </w:rPr>
        <w:t xml:space="preserve">  </w:t>
      </w:r>
      <w:r>
        <w:rPr>
          <w:rFonts w:hint="eastAsia" w:ascii="宋体" w:hAnsi="宋体"/>
          <w:spacing w:val="20"/>
          <w:w w:val="110"/>
          <w:sz w:val="23"/>
          <w:szCs w:val="23"/>
        </w:rPr>
        <w:t>日</w:t>
      </w:r>
    </w:p>
    <w:p>
      <w:pPr>
        <w:tabs>
          <w:tab w:val="right" w:pos="4820"/>
          <w:tab w:val="left" w:pos="5103"/>
          <w:tab w:val="right" w:pos="8505"/>
        </w:tabs>
        <w:spacing w:line="500" w:lineRule="exact"/>
        <w:ind w:firstLine="3275" w:firstLineChars="1118"/>
        <w:jc w:val="left"/>
        <w:rPr>
          <w:rFonts w:ascii="黑体" w:hAnsi="Times New Roman" w:eastAsia="黑体"/>
          <w:color w:val="000000"/>
          <w:spacing w:val="20"/>
          <w:w w:val="110"/>
          <w:sz w:val="28"/>
          <w:szCs w:val="24"/>
        </w:rPr>
      </w:pPr>
      <w:r>
        <w:rPr>
          <w:rFonts w:hint="eastAsia" w:ascii="宋体" w:hAnsi="宋体"/>
          <w:spacing w:val="20"/>
          <w:w w:val="110"/>
          <w:sz w:val="23"/>
          <w:szCs w:val="23"/>
        </w:rPr>
        <w:t>签订地点：</w:t>
      </w:r>
      <w:r>
        <w:rPr>
          <w:rFonts w:hint="eastAsia" w:ascii="宋体" w:hAnsi="宋体"/>
          <w:spacing w:val="20"/>
          <w:w w:val="110"/>
          <w:sz w:val="23"/>
          <w:szCs w:val="23"/>
          <w:u w:val="single"/>
        </w:rPr>
        <w:t>深圳市土地房产交易大厦</w:t>
      </w:r>
      <w:r>
        <w:rPr>
          <w:rFonts w:ascii="汉仪书宋二简" w:hAnsi="Times New Roman" w:eastAsia="汉仪书宋二简"/>
          <w:b/>
          <w:bCs/>
          <w:color w:val="000000"/>
          <w:spacing w:val="20"/>
          <w:sz w:val="24"/>
          <w:szCs w:val="24"/>
        </w:rPr>
        <w:br w:type="page"/>
      </w:r>
      <w:r>
        <w:rPr>
          <w:rFonts w:hint="eastAsia" w:ascii="黑体" w:hAnsi="Times New Roman" w:eastAsia="黑体"/>
          <w:color w:val="000000"/>
          <w:spacing w:val="20"/>
          <w:sz w:val="28"/>
          <w:szCs w:val="24"/>
        </w:rPr>
        <w:t>附件：</w:t>
      </w:r>
    </w:p>
    <w:p>
      <w:pPr>
        <w:keepNext/>
        <w:tabs>
          <w:tab w:val="right" w:pos="4820"/>
          <w:tab w:val="left" w:pos="5103"/>
          <w:tab w:val="right" w:pos="8505"/>
        </w:tabs>
        <w:spacing w:before="400" w:after="240" w:line="360" w:lineRule="auto"/>
        <w:jc w:val="center"/>
        <w:outlineLvl w:val="0"/>
        <w:rPr>
          <w:rFonts w:ascii="黑体" w:hAnsi="Arial" w:eastAsia="黑体" w:cs="Arial"/>
          <w:color w:val="000000"/>
          <w:spacing w:val="20"/>
          <w:kern w:val="32"/>
          <w:sz w:val="48"/>
          <w:szCs w:val="32"/>
        </w:rPr>
      </w:pPr>
      <w:r>
        <w:rPr>
          <w:rFonts w:hint="eastAsia" w:ascii="黑体" w:hAnsi="Arial" w:eastAsia="黑体" w:cs="Arial"/>
          <w:color w:val="000000"/>
          <w:spacing w:val="20"/>
          <w:kern w:val="32"/>
          <w:sz w:val="48"/>
          <w:szCs w:val="32"/>
        </w:rPr>
        <w:t>土地使用规则</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ascii="Arial" w:hAnsi="Arial" w:eastAsia="黑体" w:cs="Arial"/>
          <w:bCs/>
          <w:color w:val="000000"/>
          <w:spacing w:val="20"/>
          <w:sz w:val="23"/>
          <w:szCs w:val="26"/>
        </w:rPr>
      </w:pPr>
      <w:r>
        <w:rPr>
          <w:rFonts w:hint="eastAsia" w:ascii="Arial" w:hAnsi="Arial" w:eastAsia="黑体" w:cs="Arial"/>
          <w:bCs/>
          <w:color w:val="000000"/>
          <w:spacing w:val="20"/>
          <w:sz w:val="23"/>
          <w:szCs w:val="26"/>
        </w:rPr>
        <w:t xml:space="preserve">一、释义 </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1、土地使用权出让合同涉及到的名词，以本规则解释为准。</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宗地图：</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土地使用权：</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土地使用权转让：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 xml:space="preserve">土地使用权出让后，土地使用权受让人依法和依照土地使用权出让合同书将土地使用权再转移的行为。 </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无偿收回土地：</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因土地使用者不能履行土地使用权出让合同、违反土地使用规则进行开发建设，深圳市规划和自然资源局因此解除土地使用权出让合同，或土地使用年期届满，深圳市规划和自然资源局无偿收回土地使用权，土地使用者无偿将土地及地上建筑物、附着物交回并丧失土地出让合同书一切权利的行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土地使用年期：</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土地使用权受让人在受让的地块上享有土地使用权的总年期。</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坐 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用测量学方法表示地面上一点位置的有序的一组数。本合同中的坐标除非特别指明外，均为深圳独立坐标系统，用直角坐标表示。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界桩定点：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在实地确定验明宗地图上所标示的各界桩点的位置。</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土地使用税：</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土地使用者因使用土地按规定每年支付给政府的土地税费。</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土地临时占用费：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市政工程：</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绿化覆盖率：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地块内全部绿化种植(地面绿化、屋顶绿化、架空绿化、垂直绿化)的水平投影面积之和与地块总用地面积的比率。鼓励进行垂直绿化、架空绿化和屋顶绿化。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用地范围内所有建筑物的基底面积总和与土地面积比。</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建筑容积率：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规定的地块上全部建筑物总面积与土地面积之比 (含附属建筑物计算在内)，但注明不计算的附属建筑物面积除外。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总建筑面积：</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主体建筑物：</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由土地用途所限定的主要建筑物。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附属建筑物：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主体建筑以外的其它建筑。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办公楼：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供机关、企事业单位从事行政事务使用的建筑物。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单身公寓：</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供单身职工起居和具备居住用的小型厨、厕的建筑物。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住 宅：</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供居民家庭生活居住的单元式建筑物。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别 墅：</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供居民家庭生活居住的独立式建筑物。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宿 舍：</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供学生、职工等集体性居住的建筑物。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综合楼：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多种用途组合一体的多、高层民用建筑。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厂 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可供工业生产使用的建筑物。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商业用房：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房地产证：</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二、界桩</w:t>
      </w:r>
      <w:r>
        <w:rPr>
          <w:rFonts w:hint="eastAsia" w:ascii="Arial" w:hAnsi="Arial" w:eastAsia="汉仪中黑简" w:cs="Arial"/>
          <w:bCs/>
          <w:color w:val="000000"/>
          <w:spacing w:val="20"/>
          <w:sz w:val="23"/>
          <w:szCs w:val="26"/>
        </w:rPr>
        <w:t>定点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权出让合同》签订后，宗地图所标示坐标各拐点埋设的混凝土界桩，由深圳市规划和自然资源局会同土地使用者实地依图验明。界桩定点费用由土地使用者支付。事后，土地使用者必须妥善保护，不得私自改放，界桩遭受破坏或移动时，应及时书面报告深圳市规划和自然资源局，请求重新埋设，所需费用由土地使用者支付。</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三、</w:t>
      </w:r>
      <w:r>
        <w:rPr>
          <w:rFonts w:hint="eastAsia" w:ascii="Arial" w:hAnsi="Arial" w:eastAsia="汉仪中黑简" w:cs="Arial"/>
          <w:bCs/>
          <w:color w:val="000000"/>
          <w:spacing w:val="20"/>
          <w:sz w:val="23"/>
          <w:szCs w:val="26"/>
        </w:rPr>
        <w:t>附属</w:t>
      </w:r>
      <w:r>
        <w:rPr>
          <w:rFonts w:hint="eastAsia" w:ascii="Arial" w:hAnsi="Arial" w:eastAsia="汉仪中黑简" w:cs="Arial"/>
          <w:bCs/>
          <w:color w:val="000000"/>
          <w:spacing w:val="20"/>
          <w:sz w:val="26"/>
          <w:szCs w:val="26"/>
        </w:rPr>
        <w:t>工程</w:t>
      </w:r>
    </w:p>
    <w:p>
      <w:pPr>
        <w:tabs>
          <w:tab w:val="right" w:pos="4820"/>
          <w:tab w:val="left" w:pos="5103"/>
          <w:tab w:val="right" w:pos="8505"/>
        </w:tabs>
        <w:spacing w:line="540" w:lineRule="exact"/>
        <w:ind w:firstLine="586" w:firstLineChars="200"/>
        <w:rPr>
          <w:rFonts w:ascii="Times New Roman" w:hAnsi="Times New Roman" w:eastAsia="汉仪书宋二简"/>
          <w:spacing w:val="20"/>
          <w:w w:val="110"/>
          <w:sz w:val="23"/>
          <w:szCs w:val="24"/>
        </w:rPr>
      </w:pPr>
      <w:r>
        <w:rPr>
          <w:rFonts w:hint="eastAsia" w:ascii="Times New Roman" w:hAnsi="Times New Roman" w:eastAsia="汉仪书宋二简"/>
          <w:color w:val="000000"/>
          <w:spacing w:val="20"/>
          <w:w w:val="110"/>
          <w:sz w:val="23"/>
          <w:szCs w:val="24"/>
        </w:rPr>
        <w:t>3、土地使用者同意在宗地图红线范围内一并建造附表1、2、3所列附属工程，并保证</w:t>
      </w:r>
      <w:r>
        <w:rPr>
          <w:rFonts w:hint="eastAsia" w:ascii="Times New Roman" w:hAnsi="Times New Roman" w:eastAsia="汉仪书宋二简"/>
          <w:color w:val="000000"/>
          <w:spacing w:val="20"/>
          <w:w w:val="33"/>
          <w:sz w:val="23"/>
          <w:szCs w:val="24"/>
        </w:rPr>
        <w:t xml:space="preserve"> </w:t>
      </w:r>
      <w:r>
        <w:rPr>
          <w:rFonts w:hint="eastAsia" w:ascii="Times New Roman" w:hAnsi="Times New Roman" w:eastAsia="汉仪书宋二简"/>
          <w:color w:val="000000"/>
          <w:spacing w:val="20"/>
          <w:sz w:val="23"/>
          <w:szCs w:val="23"/>
        </w:rPr>
        <w:t>在</w:t>
      </w:r>
      <w:r>
        <w:rPr>
          <w:rFonts w:hint="eastAsia" w:ascii="Times New Roman" w:hAnsi="Times New Roman" w:eastAsia="汉仪书宋二简"/>
          <w:color w:val="000000"/>
          <w:spacing w:val="20"/>
          <w:w w:val="110"/>
          <w:sz w:val="23"/>
          <w:szCs w:val="24"/>
        </w:rPr>
        <w:t>本合同约定竣工日期前竣工。并同意附表2、3所列公益工程免费提供使用，产权归政府所有。</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4、因规划需要，有关部门在用地范围内布置公益配套项目及市政管线施工时，土地使用者同意提供用地及通过。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四、设计、开工、竣工及违约责任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5、土地使用者必须在签订《土地使用权出让合同》之日起六个月内，向建设主管部门提交设计方案图纸及市计划部门批准的投资计划，有关部门应在接到齐备的图纸和计划后按规定审批。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土地使用者未按土地出让合同规定的用途和条件开发利用土地，</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可处以土地使用权出让金总额20%的罚款。拒不纠正的，</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无偿收回土地使用权，没收地上建筑物、附着物。</w:t>
      </w:r>
    </w:p>
    <w:p>
      <w:pPr>
        <w:tabs>
          <w:tab w:val="right" w:pos="4820"/>
          <w:tab w:val="left" w:pos="5103"/>
          <w:tab w:val="right" w:pos="8505"/>
        </w:tabs>
        <w:spacing w:line="540" w:lineRule="exact"/>
        <w:ind w:firstLine="586" w:firstLineChars="200"/>
        <w:rPr>
          <w:rFonts w:ascii="汉仪书宋二简" w:hAnsi="汉仪书宋二简"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7、土地使用者应在</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之前开工，</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之前竣工。</w:t>
      </w:r>
    </w:p>
    <w:p>
      <w:pPr>
        <w:spacing w:line="540" w:lineRule="exact"/>
        <w:ind w:firstLine="64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8、土地使用者应当在本合同约定期限内按期开工，超过约定开工期限未动工开发造成土地闲置的，按闲置土地相关规定处理。</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9、工程竣工提请市政府有关部门质量验收前，土地使用者应向有关部门提请对建筑物进行规划验收，验收合格的，发给《规划验收合格证》，不合格的，限期整改。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五、建筑维修活动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10、土地使用者在用地范围内进行建设及维修活动时，对周围环境及设施应承担下列责任：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如需临时占用宗地图以外土地，应与该地块土地使用者协商；若属市政府未批出土地，应报深圳市规划和自然资源局批准，并按规定交纳土地临时占用费。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（3）未获有关部门批准，不得在公共用地上倾倒、储存任何材料或进行任何工程活动。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11、土地使用者不得开辟、铲除或挖掘毗邻地段的土地。</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13、土地使用者应在本合同期内按规定自行负责或委托管理人负责建成区内所有建筑物和公共设施及绿地的使用和管理，并应符合物业管理部门和城市管理部门的规定和要求。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14、土地使用者应按设计总平面指定地点开设车辆入口。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六、给排水、供电</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19、土地使用者所需的给排水、供电、供气及电讯等应与市给排水、供电、供气及电讯等部门签订协议书。埋设相应管线设计图应报市政府有关部门审批，经批准后实施。上述所需费用均由土地使用者自行负责。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七、接受检查监督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20、在土地使用期间，深圳市规划和自然资源局有权对土地使用者地界范围内的土地使用情况进行检查监督，土地使用者不得拒绝阻挠。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21、土地使用者不得以任何理由占用地界范围以外的土地（包括堆放物品、器材等），否则，按违法占地处理。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22、土地使用者在用地范围内，应按规定的土地用途和经市政府有关部门批准的施工设计图纸进行建设。</w:t>
      </w:r>
    </w:p>
    <w:p>
      <w:pPr>
        <w:tabs>
          <w:tab w:val="right" w:pos="4820"/>
          <w:tab w:val="left" w:pos="5103"/>
          <w:tab w:val="right" w:pos="8505"/>
        </w:tabs>
        <w:spacing w:after="342" w:afterLines="100" w:line="600" w:lineRule="exact"/>
        <w:ind w:firstLine="257" w:firstLineChars="88"/>
        <w:jc w:val="left"/>
        <w:rPr>
          <w:rFonts w:ascii="Times New Roman" w:hAnsi="Times New Roman" w:eastAsia="汉仪大宋简"/>
          <w:color w:val="000000"/>
          <w:spacing w:val="40"/>
          <w:w w:val="110"/>
          <w:position w:val="14"/>
          <w:sz w:val="40"/>
          <w:szCs w:val="24"/>
        </w:rPr>
      </w:pPr>
      <w:r>
        <w:rPr>
          <w:rFonts w:hint="eastAsia" w:ascii="汉仪书宋二简" w:hAnsi="Times New Roman" w:eastAsia="汉仪书宋二简"/>
          <w:color w:val="000000"/>
          <w:spacing w:val="20"/>
          <w:w w:val="110"/>
          <w:sz w:val="23"/>
          <w:szCs w:val="24"/>
        </w:rPr>
        <w:t>23、土地使用者对用地范围内的建筑物，未经相关主管部门批准，不得任意拆除或改建、重建。</w:t>
      </w:r>
    </w:p>
    <w:p>
      <w:pPr>
        <w:tabs>
          <w:tab w:val="right" w:pos="4820"/>
          <w:tab w:val="left" w:pos="5103"/>
          <w:tab w:val="right" w:pos="8505"/>
        </w:tabs>
        <w:spacing w:after="342" w:afterLines="100" w:line="600" w:lineRule="exact"/>
        <w:rPr>
          <w:rFonts w:ascii="Times New Roman" w:hAnsi="Times New Roman" w:eastAsia="汉仪大宋简"/>
          <w:color w:val="000000"/>
          <w:spacing w:val="40"/>
          <w:w w:val="110"/>
          <w:position w:val="14"/>
          <w:sz w:val="40"/>
          <w:szCs w:val="24"/>
        </w:rPr>
      </w:pPr>
    </w:p>
    <w:p>
      <w:pPr>
        <w:spacing w:after="342" w:afterLines="100" w:line="600" w:lineRule="exact"/>
        <w:ind w:firstLine="182" w:firstLineChars="38"/>
        <w:jc w:val="center"/>
        <w:rPr>
          <w:rFonts w:eastAsia="汉仪大宋简"/>
          <w:b/>
          <w:bCs/>
          <w:color w:val="000000"/>
          <w:spacing w:val="40"/>
          <w:sz w:val="32"/>
        </w:rPr>
      </w:pPr>
      <w:r>
        <w:rPr>
          <w:rFonts w:hint="eastAsia" w:eastAsia="汉仪大宋简"/>
          <w:color w:val="000000"/>
          <w:spacing w:val="40"/>
          <w:position w:val="14"/>
          <w:sz w:val="40"/>
        </w:rPr>
        <w:t>附属建筑工程配套项目表</w:t>
      </w:r>
    </w:p>
    <w:p>
      <w:pPr>
        <w:spacing w:after="342" w:afterLines="100"/>
        <w:ind w:firstLine="474"/>
        <w:jc w:val="right"/>
        <w:rPr>
          <w:color w:val="000000"/>
          <w:sz w:val="18"/>
        </w:rPr>
      </w:pPr>
      <w:r>
        <w:rPr>
          <w:rFonts w:hint="eastAsia"/>
          <w:color w:val="000000"/>
          <w:sz w:val="18"/>
        </w:rPr>
        <w:t>（附表一）</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93"/>
        <w:gridCol w:w="166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000000"/>
              </w:rPr>
            </w:pPr>
            <w:r>
              <w:rPr>
                <w:rFonts w:hint="eastAsia"/>
                <w:color w:val="000000"/>
              </w:rPr>
              <w:t>序号</w:t>
            </w:r>
          </w:p>
        </w:tc>
        <w:tc>
          <w:tcPr>
            <w:tcW w:w="2539"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93"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69"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8" w:type="dxa"/>
            <w:tcMar>
              <w:top w:w="57" w:type="dxa"/>
              <w:left w:w="57" w:type="dxa"/>
              <w:bottom w:w="57" w:type="dxa"/>
              <w:right w:w="57" w:type="dxa"/>
            </w:tcMar>
            <w:vAlign w:val="center"/>
          </w:tcPr>
          <w:p>
            <w:pPr>
              <w:ind w:firstLine="460"/>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285" w:firstLineChars="136"/>
              <w:rPr>
                <w:rFonts w:ascii="宋体"/>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6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58"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jc w:val="center"/>
              <w:rPr>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69" w:type="dxa"/>
            <w:tcMar>
              <w:top w:w="57" w:type="dxa"/>
              <w:left w:w="57" w:type="dxa"/>
              <w:bottom w:w="57" w:type="dxa"/>
              <w:right w:w="57" w:type="dxa"/>
            </w:tcMar>
            <w:vAlign w:val="center"/>
          </w:tcPr>
          <w:p>
            <w:pPr>
              <w:ind w:firstLine="474"/>
              <w:jc w:val="center"/>
              <w:rPr>
                <w:rFonts w:ascii="汉仪书宋二简" w:hAnsi="Times New Roman" w:eastAsia="汉仪书宋二简"/>
                <w:color w:val="000000"/>
                <w:spacing w:val="20"/>
                <w:w w:val="110"/>
                <w:sz w:val="23"/>
                <w:szCs w:val="24"/>
              </w:rPr>
            </w:pPr>
          </w:p>
        </w:tc>
        <w:tc>
          <w:tcPr>
            <w:tcW w:w="1658"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ind w:firstLine="474"/>
        <w:jc w:val="center"/>
        <w:rPr>
          <w:rFonts w:eastAsia="汉仪大宋简"/>
          <w:b/>
          <w:bCs/>
          <w:color w:val="000000"/>
          <w:spacing w:val="40"/>
          <w:sz w:val="32"/>
        </w:rPr>
      </w:pPr>
      <w:r>
        <w:rPr>
          <w:color w:val="000000"/>
          <w:sz w:val="18"/>
        </w:rPr>
        <w:br w:type="page"/>
      </w:r>
      <w:r>
        <w:rPr>
          <w:rFonts w:hint="eastAsia" w:eastAsia="汉仪大宋简"/>
          <w:color w:val="000000"/>
          <w:spacing w:val="40"/>
          <w:position w:val="14"/>
          <w:sz w:val="40"/>
        </w:rPr>
        <w:t>附属公益工程配套项目表</w:t>
      </w:r>
    </w:p>
    <w:p>
      <w:pPr>
        <w:spacing w:after="342" w:afterLines="100"/>
        <w:ind w:firstLine="474"/>
        <w:jc w:val="right"/>
        <w:rPr>
          <w:color w:val="000000"/>
          <w:sz w:val="18"/>
        </w:rPr>
      </w:pPr>
      <w:r>
        <w:rPr>
          <w:rFonts w:hint="eastAsia"/>
          <w:color w:val="000000"/>
          <w:sz w:val="18"/>
        </w:rPr>
        <w:t>（附表二）</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23"/>
        <w:gridCol w:w="1585"/>
        <w:gridCol w:w="167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trPr>
        <w:tc>
          <w:tcPr>
            <w:tcW w:w="936" w:type="dxa"/>
            <w:tcMar>
              <w:top w:w="57" w:type="dxa"/>
              <w:left w:w="57" w:type="dxa"/>
              <w:bottom w:w="57" w:type="dxa"/>
              <w:right w:w="57" w:type="dxa"/>
            </w:tcMar>
            <w:vAlign w:val="center"/>
          </w:tcPr>
          <w:p>
            <w:pPr>
              <w:jc w:val="center"/>
              <w:rPr>
                <w:color w:val="000000"/>
              </w:rPr>
            </w:pPr>
          </w:p>
        </w:tc>
        <w:tc>
          <w:tcPr>
            <w:tcW w:w="2523" w:type="dxa"/>
            <w:tcMar>
              <w:top w:w="57" w:type="dxa"/>
              <w:left w:w="57" w:type="dxa"/>
              <w:bottom w:w="57" w:type="dxa"/>
              <w:right w:w="57" w:type="dxa"/>
            </w:tcMar>
            <w:vAlign w:val="center"/>
          </w:tcPr>
          <w:p>
            <w:pPr>
              <w:jc w:val="center"/>
              <w:rPr>
                <w:color w:val="000000"/>
              </w:rPr>
            </w:pPr>
          </w:p>
        </w:tc>
        <w:tc>
          <w:tcPr>
            <w:tcW w:w="1585" w:type="dxa"/>
            <w:tcMar>
              <w:top w:w="57" w:type="dxa"/>
              <w:left w:w="57" w:type="dxa"/>
              <w:bottom w:w="57" w:type="dxa"/>
              <w:right w:w="57" w:type="dxa"/>
            </w:tcMar>
            <w:vAlign w:val="center"/>
          </w:tcPr>
          <w:p>
            <w:pPr>
              <w:ind w:firstLine="180" w:firstLineChars="86"/>
              <w:rPr>
                <w:color w:val="000000"/>
              </w:rPr>
            </w:pPr>
          </w:p>
        </w:tc>
        <w:tc>
          <w:tcPr>
            <w:tcW w:w="1673" w:type="dxa"/>
            <w:tcMar>
              <w:top w:w="57" w:type="dxa"/>
              <w:left w:w="57" w:type="dxa"/>
              <w:bottom w:w="57" w:type="dxa"/>
              <w:right w:w="57" w:type="dxa"/>
            </w:tcMar>
            <w:vAlign w:val="center"/>
          </w:tcPr>
          <w:p>
            <w:pPr>
              <w:ind w:firstLine="180" w:firstLineChars="86"/>
              <w:rPr>
                <w:color w:val="000000"/>
              </w:rPr>
            </w:pPr>
          </w:p>
        </w:tc>
        <w:tc>
          <w:tcPr>
            <w:tcW w:w="1562" w:type="dxa"/>
            <w:tcMar>
              <w:top w:w="57" w:type="dxa"/>
              <w:left w:w="57" w:type="dxa"/>
              <w:bottom w:w="57" w:type="dxa"/>
              <w:right w:w="57" w:type="dxa"/>
            </w:tcMar>
            <w:vAlign w:val="center"/>
          </w:tcPr>
          <w:p>
            <w:pPr>
              <w:ind w:firstLine="46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285" w:firstLineChars="136"/>
              <w:rPr>
                <w:rFonts w:ascii="宋体"/>
                <w:color w:val="000000"/>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285" w:firstLineChars="136"/>
              <w:rPr>
                <w:rFonts w:ascii="宋体"/>
                <w:color w:val="000000"/>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jc w:val="center"/>
              <w:rPr>
                <w:color w:val="000000"/>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73" w:type="dxa"/>
            <w:tcMar>
              <w:top w:w="57" w:type="dxa"/>
              <w:left w:w="57" w:type="dxa"/>
              <w:bottom w:w="57" w:type="dxa"/>
              <w:right w:w="57" w:type="dxa"/>
            </w:tcMar>
            <w:vAlign w:val="center"/>
          </w:tcPr>
          <w:p>
            <w:pPr>
              <w:ind w:firstLine="732" w:firstLineChars="250"/>
              <w:rPr>
                <w:rFonts w:ascii="汉仪书宋二简" w:hAnsi="Times New Roman" w:eastAsia="汉仪书宋二简"/>
                <w:color w:val="000000"/>
                <w:spacing w:val="20"/>
                <w:w w:val="110"/>
                <w:sz w:val="23"/>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398" w:firstLineChars="136"/>
              <w:rPr>
                <w:rFonts w:ascii="汉仪书宋二简" w:hAnsi="Times New Roman" w:eastAsia="汉仪书宋二简"/>
                <w:color w:val="000000"/>
                <w:spacing w:val="20"/>
                <w:w w:val="110"/>
                <w:sz w:val="23"/>
                <w:szCs w:val="24"/>
              </w:rPr>
            </w:pPr>
          </w:p>
        </w:tc>
        <w:tc>
          <w:tcPr>
            <w:tcW w:w="2523" w:type="dxa"/>
            <w:tcMar>
              <w:top w:w="57" w:type="dxa"/>
              <w:left w:w="57" w:type="dxa"/>
              <w:bottom w:w="57" w:type="dxa"/>
              <w:right w:w="57" w:type="dxa"/>
            </w:tcMar>
            <w:vAlign w:val="center"/>
          </w:tcPr>
          <w:p>
            <w:pPr>
              <w:jc w:val="left"/>
              <w:rPr>
                <w:rFonts w:ascii="汉仪书宋二简" w:hAnsi="Times New Roman" w:eastAsia="汉仪书宋二简"/>
                <w:color w:val="000000"/>
                <w:spacing w:val="20"/>
                <w:w w:val="110"/>
                <w:sz w:val="23"/>
                <w:szCs w:val="24"/>
              </w:rPr>
            </w:pPr>
          </w:p>
        </w:tc>
        <w:tc>
          <w:tcPr>
            <w:tcW w:w="1585" w:type="dxa"/>
            <w:tcMar>
              <w:top w:w="57" w:type="dxa"/>
              <w:left w:w="57" w:type="dxa"/>
              <w:bottom w:w="57" w:type="dxa"/>
              <w:right w:w="57" w:type="dxa"/>
            </w:tcMar>
            <w:vAlign w:val="center"/>
          </w:tcPr>
          <w:p>
            <w:pPr>
              <w:ind w:firstLine="474"/>
              <w:jc w:val="center"/>
              <w:rPr>
                <w:color w:val="000000"/>
                <w:sz w:val="18"/>
              </w:rPr>
            </w:pPr>
          </w:p>
        </w:tc>
        <w:tc>
          <w:tcPr>
            <w:tcW w:w="1673" w:type="dxa"/>
            <w:tcMar>
              <w:top w:w="57" w:type="dxa"/>
              <w:left w:w="57" w:type="dxa"/>
              <w:bottom w:w="57" w:type="dxa"/>
              <w:right w:w="57" w:type="dxa"/>
            </w:tcMar>
            <w:vAlign w:val="center"/>
          </w:tcPr>
          <w:p>
            <w:pPr>
              <w:rPr>
                <w:color w:val="000000"/>
                <w:sz w:val="18"/>
              </w:rPr>
            </w:pPr>
          </w:p>
        </w:tc>
        <w:tc>
          <w:tcPr>
            <w:tcW w:w="1562"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474"/>
              <w:jc w:val="center"/>
              <w:rPr>
                <w:color w:val="000000"/>
                <w:sz w:val="18"/>
              </w:rPr>
            </w:pPr>
          </w:p>
        </w:tc>
        <w:tc>
          <w:tcPr>
            <w:tcW w:w="2523" w:type="dxa"/>
            <w:tcMar>
              <w:top w:w="57" w:type="dxa"/>
              <w:left w:w="57" w:type="dxa"/>
              <w:bottom w:w="57" w:type="dxa"/>
              <w:right w:w="57" w:type="dxa"/>
            </w:tcMar>
            <w:vAlign w:val="center"/>
          </w:tcPr>
          <w:p>
            <w:pPr>
              <w:ind w:firstLine="474"/>
              <w:jc w:val="left"/>
              <w:rPr>
                <w:color w:val="000000"/>
                <w:sz w:val="18"/>
              </w:rPr>
            </w:pPr>
          </w:p>
        </w:tc>
        <w:tc>
          <w:tcPr>
            <w:tcW w:w="1585" w:type="dxa"/>
            <w:tcMar>
              <w:top w:w="57" w:type="dxa"/>
              <w:left w:w="57" w:type="dxa"/>
              <w:bottom w:w="57" w:type="dxa"/>
              <w:right w:w="57" w:type="dxa"/>
            </w:tcMar>
            <w:vAlign w:val="center"/>
          </w:tcPr>
          <w:p>
            <w:pPr>
              <w:ind w:firstLine="474"/>
              <w:jc w:val="center"/>
              <w:rPr>
                <w:color w:val="000000"/>
                <w:sz w:val="18"/>
              </w:rPr>
            </w:pPr>
          </w:p>
        </w:tc>
        <w:tc>
          <w:tcPr>
            <w:tcW w:w="1673" w:type="dxa"/>
            <w:tcMar>
              <w:top w:w="57" w:type="dxa"/>
              <w:left w:w="57" w:type="dxa"/>
              <w:bottom w:w="57" w:type="dxa"/>
              <w:right w:w="57" w:type="dxa"/>
            </w:tcMar>
            <w:vAlign w:val="center"/>
          </w:tcPr>
          <w:p>
            <w:pPr>
              <w:ind w:firstLine="474"/>
              <w:jc w:val="center"/>
              <w:rPr>
                <w:color w:val="000000"/>
                <w:sz w:val="18"/>
              </w:rPr>
            </w:pPr>
          </w:p>
        </w:tc>
        <w:tc>
          <w:tcPr>
            <w:tcW w:w="1562"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474"/>
              <w:jc w:val="center"/>
              <w:rPr>
                <w:color w:val="000000"/>
                <w:sz w:val="18"/>
              </w:rPr>
            </w:pPr>
          </w:p>
        </w:tc>
        <w:tc>
          <w:tcPr>
            <w:tcW w:w="2523" w:type="dxa"/>
            <w:tcMar>
              <w:top w:w="57" w:type="dxa"/>
              <w:left w:w="57" w:type="dxa"/>
              <w:bottom w:w="57" w:type="dxa"/>
              <w:right w:w="57" w:type="dxa"/>
            </w:tcMar>
            <w:vAlign w:val="center"/>
          </w:tcPr>
          <w:p>
            <w:pPr>
              <w:ind w:firstLine="474"/>
              <w:jc w:val="left"/>
              <w:rPr>
                <w:color w:val="000000"/>
                <w:sz w:val="18"/>
              </w:rPr>
            </w:pPr>
          </w:p>
        </w:tc>
        <w:tc>
          <w:tcPr>
            <w:tcW w:w="1585" w:type="dxa"/>
            <w:tcMar>
              <w:top w:w="57" w:type="dxa"/>
              <w:left w:w="57" w:type="dxa"/>
              <w:bottom w:w="57" w:type="dxa"/>
              <w:right w:w="57" w:type="dxa"/>
            </w:tcMar>
            <w:vAlign w:val="center"/>
          </w:tcPr>
          <w:p>
            <w:pPr>
              <w:ind w:firstLine="474"/>
              <w:jc w:val="center"/>
              <w:rPr>
                <w:color w:val="000000"/>
                <w:sz w:val="18"/>
              </w:rPr>
            </w:pPr>
          </w:p>
        </w:tc>
        <w:tc>
          <w:tcPr>
            <w:tcW w:w="1673" w:type="dxa"/>
            <w:tcMar>
              <w:top w:w="57" w:type="dxa"/>
              <w:left w:w="57" w:type="dxa"/>
              <w:bottom w:w="57" w:type="dxa"/>
              <w:right w:w="57" w:type="dxa"/>
            </w:tcMar>
            <w:vAlign w:val="center"/>
          </w:tcPr>
          <w:p>
            <w:pPr>
              <w:ind w:firstLine="474"/>
              <w:jc w:val="center"/>
              <w:rPr>
                <w:color w:val="000000"/>
                <w:sz w:val="18"/>
              </w:rPr>
            </w:pPr>
          </w:p>
        </w:tc>
        <w:tc>
          <w:tcPr>
            <w:tcW w:w="1562"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474"/>
              <w:jc w:val="center"/>
              <w:rPr>
                <w:color w:val="000000"/>
                <w:sz w:val="18"/>
              </w:rPr>
            </w:pPr>
          </w:p>
        </w:tc>
        <w:tc>
          <w:tcPr>
            <w:tcW w:w="2523" w:type="dxa"/>
            <w:tcMar>
              <w:top w:w="57" w:type="dxa"/>
              <w:left w:w="57" w:type="dxa"/>
              <w:bottom w:w="57" w:type="dxa"/>
              <w:right w:w="57" w:type="dxa"/>
            </w:tcMar>
            <w:vAlign w:val="center"/>
          </w:tcPr>
          <w:p>
            <w:pPr>
              <w:ind w:firstLine="474"/>
              <w:jc w:val="left"/>
              <w:rPr>
                <w:color w:val="000000"/>
                <w:sz w:val="18"/>
              </w:rPr>
            </w:pPr>
          </w:p>
        </w:tc>
        <w:tc>
          <w:tcPr>
            <w:tcW w:w="1585" w:type="dxa"/>
            <w:tcMar>
              <w:top w:w="57" w:type="dxa"/>
              <w:left w:w="57" w:type="dxa"/>
              <w:bottom w:w="57" w:type="dxa"/>
              <w:right w:w="57" w:type="dxa"/>
            </w:tcMar>
            <w:vAlign w:val="center"/>
          </w:tcPr>
          <w:p>
            <w:pPr>
              <w:ind w:firstLine="474"/>
              <w:jc w:val="center"/>
              <w:rPr>
                <w:color w:val="000000"/>
                <w:sz w:val="18"/>
              </w:rPr>
            </w:pPr>
          </w:p>
        </w:tc>
        <w:tc>
          <w:tcPr>
            <w:tcW w:w="1673" w:type="dxa"/>
            <w:tcMar>
              <w:top w:w="57" w:type="dxa"/>
              <w:left w:w="57" w:type="dxa"/>
              <w:bottom w:w="57" w:type="dxa"/>
              <w:right w:w="57" w:type="dxa"/>
            </w:tcMar>
            <w:vAlign w:val="center"/>
          </w:tcPr>
          <w:p>
            <w:pPr>
              <w:ind w:firstLine="474"/>
              <w:jc w:val="center"/>
              <w:rPr>
                <w:color w:val="000000"/>
                <w:sz w:val="18"/>
              </w:rPr>
            </w:pPr>
          </w:p>
        </w:tc>
        <w:tc>
          <w:tcPr>
            <w:tcW w:w="1562"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6" w:type="dxa"/>
            <w:tcMar>
              <w:top w:w="57" w:type="dxa"/>
              <w:left w:w="57" w:type="dxa"/>
              <w:bottom w:w="57" w:type="dxa"/>
              <w:right w:w="57" w:type="dxa"/>
            </w:tcMar>
            <w:vAlign w:val="center"/>
          </w:tcPr>
          <w:p>
            <w:pPr>
              <w:ind w:firstLine="474"/>
              <w:jc w:val="center"/>
              <w:rPr>
                <w:color w:val="000000"/>
                <w:sz w:val="18"/>
              </w:rPr>
            </w:pPr>
          </w:p>
        </w:tc>
        <w:tc>
          <w:tcPr>
            <w:tcW w:w="2523" w:type="dxa"/>
            <w:tcMar>
              <w:top w:w="57" w:type="dxa"/>
              <w:left w:w="57" w:type="dxa"/>
              <w:bottom w:w="57" w:type="dxa"/>
              <w:right w:w="57" w:type="dxa"/>
            </w:tcMar>
            <w:vAlign w:val="center"/>
          </w:tcPr>
          <w:p>
            <w:pPr>
              <w:ind w:firstLine="474"/>
              <w:jc w:val="left"/>
              <w:rPr>
                <w:rFonts w:ascii="宋体" w:hAnsi="宋体"/>
              </w:rPr>
            </w:pPr>
          </w:p>
        </w:tc>
        <w:tc>
          <w:tcPr>
            <w:tcW w:w="1585" w:type="dxa"/>
            <w:tcMar>
              <w:top w:w="57" w:type="dxa"/>
              <w:left w:w="57" w:type="dxa"/>
              <w:bottom w:w="57" w:type="dxa"/>
              <w:right w:w="57" w:type="dxa"/>
            </w:tcMar>
            <w:vAlign w:val="center"/>
          </w:tcPr>
          <w:p>
            <w:pPr>
              <w:ind w:firstLine="474"/>
              <w:jc w:val="center"/>
              <w:rPr>
                <w:rFonts w:ascii="汉仪书宋二简"/>
                <w:color w:val="000000"/>
              </w:rPr>
            </w:pPr>
          </w:p>
        </w:tc>
        <w:tc>
          <w:tcPr>
            <w:tcW w:w="1673" w:type="dxa"/>
            <w:tcMar>
              <w:top w:w="57" w:type="dxa"/>
              <w:left w:w="57" w:type="dxa"/>
              <w:bottom w:w="57" w:type="dxa"/>
              <w:right w:w="57" w:type="dxa"/>
            </w:tcMar>
            <w:vAlign w:val="center"/>
          </w:tcPr>
          <w:p>
            <w:pPr>
              <w:ind w:firstLine="474"/>
              <w:jc w:val="center"/>
              <w:rPr>
                <w:color w:val="000000"/>
                <w:sz w:val="18"/>
              </w:rPr>
            </w:pPr>
          </w:p>
        </w:tc>
        <w:tc>
          <w:tcPr>
            <w:tcW w:w="1562"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jc w:val="center"/>
        <w:rPr>
          <w:rFonts w:hint="eastAsia" w:eastAsia="汉仪大宋简"/>
          <w:color w:val="000000"/>
          <w:spacing w:val="40"/>
          <w:position w:val="14"/>
          <w:sz w:val="40"/>
        </w:rPr>
      </w:pPr>
    </w:p>
    <w:p>
      <w:pPr>
        <w:spacing w:after="342" w:afterLines="100" w:line="600" w:lineRule="exact"/>
        <w:jc w:val="center"/>
        <w:rPr>
          <w:rFonts w:eastAsia="汉仪大宋简"/>
          <w:b/>
          <w:bCs/>
          <w:color w:val="000000"/>
          <w:spacing w:val="40"/>
          <w:sz w:val="32"/>
        </w:rPr>
      </w:pPr>
      <w:r>
        <w:rPr>
          <w:rFonts w:hint="eastAsia" w:eastAsia="汉仪大宋简"/>
          <w:color w:val="000000"/>
          <w:spacing w:val="40"/>
          <w:position w:val="14"/>
          <w:sz w:val="40"/>
        </w:rPr>
        <w:t>附属市政工程配套项目表</w:t>
      </w:r>
    </w:p>
    <w:p>
      <w:pPr>
        <w:spacing w:after="342" w:afterLines="100"/>
        <w:ind w:firstLine="474"/>
        <w:jc w:val="right"/>
        <w:rPr>
          <w:color w:val="000000"/>
          <w:sz w:val="18"/>
        </w:rPr>
      </w:pPr>
      <w:r>
        <w:rPr>
          <w:rFonts w:hint="eastAsia"/>
          <w:color w:val="000000"/>
          <w:sz w:val="18"/>
        </w:rPr>
        <w:t>（附表三）</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0"/>
        <w:gridCol w:w="1417"/>
        <w:gridCol w:w="188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jc w:val="center"/>
              <w:rPr>
                <w:color w:val="000000"/>
              </w:rPr>
            </w:pPr>
            <w:r>
              <w:rPr>
                <w:rFonts w:hint="eastAsia"/>
                <w:color w:val="000000"/>
              </w:rPr>
              <w:t>序号</w:t>
            </w:r>
          </w:p>
        </w:tc>
        <w:tc>
          <w:tcPr>
            <w:tcW w:w="2400"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17"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888"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6" w:type="dxa"/>
            <w:tcMar>
              <w:top w:w="57" w:type="dxa"/>
              <w:left w:w="57" w:type="dxa"/>
              <w:bottom w:w="57" w:type="dxa"/>
              <w:right w:w="57" w:type="dxa"/>
            </w:tcMar>
            <w:vAlign w:val="center"/>
          </w:tcPr>
          <w:p>
            <w:pPr>
              <w:jc w:val="center"/>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251" w:firstLineChars="86"/>
              <w:rPr>
                <w:rFonts w:ascii="汉仪书宋二简" w:hAnsi="Times New Roman" w:eastAsia="汉仪书宋二简"/>
                <w:color w:val="000000"/>
                <w:spacing w:val="20"/>
                <w:w w:val="110"/>
                <w:sz w:val="23"/>
                <w:szCs w:val="24"/>
              </w:rPr>
            </w:pPr>
          </w:p>
        </w:tc>
        <w:tc>
          <w:tcPr>
            <w:tcW w:w="2400" w:type="dxa"/>
            <w:tcMar>
              <w:top w:w="57" w:type="dxa"/>
              <w:left w:w="57" w:type="dxa"/>
              <w:bottom w:w="57" w:type="dxa"/>
              <w:right w:w="57" w:type="dxa"/>
            </w:tcMar>
            <w:vAlign w:val="center"/>
          </w:tcPr>
          <w:p>
            <w:pPr>
              <w:jc w:val="left"/>
              <w:rPr>
                <w:rFonts w:ascii="汉仪书宋二简" w:hAnsi="Times New Roman" w:eastAsia="汉仪书宋二简"/>
                <w:color w:val="000000"/>
                <w:spacing w:val="20"/>
                <w:w w:val="110"/>
                <w:sz w:val="23"/>
                <w:szCs w:val="24"/>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tcPr>
          <w:p>
            <w:pP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rFonts w:ascii="汉仪书宋二简"/>
                <w:color w:val="000000"/>
              </w:rPr>
            </w:pPr>
          </w:p>
        </w:tc>
        <w:tc>
          <w:tcPr>
            <w:tcW w:w="2400" w:type="dxa"/>
            <w:tcMar>
              <w:top w:w="57" w:type="dxa"/>
              <w:left w:w="57" w:type="dxa"/>
              <w:bottom w:w="57" w:type="dxa"/>
              <w:right w:w="57" w:type="dxa"/>
            </w:tcMar>
            <w:vAlign w:val="center"/>
          </w:tcPr>
          <w:p>
            <w:pPr>
              <w:jc w:val="left"/>
              <w:rPr>
                <w:rFonts w:ascii="汉仪书宋二简"/>
                <w:color w:val="000000"/>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rFonts w:ascii="宋体" w:hAnsi="宋体"/>
                <w:szCs w:val="21"/>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bl>
    <w:p>
      <w:pPr>
        <w:tabs>
          <w:tab w:val="right" w:pos="4820"/>
          <w:tab w:val="left" w:pos="5103"/>
          <w:tab w:val="right" w:pos="8505"/>
        </w:tabs>
        <w:spacing w:after="342" w:afterLines="100" w:line="600" w:lineRule="exact"/>
        <w:rPr>
          <w:rFonts w:ascii="汉仪书宋二简" w:hAnsi="Times New Roman"/>
          <w:spacing w:val="20"/>
          <w:w w:val="110"/>
          <w:sz w:val="23"/>
          <w:szCs w:val="24"/>
          <w:u w:val="single"/>
        </w:rPr>
      </w:pPr>
    </w:p>
    <w:sectPr>
      <w:headerReference r:id="rId4" w:type="first"/>
      <w:footerReference r:id="rId7" w:type="first"/>
      <w:footerReference r:id="rId5" w:type="default"/>
      <w:headerReference r:id="rId3" w:type="even"/>
      <w:footerReference r:id="rId6" w:type="even"/>
      <w:pgSz w:w="11907" w:h="16839"/>
      <w:pgMar w:top="1701"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简">
    <w:altName w:val="宋体"/>
    <w:panose1 w:val="00000000000000000000"/>
    <w:charset w:val="86"/>
    <w:family w:val="modern"/>
    <w:pitch w:val="default"/>
    <w:sig w:usb0="00000000" w:usb1="00000000" w:usb2="00000012"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83"/>
      <w:rPr>
        <w:rStyle w:val="8"/>
        <w:rFonts w:ascii="宋体" w:hAnsi="宋体"/>
      </w:rPr>
    </w:pPr>
    <w:r>
      <w:rPr>
        <w:rStyle w:val="8"/>
        <w:rFonts w:hint="eastAsia" w:ascii="宋体" w:hAnsi="宋体"/>
      </w:rPr>
      <w:t>—</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16</w:t>
    </w:r>
    <w:r>
      <w:rPr>
        <w:rStyle w:val="8"/>
        <w:rFonts w:ascii="宋体" w:hAnsi="宋体"/>
      </w:rPr>
      <w:fldChar w:fldCharType="end"/>
    </w:r>
    <w:r>
      <w:rPr>
        <w:rStyle w:val="8"/>
        <w:rFonts w:hint="eastAsia" w:ascii="宋体" w:hAnsi="宋体"/>
      </w:rPr>
      <w:t>—</w:t>
    </w:r>
  </w:p>
  <w:p>
    <w:pPr>
      <w:pStyle w:val="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03"/>
      <w:rPr>
        <w:rStyle w:val="8"/>
      </w:rPr>
    </w:pPr>
    <w:r>
      <w:rPr>
        <w:rStyle w:val="8"/>
      </w:rPr>
      <w:fldChar w:fldCharType="begin"/>
    </w:r>
    <w:r>
      <w:rPr>
        <w:rStyle w:val="8"/>
      </w:rPr>
      <w:instrText xml:space="preserve">PAGE  </w:instrText>
    </w:r>
    <w:r>
      <w:rPr>
        <w:rStyle w:val="8"/>
      </w:rPr>
      <w:fldChar w:fldCharType="end"/>
    </w:r>
  </w:p>
  <w:p>
    <w:pPr>
      <w:pStyle w:val="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3"/>
    <w:rsid w:val="00001D9F"/>
    <w:rsid w:val="0000533F"/>
    <w:rsid w:val="00005DF6"/>
    <w:rsid w:val="00010F5D"/>
    <w:rsid w:val="00013A9C"/>
    <w:rsid w:val="000240A6"/>
    <w:rsid w:val="00026347"/>
    <w:rsid w:val="000309A2"/>
    <w:rsid w:val="000343D1"/>
    <w:rsid w:val="000421D3"/>
    <w:rsid w:val="00046861"/>
    <w:rsid w:val="0005501A"/>
    <w:rsid w:val="0005508F"/>
    <w:rsid w:val="00061E21"/>
    <w:rsid w:val="00062227"/>
    <w:rsid w:val="00065687"/>
    <w:rsid w:val="00074F5C"/>
    <w:rsid w:val="0007515B"/>
    <w:rsid w:val="0007651A"/>
    <w:rsid w:val="000772D9"/>
    <w:rsid w:val="00081267"/>
    <w:rsid w:val="000843C4"/>
    <w:rsid w:val="0008611E"/>
    <w:rsid w:val="00086190"/>
    <w:rsid w:val="00087E05"/>
    <w:rsid w:val="00094380"/>
    <w:rsid w:val="0009465E"/>
    <w:rsid w:val="000964B5"/>
    <w:rsid w:val="000A09F3"/>
    <w:rsid w:val="000B093C"/>
    <w:rsid w:val="000C39E4"/>
    <w:rsid w:val="000C3F67"/>
    <w:rsid w:val="000C5B4C"/>
    <w:rsid w:val="000C6DCA"/>
    <w:rsid w:val="000D63F0"/>
    <w:rsid w:val="000E456D"/>
    <w:rsid w:val="000E52C4"/>
    <w:rsid w:val="000E58A7"/>
    <w:rsid w:val="000F492D"/>
    <w:rsid w:val="000F5113"/>
    <w:rsid w:val="000F7AC3"/>
    <w:rsid w:val="001009FE"/>
    <w:rsid w:val="00104727"/>
    <w:rsid w:val="00105ED9"/>
    <w:rsid w:val="00110865"/>
    <w:rsid w:val="00113FA5"/>
    <w:rsid w:val="00126EAA"/>
    <w:rsid w:val="0012778E"/>
    <w:rsid w:val="00141C63"/>
    <w:rsid w:val="00143FF7"/>
    <w:rsid w:val="00144630"/>
    <w:rsid w:val="00151F72"/>
    <w:rsid w:val="001548C7"/>
    <w:rsid w:val="0015577D"/>
    <w:rsid w:val="00155D57"/>
    <w:rsid w:val="001643FA"/>
    <w:rsid w:val="0018123B"/>
    <w:rsid w:val="001831A6"/>
    <w:rsid w:val="00191CFC"/>
    <w:rsid w:val="00195E8D"/>
    <w:rsid w:val="00196776"/>
    <w:rsid w:val="001A7260"/>
    <w:rsid w:val="001C05BB"/>
    <w:rsid w:val="001C0AF4"/>
    <w:rsid w:val="001D5D81"/>
    <w:rsid w:val="001D729D"/>
    <w:rsid w:val="001E0805"/>
    <w:rsid w:val="001E3A8E"/>
    <w:rsid w:val="001E48D4"/>
    <w:rsid w:val="001F202D"/>
    <w:rsid w:val="00207BE3"/>
    <w:rsid w:val="002103A6"/>
    <w:rsid w:val="00215EFB"/>
    <w:rsid w:val="00216034"/>
    <w:rsid w:val="002300A9"/>
    <w:rsid w:val="00230B73"/>
    <w:rsid w:val="00235795"/>
    <w:rsid w:val="00237809"/>
    <w:rsid w:val="0024754E"/>
    <w:rsid w:val="002520F8"/>
    <w:rsid w:val="0025330B"/>
    <w:rsid w:val="002606C6"/>
    <w:rsid w:val="00267605"/>
    <w:rsid w:val="002704D3"/>
    <w:rsid w:val="00273F4C"/>
    <w:rsid w:val="00277314"/>
    <w:rsid w:val="00282609"/>
    <w:rsid w:val="00282C43"/>
    <w:rsid w:val="002835B8"/>
    <w:rsid w:val="0028441E"/>
    <w:rsid w:val="0029150D"/>
    <w:rsid w:val="002928DE"/>
    <w:rsid w:val="00293372"/>
    <w:rsid w:val="002964DD"/>
    <w:rsid w:val="002A0A7D"/>
    <w:rsid w:val="002A2087"/>
    <w:rsid w:val="002A37E6"/>
    <w:rsid w:val="002A5407"/>
    <w:rsid w:val="002A5EE6"/>
    <w:rsid w:val="002B15B2"/>
    <w:rsid w:val="002B544E"/>
    <w:rsid w:val="002C0FA6"/>
    <w:rsid w:val="002C1A56"/>
    <w:rsid w:val="002C2BF1"/>
    <w:rsid w:val="002C5770"/>
    <w:rsid w:val="002C65ED"/>
    <w:rsid w:val="002C6732"/>
    <w:rsid w:val="002D215E"/>
    <w:rsid w:val="002D4D4E"/>
    <w:rsid w:val="002D5549"/>
    <w:rsid w:val="002E07C2"/>
    <w:rsid w:val="002E2370"/>
    <w:rsid w:val="002E2A13"/>
    <w:rsid w:val="002E3486"/>
    <w:rsid w:val="002E694C"/>
    <w:rsid w:val="002E7D25"/>
    <w:rsid w:val="002F03D3"/>
    <w:rsid w:val="002F29FA"/>
    <w:rsid w:val="002F577F"/>
    <w:rsid w:val="002F6968"/>
    <w:rsid w:val="002F79B0"/>
    <w:rsid w:val="00301AA6"/>
    <w:rsid w:val="00303FE0"/>
    <w:rsid w:val="00306FA3"/>
    <w:rsid w:val="00310179"/>
    <w:rsid w:val="00311530"/>
    <w:rsid w:val="00311544"/>
    <w:rsid w:val="00315A5E"/>
    <w:rsid w:val="003226B8"/>
    <w:rsid w:val="003259B9"/>
    <w:rsid w:val="00330391"/>
    <w:rsid w:val="00331830"/>
    <w:rsid w:val="003321B1"/>
    <w:rsid w:val="00334026"/>
    <w:rsid w:val="00337983"/>
    <w:rsid w:val="0034176F"/>
    <w:rsid w:val="003468FE"/>
    <w:rsid w:val="0035034B"/>
    <w:rsid w:val="00354E6E"/>
    <w:rsid w:val="003602E7"/>
    <w:rsid w:val="0036265B"/>
    <w:rsid w:val="003639F8"/>
    <w:rsid w:val="00363D3C"/>
    <w:rsid w:val="00365C60"/>
    <w:rsid w:val="00366F19"/>
    <w:rsid w:val="003701B3"/>
    <w:rsid w:val="00370AB0"/>
    <w:rsid w:val="00376F77"/>
    <w:rsid w:val="003822D2"/>
    <w:rsid w:val="00382A85"/>
    <w:rsid w:val="00397214"/>
    <w:rsid w:val="003A1509"/>
    <w:rsid w:val="003A261B"/>
    <w:rsid w:val="003A6371"/>
    <w:rsid w:val="003B7338"/>
    <w:rsid w:val="003C4252"/>
    <w:rsid w:val="003D0B0C"/>
    <w:rsid w:val="003D5202"/>
    <w:rsid w:val="003D6E68"/>
    <w:rsid w:val="003F3475"/>
    <w:rsid w:val="003F46AD"/>
    <w:rsid w:val="003F72F4"/>
    <w:rsid w:val="003F7A5D"/>
    <w:rsid w:val="00400D00"/>
    <w:rsid w:val="0040217A"/>
    <w:rsid w:val="004032A2"/>
    <w:rsid w:val="004053BA"/>
    <w:rsid w:val="00412FED"/>
    <w:rsid w:val="00416F0C"/>
    <w:rsid w:val="004179AF"/>
    <w:rsid w:val="004211BD"/>
    <w:rsid w:val="00423912"/>
    <w:rsid w:val="0042397D"/>
    <w:rsid w:val="00424B87"/>
    <w:rsid w:val="0042786D"/>
    <w:rsid w:val="00430251"/>
    <w:rsid w:val="00430992"/>
    <w:rsid w:val="00434185"/>
    <w:rsid w:val="00434B2D"/>
    <w:rsid w:val="004413DE"/>
    <w:rsid w:val="00443422"/>
    <w:rsid w:val="0044563B"/>
    <w:rsid w:val="00445914"/>
    <w:rsid w:val="0045213B"/>
    <w:rsid w:val="0045252A"/>
    <w:rsid w:val="004604BA"/>
    <w:rsid w:val="004606FE"/>
    <w:rsid w:val="0046245E"/>
    <w:rsid w:val="00463E20"/>
    <w:rsid w:val="00466800"/>
    <w:rsid w:val="00473E01"/>
    <w:rsid w:val="00477413"/>
    <w:rsid w:val="0049531E"/>
    <w:rsid w:val="004A092B"/>
    <w:rsid w:val="004A3C2F"/>
    <w:rsid w:val="004A4B67"/>
    <w:rsid w:val="004A73B5"/>
    <w:rsid w:val="004B0415"/>
    <w:rsid w:val="004B0D33"/>
    <w:rsid w:val="004B21CC"/>
    <w:rsid w:val="004B4572"/>
    <w:rsid w:val="004C79F8"/>
    <w:rsid w:val="004D058A"/>
    <w:rsid w:val="004D59C9"/>
    <w:rsid w:val="004D75C8"/>
    <w:rsid w:val="004D7E9B"/>
    <w:rsid w:val="004E42A4"/>
    <w:rsid w:val="004E46A4"/>
    <w:rsid w:val="004E7290"/>
    <w:rsid w:val="004F0E54"/>
    <w:rsid w:val="004F4397"/>
    <w:rsid w:val="004F52C1"/>
    <w:rsid w:val="004F7173"/>
    <w:rsid w:val="005048B4"/>
    <w:rsid w:val="00514F49"/>
    <w:rsid w:val="00516187"/>
    <w:rsid w:val="005208C2"/>
    <w:rsid w:val="005211B2"/>
    <w:rsid w:val="00522521"/>
    <w:rsid w:val="00527A4C"/>
    <w:rsid w:val="00530E3A"/>
    <w:rsid w:val="005426EC"/>
    <w:rsid w:val="00545821"/>
    <w:rsid w:val="00551845"/>
    <w:rsid w:val="00551868"/>
    <w:rsid w:val="00552DD7"/>
    <w:rsid w:val="00567145"/>
    <w:rsid w:val="00567323"/>
    <w:rsid w:val="00570365"/>
    <w:rsid w:val="00574FCF"/>
    <w:rsid w:val="005755C5"/>
    <w:rsid w:val="00581E41"/>
    <w:rsid w:val="00581E7D"/>
    <w:rsid w:val="00591305"/>
    <w:rsid w:val="0059399E"/>
    <w:rsid w:val="005A13FC"/>
    <w:rsid w:val="005A69B2"/>
    <w:rsid w:val="005A7257"/>
    <w:rsid w:val="005A7631"/>
    <w:rsid w:val="005B265E"/>
    <w:rsid w:val="005B6EF6"/>
    <w:rsid w:val="005C034F"/>
    <w:rsid w:val="005C0AE9"/>
    <w:rsid w:val="005C7D33"/>
    <w:rsid w:val="005D3910"/>
    <w:rsid w:val="005D3A7F"/>
    <w:rsid w:val="005E6EC5"/>
    <w:rsid w:val="005E735D"/>
    <w:rsid w:val="005F2C46"/>
    <w:rsid w:val="00602314"/>
    <w:rsid w:val="00603945"/>
    <w:rsid w:val="00605917"/>
    <w:rsid w:val="00614339"/>
    <w:rsid w:val="00614635"/>
    <w:rsid w:val="00614CFB"/>
    <w:rsid w:val="0062072E"/>
    <w:rsid w:val="00622F11"/>
    <w:rsid w:val="00632A9A"/>
    <w:rsid w:val="00640534"/>
    <w:rsid w:val="006427B8"/>
    <w:rsid w:val="00647866"/>
    <w:rsid w:val="00651F69"/>
    <w:rsid w:val="00662683"/>
    <w:rsid w:val="006637E0"/>
    <w:rsid w:val="00665C6D"/>
    <w:rsid w:val="0066744E"/>
    <w:rsid w:val="00670D26"/>
    <w:rsid w:val="00681EC8"/>
    <w:rsid w:val="00682821"/>
    <w:rsid w:val="00686590"/>
    <w:rsid w:val="00687970"/>
    <w:rsid w:val="00690468"/>
    <w:rsid w:val="006954A6"/>
    <w:rsid w:val="00697A3C"/>
    <w:rsid w:val="006A49F3"/>
    <w:rsid w:val="006A5A75"/>
    <w:rsid w:val="006A69F3"/>
    <w:rsid w:val="006B1586"/>
    <w:rsid w:val="006B5FB0"/>
    <w:rsid w:val="006B69D6"/>
    <w:rsid w:val="006C05E7"/>
    <w:rsid w:val="006C1B9D"/>
    <w:rsid w:val="006C40AA"/>
    <w:rsid w:val="006C431F"/>
    <w:rsid w:val="006D3F01"/>
    <w:rsid w:val="006D47D8"/>
    <w:rsid w:val="006E0641"/>
    <w:rsid w:val="006F2160"/>
    <w:rsid w:val="006F3942"/>
    <w:rsid w:val="00700F62"/>
    <w:rsid w:val="0070398F"/>
    <w:rsid w:val="00706880"/>
    <w:rsid w:val="007111FB"/>
    <w:rsid w:val="0071222A"/>
    <w:rsid w:val="007135D1"/>
    <w:rsid w:val="0072196E"/>
    <w:rsid w:val="0073347A"/>
    <w:rsid w:val="00736076"/>
    <w:rsid w:val="007464FB"/>
    <w:rsid w:val="007465C5"/>
    <w:rsid w:val="007501BA"/>
    <w:rsid w:val="00751600"/>
    <w:rsid w:val="007535A9"/>
    <w:rsid w:val="00757976"/>
    <w:rsid w:val="00760076"/>
    <w:rsid w:val="00761E3E"/>
    <w:rsid w:val="00763CE1"/>
    <w:rsid w:val="00770C53"/>
    <w:rsid w:val="0077794A"/>
    <w:rsid w:val="00784010"/>
    <w:rsid w:val="00794982"/>
    <w:rsid w:val="007B028A"/>
    <w:rsid w:val="007B2277"/>
    <w:rsid w:val="007B6611"/>
    <w:rsid w:val="007C1CD1"/>
    <w:rsid w:val="007C27FD"/>
    <w:rsid w:val="007C7BAE"/>
    <w:rsid w:val="007D0200"/>
    <w:rsid w:val="007D72B0"/>
    <w:rsid w:val="007D7E78"/>
    <w:rsid w:val="007E1641"/>
    <w:rsid w:val="007F771C"/>
    <w:rsid w:val="008179E9"/>
    <w:rsid w:val="0084089B"/>
    <w:rsid w:val="00842A75"/>
    <w:rsid w:val="00843102"/>
    <w:rsid w:val="00843B21"/>
    <w:rsid w:val="00845838"/>
    <w:rsid w:val="00846485"/>
    <w:rsid w:val="00847D21"/>
    <w:rsid w:val="00852294"/>
    <w:rsid w:val="00852556"/>
    <w:rsid w:val="00855BED"/>
    <w:rsid w:val="00855F19"/>
    <w:rsid w:val="00856543"/>
    <w:rsid w:val="0085678F"/>
    <w:rsid w:val="00857CDE"/>
    <w:rsid w:val="00860E39"/>
    <w:rsid w:val="00873EDE"/>
    <w:rsid w:val="00875C51"/>
    <w:rsid w:val="00880ACD"/>
    <w:rsid w:val="00882F11"/>
    <w:rsid w:val="00891A7B"/>
    <w:rsid w:val="008953B8"/>
    <w:rsid w:val="008958DB"/>
    <w:rsid w:val="008976DC"/>
    <w:rsid w:val="008A32FA"/>
    <w:rsid w:val="008A735C"/>
    <w:rsid w:val="008B24AB"/>
    <w:rsid w:val="008B2E65"/>
    <w:rsid w:val="008B5078"/>
    <w:rsid w:val="008C39CB"/>
    <w:rsid w:val="008C4EBC"/>
    <w:rsid w:val="008D0571"/>
    <w:rsid w:val="008D1DD5"/>
    <w:rsid w:val="008E14C3"/>
    <w:rsid w:val="008F0336"/>
    <w:rsid w:val="008F5287"/>
    <w:rsid w:val="008F6982"/>
    <w:rsid w:val="0090129B"/>
    <w:rsid w:val="009042CA"/>
    <w:rsid w:val="009054A5"/>
    <w:rsid w:val="009062AD"/>
    <w:rsid w:val="00907B84"/>
    <w:rsid w:val="009123C7"/>
    <w:rsid w:val="0091583D"/>
    <w:rsid w:val="00924353"/>
    <w:rsid w:val="00934BBB"/>
    <w:rsid w:val="00950E7F"/>
    <w:rsid w:val="0095161B"/>
    <w:rsid w:val="009535C1"/>
    <w:rsid w:val="00955492"/>
    <w:rsid w:val="00955EB3"/>
    <w:rsid w:val="00963294"/>
    <w:rsid w:val="00975318"/>
    <w:rsid w:val="009759A2"/>
    <w:rsid w:val="00975DDA"/>
    <w:rsid w:val="00980A23"/>
    <w:rsid w:val="00987796"/>
    <w:rsid w:val="00990024"/>
    <w:rsid w:val="009A43A8"/>
    <w:rsid w:val="009A6E35"/>
    <w:rsid w:val="009A7452"/>
    <w:rsid w:val="009B6323"/>
    <w:rsid w:val="009C6C75"/>
    <w:rsid w:val="009C707C"/>
    <w:rsid w:val="009C73AB"/>
    <w:rsid w:val="009E4CCE"/>
    <w:rsid w:val="009E691D"/>
    <w:rsid w:val="009F2B2A"/>
    <w:rsid w:val="009F4247"/>
    <w:rsid w:val="00A027FE"/>
    <w:rsid w:val="00A10AB1"/>
    <w:rsid w:val="00A22EC2"/>
    <w:rsid w:val="00A31733"/>
    <w:rsid w:val="00A35DAD"/>
    <w:rsid w:val="00A35DE7"/>
    <w:rsid w:val="00A3643D"/>
    <w:rsid w:val="00A41078"/>
    <w:rsid w:val="00A44560"/>
    <w:rsid w:val="00A45CCB"/>
    <w:rsid w:val="00A47E62"/>
    <w:rsid w:val="00A55B97"/>
    <w:rsid w:val="00A6084A"/>
    <w:rsid w:val="00A61B90"/>
    <w:rsid w:val="00A647EE"/>
    <w:rsid w:val="00A65BA7"/>
    <w:rsid w:val="00A717A5"/>
    <w:rsid w:val="00A76A45"/>
    <w:rsid w:val="00A83498"/>
    <w:rsid w:val="00A9573A"/>
    <w:rsid w:val="00AA15E2"/>
    <w:rsid w:val="00AB5EC1"/>
    <w:rsid w:val="00AC2716"/>
    <w:rsid w:val="00AC37AA"/>
    <w:rsid w:val="00AD276B"/>
    <w:rsid w:val="00AD2F6F"/>
    <w:rsid w:val="00AD521F"/>
    <w:rsid w:val="00AD5D0A"/>
    <w:rsid w:val="00AD6978"/>
    <w:rsid w:val="00AE02C9"/>
    <w:rsid w:val="00AE2598"/>
    <w:rsid w:val="00AE5043"/>
    <w:rsid w:val="00AE7558"/>
    <w:rsid w:val="00AF3C32"/>
    <w:rsid w:val="00AF575A"/>
    <w:rsid w:val="00B1179C"/>
    <w:rsid w:val="00B12486"/>
    <w:rsid w:val="00B35F30"/>
    <w:rsid w:val="00B40916"/>
    <w:rsid w:val="00B41687"/>
    <w:rsid w:val="00B41F5B"/>
    <w:rsid w:val="00B442EC"/>
    <w:rsid w:val="00B4458A"/>
    <w:rsid w:val="00B50422"/>
    <w:rsid w:val="00B52983"/>
    <w:rsid w:val="00B55305"/>
    <w:rsid w:val="00B6258E"/>
    <w:rsid w:val="00B65E41"/>
    <w:rsid w:val="00B70603"/>
    <w:rsid w:val="00B761C5"/>
    <w:rsid w:val="00B76591"/>
    <w:rsid w:val="00B773A8"/>
    <w:rsid w:val="00B77DEA"/>
    <w:rsid w:val="00B81898"/>
    <w:rsid w:val="00B82B30"/>
    <w:rsid w:val="00B83B3A"/>
    <w:rsid w:val="00B87AE6"/>
    <w:rsid w:val="00B907EF"/>
    <w:rsid w:val="00B90CE8"/>
    <w:rsid w:val="00B95482"/>
    <w:rsid w:val="00B9594D"/>
    <w:rsid w:val="00B96C60"/>
    <w:rsid w:val="00B978B3"/>
    <w:rsid w:val="00BA1471"/>
    <w:rsid w:val="00BA2CEC"/>
    <w:rsid w:val="00BB3180"/>
    <w:rsid w:val="00BC00C4"/>
    <w:rsid w:val="00BC6872"/>
    <w:rsid w:val="00BD701D"/>
    <w:rsid w:val="00BE472C"/>
    <w:rsid w:val="00BE5B11"/>
    <w:rsid w:val="00BF1835"/>
    <w:rsid w:val="00BF5051"/>
    <w:rsid w:val="00C0167D"/>
    <w:rsid w:val="00C060B3"/>
    <w:rsid w:val="00C24687"/>
    <w:rsid w:val="00C40452"/>
    <w:rsid w:val="00C42F76"/>
    <w:rsid w:val="00C452A8"/>
    <w:rsid w:val="00C4703D"/>
    <w:rsid w:val="00C51DB5"/>
    <w:rsid w:val="00C56AB3"/>
    <w:rsid w:val="00C647BC"/>
    <w:rsid w:val="00C74E47"/>
    <w:rsid w:val="00C77304"/>
    <w:rsid w:val="00C82C2A"/>
    <w:rsid w:val="00C82F83"/>
    <w:rsid w:val="00C8311F"/>
    <w:rsid w:val="00C84097"/>
    <w:rsid w:val="00C84A93"/>
    <w:rsid w:val="00C93BEA"/>
    <w:rsid w:val="00C956C7"/>
    <w:rsid w:val="00C95FAD"/>
    <w:rsid w:val="00C9774C"/>
    <w:rsid w:val="00CB0189"/>
    <w:rsid w:val="00CB44BF"/>
    <w:rsid w:val="00CC007B"/>
    <w:rsid w:val="00CD1DEA"/>
    <w:rsid w:val="00CD3094"/>
    <w:rsid w:val="00CD7014"/>
    <w:rsid w:val="00CE0BAB"/>
    <w:rsid w:val="00CE3B4C"/>
    <w:rsid w:val="00CF3FA3"/>
    <w:rsid w:val="00CF51C7"/>
    <w:rsid w:val="00CF60A3"/>
    <w:rsid w:val="00CF6DF0"/>
    <w:rsid w:val="00CF7173"/>
    <w:rsid w:val="00D00AC0"/>
    <w:rsid w:val="00D011D8"/>
    <w:rsid w:val="00D02CD4"/>
    <w:rsid w:val="00D04AD5"/>
    <w:rsid w:val="00D136E1"/>
    <w:rsid w:val="00D156DE"/>
    <w:rsid w:val="00D16A15"/>
    <w:rsid w:val="00D21635"/>
    <w:rsid w:val="00D23606"/>
    <w:rsid w:val="00D26D29"/>
    <w:rsid w:val="00D31027"/>
    <w:rsid w:val="00D31E08"/>
    <w:rsid w:val="00D3203A"/>
    <w:rsid w:val="00D3220C"/>
    <w:rsid w:val="00D33BC3"/>
    <w:rsid w:val="00D364BB"/>
    <w:rsid w:val="00D36B84"/>
    <w:rsid w:val="00D377AA"/>
    <w:rsid w:val="00D40B12"/>
    <w:rsid w:val="00D476C8"/>
    <w:rsid w:val="00D52E19"/>
    <w:rsid w:val="00D53CB0"/>
    <w:rsid w:val="00D6147E"/>
    <w:rsid w:val="00D7029A"/>
    <w:rsid w:val="00D81FE7"/>
    <w:rsid w:val="00D86F3D"/>
    <w:rsid w:val="00D9507E"/>
    <w:rsid w:val="00DB5BCF"/>
    <w:rsid w:val="00DB5C9B"/>
    <w:rsid w:val="00DC00F8"/>
    <w:rsid w:val="00DC38DB"/>
    <w:rsid w:val="00DC6E14"/>
    <w:rsid w:val="00DD01D6"/>
    <w:rsid w:val="00DD354C"/>
    <w:rsid w:val="00DD650B"/>
    <w:rsid w:val="00DE3A05"/>
    <w:rsid w:val="00DE4FBA"/>
    <w:rsid w:val="00DE6C88"/>
    <w:rsid w:val="00DE7996"/>
    <w:rsid w:val="00DF75D3"/>
    <w:rsid w:val="00E0533A"/>
    <w:rsid w:val="00E10064"/>
    <w:rsid w:val="00E101BB"/>
    <w:rsid w:val="00E133D1"/>
    <w:rsid w:val="00E3084D"/>
    <w:rsid w:val="00E370B1"/>
    <w:rsid w:val="00E512EA"/>
    <w:rsid w:val="00E5169F"/>
    <w:rsid w:val="00E5221C"/>
    <w:rsid w:val="00E54234"/>
    <w:rsid w:val="00E60741"/>
    <w:rsid w:val="00E734BE"/>
    <w:rsid w:val="00E828DB"/>
    <w:rsid w:val="00E84412"/>
    <w:rsid w:val="00E90918"/>
    <w:rsid w:val="00E92084"/>
    <w:rsid w:val="00E962F9"/>
    <w:rsid w:val="00E97BE1"/>
    <w:rsid w:val="00E97DD6"/>
    <w:rsid w:val="00EB46AD"/>
    <w:rsid w:val="00EB64C8"/>
    <w:rsid w:val="00EB7D36"/>
    <w:rsid w:val="00EC2F88"/>
    <w:rsid w:val="00EC3A21"/>
    <w:rsid w:val="00EC60F2"/>
    <w:rsid w:val="00ED686D"/>
    <w:rsid w:val="00ED6B7A"/>
    <w:rsid w:val="00EE3BBB"/>
    <w:rsid w:val="00EE5319"/>
    <w:rsid w:val="00EE67E8"/>
    <w:rsid w:val="00EF26FD"/>
    <w:rsid w:val="00EF35A3"/>
    <w:rsid w:val="00EF45CD"/>
    <w:rsid w:val="00EF6280"/>
    <w:rsid w:val="00F26C66"/>
    <w:rsid w:val="00F27D49"/>
    <w:rsid w:val="00F31B5F"/>
    <w:rsid w:val="00F3487B"/>
    <w:rsid w:val="00F36103"/>
    <w:rsid w:val="00F36F34"/>
    <w:rsid w:val="00F41AE8"/>
    <w:rsid w:val="00F41FCC"/>
    <w:rsid w:val="00F428B5"/>
    <w:rsid w:val="00F45E52"/>
    <w:rsid w:val="00F468C0"/>
    <w:rsid w:val="00F5296B"/>
    <w:rsid w:val="00F56BFA"/>
    <w:rsid w:val="00F60950"/>
    <w:rsid w:val="00F63A48"/>
    <w:rsid w:val="00F64E93"/>
    <w:rsid w:val="00F83F4E"/>
    <w:rsid w:val="00F84717"/>
    <w:rsid w:val="00F86FD7"/>
    <w:rsid w:val="00F9091F"/>
    <w:rsid w:val="00F95F97"/>
    <w:rsid w:val="00F96B4F"/>
    <w:rsid w:val="00F96BCA"/>
    <w:rsid w:val="00FA36BB"/>
    <w:rsid w:val="00FA5287"/>
    <w:rsid w:val="00FC1C42"/>
    <w:rsid w:val="00FC360A"/>
    <w:rsid w:val="00FD20B9"/>
    <w:rsid w:val="00FD45B0"/>
    <w:rsid w:val="00FD48B9"/>
    <w:rsid w:val="00FD54A6"/>
    <w:rsid w:val="00FE155C"/>
    <w:rsid w:val="00FE7687"/>
    <w:rsid w:val="00FF16ED"/>
    <w:rsid w:val="00FF372C"/>
    <w:rsid w:val="00FF5E84"/>
    <w:rsid w:val="08117D4E"/>
    <w:rsid w:val="08710D1A"/>
    <w:rsid w:val="0A854818"/>
    <w:rsid w:val="0A9A6FBC"/>
    <w:rsid w:val="0B2136C5"/>
    <w:rsid w:val="0CB9452B"/>
    <w:rsid w:val="0FF0180E"/>
    <w:rsid w:val="10CC36AA"/>
    <w:rsid w:val="11F77D00"/>
    <w:rsid w:val="178E65C3"/>
    <w:rsid w:val="1A7B147C"/>
    <w:rsid w:val="1A962EC5"/>
    <w:rsid w:val="1C0250AD"/>
    <w:rsid w:val="1CC475FE"/>
    <w:rsid w:val="28E10D46"/>
    <w:rsid w:val="29C451AA"/>
    <w:rsid w:val="2C04151B"/>
    <w:rsid w:val="2EE7226C"/>
    <w:rsid w:val="31156021"/>
    <w:rsid w:val="35814FB4"/>
    <w:rsid w:val="37CC615A"/>
    <w:rsid w:val="3D20579C"/>
    <w:rsid w:val="42FE1B27"/>
    <w:rsid w:val="449B00CB"/>
    <w:rsid w:val="478F4245"/>
    <w:rsid w:val="4A816A06"/>
    <w:rsid w:val="4C164BD3"/>
    <w:rsid w:val="4DF412C2"/>
    <w:rsid w:val="4E7612F1"/>
    <w:rsid w:val="552C64B8"/>
    <w:rsid w:val="55D840B8"/>
    <w:rsid w:val="55EB3437"/>
    <w:rsid w:val="611C3D93"/>
    <w:rsid w:val="63886D1D"/>
    <w:rsid w:val="672B5241"/>
    <w:rsid w:val="761317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tabs>
        <w:tab w:val="right" w:pos="4820"/>
        <w:tab w:val="left" w:pos="5103"/>
        <w:tab w:val="right" w:pos="8505"/>
      </w:tabs>
      <w:spacing w:before="100" w:after="200" w:line="1200" w:lineRule="exact"/>
      <w:jc w:val="center"/>
      <w:outlineLvl w:val="2"/>
    </w:pPr>
    <w:rPr>
      <w:rFonts w:ascii="Arial" w:hAnsi="Arial" w:eastAsia="汉仪中黑简" w:cs="Arial"/>
      <w:bCs/>
      <w:spacing w:val="20"/>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semiHidden/>
    <w:qFormat/>
    <w:uiPriority w:val="99"/>
    <w:rPr>
      <w:sz w:val="18"/>
      <w:szCs w:val="18"/>
    </w:rPr>
  </w:style>
  <w:style w:type="character" w:customStyle="1" w:styleId="10">
    <w:name w:val="页眉 Char"/>
    <w:link w:val="5"/>
    <w:qFormat/>
    <w:uiPriority w:val="99"/>
    <w:rPr>
      <w:sz w:val="18"/>
      <w:szCs w:val="18"/>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Calibri" w:hAnsi="Calibri" w:eastAsia="宋体" w:cs="Times New Roman"/>
      <w:kern w:val="2"/>
      <w:sz w:val="21"/>
      <w:szCs w:val="22"/>
      <w:lang w:val="en-US" w:eastAsia="zh-CN" w:bidi="ar-SA"/>
    </w:rPr>
  </w:style>
  <w:style w:type="character" w:customStyle="1" w:styleId="14">
    <w:name w:val="标题 3 Char"/>
    <w:link w:val="2"/>
    <w:qFormat/>
    <w:uiPriority w:val="0"/>
    <w:rPr>
      <w:rFonts w:ascii="Arial" w:hAnsi="Arial" w:eastAsia="汉仪中黑简" w:cs="Arial"/>
      <w:bCs/>
      <w:spacing w:val="2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66FDF-DBB3-4F43-B3E4-6007EB0F5AC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1277</Words>
  <Characters>7280</Characters>
  <Lines>60</Lines>
  <Paragraphs>17</Paragraphs>
  <TotalTime>0</TotalTime>
  <ScaleCrop>false</ScaleCrop>
  <LinksUpToDate>false</LinksUpToDate>
  <CharactersWithSpaces>8540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2017-12-21T09:02:00Z</dcterms:created>
  <dc:creator>杜函函</dc:creator>
  <cp:lastModifiedBy>null</cp:lastModifiedBy>
  <cp:lastPrinted>2021-08-20T03:17:00Z</cp:lastPrinted>
  <dcterms:modified xsi:type="dcterms:W3CDTF">2022-04-12T01:38:51Z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