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hint="eastAsia" w:ascii="黑体" w:eastAsia="黑体"/>
          <w:spacing w:val="20"/>
          <w:w w:val="110"/>
          <w:kern w:val="10"/>
          <w:sz w:val="40"/>
          <w:highlight w:val="none"/>
        </w:rPr>
      </w:pPr>
    </w:p>
    <w:p>
      <w:pPr>
        <w:tabs>
          <w:tab w:val="left" w:pos="8460"/>
        </w:tabs>
        <w:spacing w:line="400" w:lineRule="exact"/>
        <w:jc w:val="center"/>
        <w:rPr>
          <w:rFonts w:hint="eastAsia"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hint="eastAsia"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hint="eastAsia" w:ascii="宋体" w:hAnsi="宋体"/>
          <w:color w:val="000000"/>
          <w:spacing w:val="20"/>
          <w:w w:val="110"/>
          <w:kern w:val="10"/>
          <w:sz w:val="23"/>
          <w:highlight w:val="none"/>
          <w:lang w:val="en-US" w:eastAsia="zh-CN"/>
        </w:rPr>
        <w:t>2</w:t>
      </w:r>
      <w:r>
        <w:rPr>
          <w:rFonts w:hint="eastAsia" w:ascii="宋体" w:hAnsi="宋体"/>
          <w:color w:val="000000"/>
          <w:spacing w:val="20"/>
          <w:w w:val="110"/>
          <w:kern w:val="10"/>
          <w:sz w:val="23"/>
          <w:highlight w:val="none"/>
        </w:rPr>
        <w:t>〕</w:t>
      </w:r>
      <w:r>
        <w:rPr>
          <w:rFonts w:hint="eastAsia" w:ascii="宋体" w:hAnsi="宋体"/>
          <w:color w:val="000000"/>
          <w:spacing w:val="20"/>
          <w:w w:val="110"/>
          <w:kern w:val="10"/>
          <w:sz w:val="23"/>
          <w:highlight w:val="none"/>
          <w:lang w:val="en-US" w:eastAsia="zh-CN"/>
        </w:rPr>
        <w:t>14</w:t>
      </w:r>
      <w:r>
        <w:rPr>
          <w:rFonts w:hint="eastAsia" w:ascii="汉仪书宋二简" w:eastAsia="汉仪书宋二简"/>
          <w:spacing w:val="20"/>
          <w:w w:val="110"/>
          <w:kern w:val="10"/>
          <w:sz w:val="23"/>
          <w:highlight w:val="none"/>
        </w:rPr>
        <w:t>号</w:t>
      </w:r>
    </w:p>
    <w:p>
      <w:pPr>
        <w:tabs>
          <w:tab w:val="left" w:pos="8460"/>
        </w:tabs>
        <w:spacing w:line="400" w:lineRule="exact"/>
        <w:jc w:val="both"/>
        <w:rPr>
          <w:rFonts w:hint="eastAsia" w:ascii="汉仪书宋二简" w:eastAsia="汉仪书宋二简"/>
          <w:spacing w:val="20"/>
          <w:w w:val="110"/>
          <w:kern w:val="10"/>
          <w:highlight w:val="none"/>
        </w:rPr>
      </w:pP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根据有关法律、法规，深圳市规划和自然资源局宝安管理局（以下简称市规划和自然资源局宝安管理局）委托深圳交易集团有限公司（深圳公共资源交易中心），在深圳市福田区红荔西路8007号土地房产交易大厦（以下简称交易大厦）3楼，以挂牌方式公开出让宗地代码为440306602006GB00468宗地的使用权，公告期自</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4</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13</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日，挂牌期自</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12</w:t>
      </w:r>
      <w:r>
        <w:rPr>
          <w:rFonts w:hint="eastAsia" w:ascii="宋体" w:hAnsi="宋体"/>
          <w:color w:val="000000"/>
          <w:spacing w:val="20"/>
          <w:kern w:val="10"/>
          <w:sz w:val="23"/>
          <w:szCs w:val="23"/>
          <w:highlight w:val="none"/>
        </w:rPr>
        <w:t>日</w:t>
      </w:r>
      <w:r>
        <w:rPr>
          <w:rFonts w:hint="eastAsia" w:ascii="宋体" w:hAnsi="宋体"/>
          <w:color w:val="000000"/>
          <w:spacing w:val="20"/>
          <w:kern w:val="10"/>
          <w:sz w:val="23"/>
          <w:szCs w:val="23"/>
          <w:highlight w:val="none"/>
          <w:lang w:val="en-US" w:eastAsia="zh-CN"/>
        </w:rPr>
        <w:t>15</w:t>
      </w:r>
      <w:r>
        <w:rPr>
          <w:rFonts w:hint="eastAsia" w:ascii="宋体" w:hAnsi="宋体"/>
          <w:color w:val="000000"/>
          <w:spacing w:val="20"/>
          <w:kern w:val="10"/>
          <w:sz w:val="23"/>
          <w:szCs w:val="23"/>
          <w:highlight w:val="none"/>
        </w:rPr>
        <w:t>时止。现予公告。</w:t>
      </w:r>
    </w:p>
    <w:p>
      <w:pPr>
        <w:spacing w:line="400" w:lineRule="exact"/>
        <w:ind w:firstLine="542" w:firstLineChars="200"/>
        <w:rPr>
          <w:rFonts w:hint="eastAsia"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一、宗地情况</w:t>
      </w:r>
    </w:p>
    <w:tbl>
      <w:tblPr>
        <w:tblStyle w:val="7"/>
        <w:tblpPr w:leftFromText="180" w:rightFromText="180" w:vertAnchor="text" w:horzAnchor="margin" w:tblpXSpec="center" w:tblpY="173"/>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09"/>
        <w:gridCol w:w="992"/>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tabs>
                <w:tab w:val="left" w:pos="8460"/>
              </w:tabs>
              <w:spacing w:line="280" w:lineRule="exact"/>
              <w:ind w:left="-491" w:leftChars="-234" w:firstLine="424" w:firstLineChars="211"/>
              <w:jc w:val="center"/>
              <w:rPr>
                <w:rFonts w:hint="eastAsia" w:ascii="汉仪书宋二简" w:eastAsia="汉仪书宋二简"/>
                <w:b/>
                <w:color w:val="000000"/>
                <w:kern w:val="10"/>
                <w:sz w:val="20"/>
                <w:szCs w:val="20"/>
                <w:highlight w:val="none"/>
              </w:rPr>
            </w:pPr>
          </w:p>
          <w:p>
            <w:pPr>
              <w:tabs>
                <w:tab w:val="left" w:pos="8460"/>
              </w:tabs>
              <w:spacing w:line="280" w:lineRule="exact"/>
              <w:ind w:left="-491" w:leftChars="-234" w:firstLine="424" w:firstLineChars="211"/>
              <w:jc w:val="center"/>
              <w:rPr>
                <w:rFonts w:hint="eastAsia" w:ascii="汉仪书宋二简" w:eastAsia="汉仪书宋二简"/>
                <w:b/>
                <w:color w:val="000000"/>
                <w:kern w:val="10"/>
                <w:sz w:val="20"/>
                <w:szCs w:val="20"/>
                <w:highlight w:val="none"/>
              </w:rPr>
            </w:pPr>
          </w:p>
          <w:p>
            <w:pPr>
              <w:tabs>
                <w:tab w:val="left" w:pos="8460"/>
              </w:tabs>
              <w:spacing w:line="280" w:lineRule="exact"/>
              <w:ind w:left="-491" w:leftChars="-234" w:firstLine="424" w:firstLineChars="211"/>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w:t>
            </w:r>
          </w:p>
          <w:p>
            <w:pPr>
              <w:tabs>
                <w:tab w:val="left" w:pos="8460"/>
              </w:tabs>
              <w:spacing w:line="280" w:lineRule="exact"/>
              <w:ind w:left="-491" w:leftChars="-234" w:firstLine="424" w:firstLineChars="211"/>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代码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用途</w:t>
            </w:r>
          </w:p>
        </w:tc>
        <w:tc>
          <w:tcPr>
            <w:tcW w:w="1843" w:type="dxa"/>
            <w:tcBorders>
              <w:top w:val="single" w:color="auto" w:sz="4" w:space="0"/>
              <w:left w:val="single" w:color="auto" w:sz="4" w:space="0"/>
              <w:bottom w:val="single" w:color="auto" w:sz="4" w:space="0"/>
              <w:right w:val="single" w:color="auto" w:sz="4" w:space="0"/>
            </w:tcBorders>
            <w:noWrap w:val="0"/>
            <w:vAlign w:val="top"/>
          </w:tcPr>
          <w:p>
            <w:pPr>
              <w:tabs>
                <w:tab w:val="left" w:pos="8460"/>
              </w:tabs>
              <w:spacing w:line="280" w:lineRule="exact"/>
              <w:jc w:val="center"/>
              <w:rPr>
                <w:rFonts w:hint="eastAsia" w:ascii="汉仪书宋二简" w:eastAsia="汉仪书宋二简"/>
                <w:b/>
                <w:color w:val="000000"/>
                <w:kern w:val="10"/>
                <w:sz w:val="20"/>
                <w:szCs w:val="20"/>
                <w:highlight w:val="none"/>
              </w:rPr>
            </w:pPr>
          </w:p>
          <w:p>
            <w:pPr>
              <w:tabs>
                <w:tab w:val="left" w:pos="8460"/>
              </w:tabs>
              <w:spacing w:line="280" w:lineRule="exact"/>
              <w:jc w:val="center"/>
              <w:rPr>
                <w:rFonts w:hint="eastAsia" w:ascii="汉仪书宋二简" w:eastAsia="汉仪书宋二简"/>
                <w:b/>
                <w:color w:val="000000"/>
                <w:kern w:val="10"/>
                <w:sz w:val="20"/>
                <w:szCs w:val="20"/>
                <w:highlight w:val="none"/>
              </w:rPr>
            </w:pPr>
          </w:p>
          <w:p>
            <w:pPr>
              <w:tabs>
                <w:tab w:val="left" w:pos="8460"/>
              </w:tabs>
              <w:spacing w:line="280" w:lineRule="exact"/>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准入行业类别</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土地面积（平方米）</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建筑面积</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（平方米）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挂牌起始价（人民币、万元）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竞买（投标）保证金（人民币、万元）</w:t>
            </w: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ascii="汉仪书宋二简" w:eastAsia="汉仪书宋二简"/>
                <w:b/>
                <w:color w:val="000000"/>
                <w:kern w:val="10"/>
                <w:sz w:val="20"/>
                <w:szCs w:val="20"/>
                <w:highlight w:val="none"/>
              </w:rPr>
            </w:pPr>
          </w:p>
          <w:p>
            <w:pPr>
              <w:spacing w:line="280" w:lineRule="exact"/>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440306602006GB00468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lang w:eastAsia="zh-CN"/>
              </w:rPr>
            </w:pPr>
            <w:r>
              <w:rPr>
                <w:rFonts w:hint="eastAsia" w:ascii="汉仪书宋二简" w:eastAsia="汉仪书宋二简"/>
                <w:color w:val="000000"/>
                <w:kern w:val="10"/>
                <w:sz w:val="20"/>
                <w:szCs w:val="20"/>
                <w:highlight w:val="none"/>
              </w:rPr>
              <w:t>A321-094</w:t>
            </w:r>
            <w:r>
              <w:rPr>
                <w:rFonts w:hint="eastAsia" w:ascii="汉仪书宋二简" w:eastAsia="汉仪书宋二简"/>
                <w:color w:val="000000"/>
                <w:kern w:val="10"/>
                <w:sz w:val="20"/>
                <w:szCs w:val="20"/>
                <w:highlight w:val="none"/>
                <w:lang w:val="en-US" w:eastAsia="zh-CN"/>
              </w:rPr>
              <w:t>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宝安区沙井街道</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default" w:ascii="汉仪书宋二简" w:eastAsia="汉仪书宋二简"/>
                <w:color w:val="000000"/>
                <w:kern w:val="10"/>
                <w:sz w:val="20"/>
                <w:szCs w:val="20"/>
                <w:highlight w:val="none"/>
                <w:lang w:val="en-US" w:eastAsia="zh-CN"/>
              </w:rPr>
            </w:pPr>
            <w:r>
              <w:rPr>
                <w:rFonts w:hint="eastAsia" w:ascii="汉仪书宋二简" w:eastAsia="汉仪书宋二简"/>
                <w:color w:val="000000"/>
                <w:kern w:val="10"/>
                <w:sz w:val="20"/>
                <w:szCs w:val="20"/>
                <w:highlight w:val="none"/>
                <w:lang w:val="en-US" w:eastAsia="zh-CN"/>
              </w:rPr>
              <w:t>普通工业用地</w:t>
            </w:r>
          </w:p>
        </w:tc>
        <w:tc>
          <w:tcPr>
            <w:tcW w:w="1843" w:type="dxa"/>
            <w:tcBorders>
              <w:top w:val="single" w:color="auto" w:sz="4" w:space="0"/>
              <w:left w:val="single" w:color="auto" w:sz="4" w:space="0"/>
              <w:bottom w:val="single" w:color="auto" w:sz="4" w:space="0"/>
              <w:right w:val="single" w:color="auto" w:sz="4" w:space="0"/>
            </w:tcBorders>
            <w:noWrap w:val="0"/>
            <w:vAlign w:val="top"/>
          </w:tcPr>
          <w:p>
            <w:pPr>
              <w:tabs>
                <w:tab w:val="left" w:pos="8460"/>
              </w:tabs>
              <w:spacing w:line="280" w:lineRule="exact"/>
              <w:jc w:val="center"/>
              <w:rPr>
                <w:rFonts w:hint="eastAsia" w:ascii="汉仪书宋二简" w:eastAsia="汉仪书宋二简"/>
                <w:color w:val="000000"/>
                <w:kern w:val="10"/>
                <w:sz w:val="20"/>
                <w:szCs w:val="20"/>
                <w:highlight w:val="none"/>
              </w:rPr>
            </w:pPr>
          </w:p>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战略性新兴产业之新一代信息技术产业（A0617）</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40932.48</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176009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default" w:ascii="汉仪书宋二简" w:eastAsia="汉仪书宋二简"/>
                <w:color w:val="000000"/>
                <w:kern w:val="10"/>
                <w:sz w:val="20"/>
                <w:szCs w:val="20"/>
                <w:highlight w:val="none"/>
                <w:lang w:val="en-US" w:eastAsia="zh-CN"/>
              </w:rPr>
            </w:pPr>
            <w:r>
              <w:rPr>
                <w:rFonts w:hint="eastAsia" w:ascii="汉仪书宋二简" w:eastAsia="汉仪书宋二简"/>
                <w:color w:val="000000"/>
                <w:kern w:val="10"/>
                <w:sz w:val="20"/>
                <w:szCs w:val="20"/>
                <w:highlight w:val="none"/>
                <w:lang w:val="en-US" w:eastAsia="zh-CN"/>
              </w:rPr>
              <w:t>9460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default" w:ascii="汉仪书宋二简" w:eastAsia="汉仪书宋二简"/>
                <w:color w:val="000000"/>
                <w:kern w:val="10"/>
                <w:sz w:val="20"/>
                <w:szCs w:val="20"/>
                <w:highlight w:val="none"/>
                <w:lang w:val="en-US" w:eastAsia="zh-CN"/>
              </w:rPr>
            </w:pPr>
            <w:r>
              <w:rPr>
                <w:rFonts w:hint="eastAsia" w:ascii="汉仪书宋二简" w:eastAsia="汉仪书宋二简"/>
                <w:color w:val="000000"/>
                <w:kern w:val="10"/>
                <w:sz w:val="20"/>
                <w:szCs w:val="20"/>
                <w:highlight w:val="none"/>
                <w:lang w:val="en-US" w:eastAsia="zh-CN"/>
              </w:rPr>
              <w:t>1892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30</w:t>
            </w:r>
          </w:p>
        </w:tc>
      </w:tr>
    </w:tbl>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hint="eastAsia"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二、宗地出让条件</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（一）竞得人须在成交后即时签订《成交确认书》。</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（二）签订《成交确认书》后，竞得人应向深圳市宝安</w:t>
      </w:r>
      <w:r>
        <w:rPr>
          <w:rFonts w:ascii="宋体" w:hAnsi="宋体"/>
          <w:color w:val="000000"/>
          <w:spacing w:val="20"/>
          <w:kern w:val="10"/>
          <w:sz w:val="23"/>
          <w:szCs w:val="23"/>
          <w:highlight w:val="none"/>
        </w:rPr>
        <w:t>区</w:t>
      </w:r>
      <w:r>
        <w:rPr>
          <w:rFonts w:hint="eastAsia" w:ascii="宋体" w:hAnsi="宋体"/>
          <w:color w:val="000000"/>
          <w:spacing w:val="20"/>
          <w:kern w:val="10"/>
          <w:sz w:val="23"/>
          <w:szCs w:val="23"/>
          <w:highlight w:val="none"/>
        </w:rPr>
        <w:t>工业和信息化</w:t>
      </w:r>
      <w:r>
        <w:rPr>
          <w:rFonts w:ascii="宋体" w:hAnsi="宋体"/>
          <w:color w:val="000000"/>
          <w:spacing w:val="20"/>
          <w:kern w:val="10"/>
          <w:sz w:val="23"/>
          <w:szCs w:val="23"/>
          <w:highlight w:val="none"/>
        </w:rPr>
        <w:t>局</w:t>
      </w:r>
      <w:r>
        <w:rPr>
          <w:rFonts w:hint="eastAsia" w:ascii="宋体" w:hAnsi="宋体"/>
          <w:color w:val="000000"/>
          <w:spacing w:val="20"/>
          <w:kern w:val="10"/>
          <w:sz w:val="23"/>
          <w:szCs w:val="23"/>
          <w:highlight w:val="none"/>
        </w:rPr>
        <w:t>（以下简称宝安</w:t>
      </w:r>
      <w:r>
        <w:rPr>
          <w:rFonts w:ascii="宋体" w:hAnsi="宋体"/>
          <w:color w:val="000000"/>
          <w:spacing w:val="20"/>
          <w:kern w:val="10"/>
          <w:sz w:val="23"/>
          <w:szCs w:val="23"/>
          <w:highlight w:val="none"/>
        </w:rPr>
        <w:t>区</w:t>
      </w:r>
      <w:r>
        <w:rPr>
          <w:rFonts w:hint="eastAsia" w:ascii="宋体" w:hAnsi="宋体"/>
          <w:color w:val="000000"/>
          <w:spacing w:val="20"/>
          <w:kern w:val="10"/>
          <w:sz w:val="23"/>
          <w:szCs w:val="23"/>
          <w:highlight w:val="none"/>
        </w:rPr>
        <w:t>工业和信息化</w:t>
      </w:r>
      <w:r>
        <w:rPr>
          <w:rFonts w:ascii="宋体" w:hAnsi="宋体"/>
          <w:color w:val="000000"/>
          <w:spacing w:val="20"/>
          <w:kern w:val="10"/>
          <w:sz w:val="23"/>
          <w:szCs w:val="23"/>
          <w:highlight w:val="none"/>
        </w:rPr>
        <w:t>局</w:t>
      </w:r>
      <w:r>
        <w:rPr>
          <w:rFonts w:hint="eastAsia" w:ascii="宋体" w:hAnsi="宋体"/>
          <w:color w:val="000000"/>
          <w:spacing w:val="20"/>
          <w:kern w:val="10"/>
          <w:sz w:val="23"/>
          <w:szCs w:val="23"/>
          <w:highlight w:val="none"/>
        </w:rPr>
        <w:t>）申请签订产业发展监管协议（以下简称《监</w:t>
      </w:r>
      <w:bookmarkStart w:id="0" w:name="_GoBack"/>
      <w:bookmarkEnd w:id="0"/>
      <w:r>
        <w:rPr>
          <w:rFonts w:hint="eastAsia" w:ascii="宋体" w:hAnsi="宋体"/>
          <w:color w:val="000000"/>
          <w:spacing w:val="20"/>
          <w:kern w:val="10"/>
          <w:sz w:val="23"/>
          <w:szCs w:val="23"/>
          <w:highlight w:val="none"/>
        </w:rPr>
        <w:t>管协议》）。</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（三）自签订《成交确认书》之日起15个工作日内，竞得人应持《成交确认书》和《监管协议》向市规划和自然资源局宝安管理局申请签订《出让合同》。</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（四）签订《出让合同》时，竞得人可选择自签订《出让合同》之日起15个工作日内一次性付款或分期付款。选择分期付款的，竞得人应自合同生效之日起15个工作日内付清不低于成交总价</w:t>
      </w:r>
      <w:r>
        <w:rPr>
          <w:rFonts w:ascii="宋体" w:hAnsi="宋体"/>
          <w:color w:val="000000"/>
          <w:spacing w:val="20"/>
          <w:kern w:val="10"/>
          <w:sz w:val="23"/>
          <w:szCs w:val="23"/>
          <w:highlight w:val="none"/>
        </w:rPr>
        <w:t>50%</w:t>
      </w:r>
      <w:r>
        <w:rPr>
          <w:rFonts w:hint="eastAsia" w:ascii="宋体" w:hAnsi="宋体"/>
          <w:color w:val="000000"/>
          <w:spacing w:val="20"/>
          <w:kern w:val="10"/>
          <w:sz w:val="23"/>
          <w:szCs w:val="23"/>
          <w:highlight w:val="none"/>
        </w:rPr>
        <w:t>的价款，余款1年内不计利息一次性付清。</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auto"/>
          <w:spacing w:val="20"/>
          <w:kern w:val="10"/>
          <w:sz w:val="23"/>
          <w:szCs w:val="23"/>
          <w:highlight w:val="none"/>
        </w:rPr>
        <w:t>（五）竞得人缴纳地价款时，应凭自然资源主管部门开具的《缴款通知书》到深圳市各区税务局办税服务厅或者登录深圳市电子税务局进行缴费，具体流程详见《国有土地使用权出让收入缴费指南》。</w:t>
      </w:r>
    </w:p>
    <w:p>
      <w:pPr>
        <w:spacing w:line="400" w:lineRule="exact"/>
        <w:ind w:firstLine="540" w:firstLineChars="200"/>
        <w:rPr>
          <w:rFonts w:hint="eastAsia" w:ascii="宋体" w:hAnsi="宋体"/>
          <w:color w:val="000000"/>
          <w:spacing w:val="20"/>
          <w:kern w:val="10"/>
          <w:sz w:val="23"/>
          <w:szCs w:val="23"/>
          <w:highlight w:val="none"/>
          <w:lang w:eastAsia="zh-CN"/>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六</w:t>
      </w:r>
      <w:r>
        <w:rPr>
          <w:rFonts w:hint="eastAsia" w:ascii="宋体" w:hAnsi="宋体"/>
          <w:color w:val="000000"/>
          <w:spacing w:val="20"/>
          <w:kern w:val="10"/>
          <w:sz w:val="23"/>
          <w:szCs w:val="23"/>
          <w:highlight w:val="none"/>
          <w:lang w:eastAsia="zh-CN"/>
        </w:rPr>
        <w:t>）如该宗地竞得人取得A321-094</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lang w:eastAsia="zh-CN"/>
        </w:rPr>
        <w:t>宗地土地使用权，须申请用地合宗，并与产业部门、规划自然资源主管部门签订相应的监管协议及</w:t>
      </w:r>
      <w:r>
        <w:rPr>
          <w:rFonts w:hint="eastAsia" w:ascii="宋体" w:hAnsi="宋体"/>
          <w:color w:val="000000"/>
          <w:spacing w:val="20"/>
          <w:kern w:val="10"/>
          <w:sz w:val="23"/>
          <w:szCs w:val="23"/>
          <w:highlight w:val="none"/>
          <w:lang w:val="en-US" w:eastAsia="zh-CN"/>
        </w:rPr>
        <w:t>出让</w:t>
      </w:r>
      <w:r>
        <w:rPr>
          <w:rFonts w:hint="eastAsia" w:ascii="宋体" w:hAnsi="宋体"/>
          <w:color w:val="000000"/>
          <w:spacing w:val="20"/>
          <w:kern w:val="10"/>
          <w:sz w:val="23"/>
          <w:szCs w:val="23"/>
          <w:highlight w:val="none"/>
          <w:lang w:eastAsia="zh-CN"/>
        </w:rPr>
        <w:t>合同。</w:t>
      </w:r>
    </w:p>
    <w:p>
      <w:pPr>
        <w:spacing w:line="400" w:lineRule="exact"/>
        <w:ind w:firstLine="540" w:firstLineChars="200"/>
        <w:rPr>
          <w:rFonts w:hint="eastAsia" w:ascii="宋体" w:hAnsi="宋体"/>
          <w:color w:val="000000"/>
          <w:spacing w:val="20"/>
          <w:kern w:val="10"/>
          <w:sz w:val="23"/>
          <w:szCs w:val="23"/>
          <w:highlight w:val="none"/>
          <w:lang w:eastAsia="zh-CN"/>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七</w:t>
      </w:r>
      <w:r>
        <w:rPr>
          <w:rFonts w:hint="eastAsia" w:ascii="宋体" w:hAnsi="宋体"/>
          <w:color w:val="000000"/>
          <w:spacing w:val="20"/>
          <w:kern w:val="10"/>
          <w:sz w:val="23"/>
          <w:szCs w:val="23"/>
          <w:highlight w:val="none"/>
          <w:lang w:eastAsia="zh-CN"/>
        </w:rPr>
        <w:t>）在符合相关法律法规的情况下，允许本地块与A321-0943宗地地上地下联通。</w:t>
      </w:r>
    </w:p>
    <w:p>
      <w:pPr>
        <w:spacing w:line="400" w:lineRule="exact"/>
        <w:ind w:firstLine="540" w:firstLineChars="200"/>
        <w:rPr>
          <w:rFonts w:hint="eastAsia" w:ascii="宋体" w:hAnsi="宋体"/>
          <w:color w:val="000000"/>
          <w:spacing w:val="20"/>
          <w:kern w:val="10"/>
          <w:sz w:val="23"/>
          <w:szCs w:val="23"/>
          <w:highlight w:val="none"/>
          <w:lang w:eastAsia="zh-CN"/>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八</w:t>
      </w:r>
      <w:r>
        <w:rPr>
          <w:rFonts w:hint="eastAsia" w:ascii="宋体" w:hAnsi="宋体"/>
          <w:color w:val="000000"/>
          <w:spacing w:val="20"/>
          <w:kern w:val="10"/>
          <w:sz w:val="23"/>
          <w:szCs w:val="23"/>
          <w:highlight w:val="none"/>
          <w:lang w:eastAsia="zh-CN"/>
        </w:rPr>
        <w:t>）本宗地</w:t>
      </w:r>
      <w:r>
        <w:rPr>
          <w:rFonts w:hint="eastAsia" w:ascii="宋体" w:hAnsi="宋体"/>
          <w:color w:val="000000"/>
          <w:spacing w:val="20"/>
          <w:kern w:val="10"/>
          <w:sz w:val="23"/>
          <w:szCs w:val="23"/>
          <w:highlight w:val="none"/>
          <w:lang w:val="en-US" w:eastAsia="zh-CN"/>
        </w:rPr>
        <w:t>土壤</w:t>
      </w:r>
      <w:r>
        <w:rPr>
          <w:rFonts w:hint="eastAsia" w:ascii="宋体" w:hAnsi="宋体"/>
          <w:color w:val="000000"/>
          <w:spacing w:val="20"/>
          <w:kern w:val="10"/>
          <w:sz w:val="23"/>
          <w:szCs w:val="23"/>
          <w:highlight w:val="none"/>
          <w:lang w:eastAsia="zh-CN"/>
        </w:rPr>
        <w:t>存在局部污染，</w:t>
      </w:r>
      <w:r>
        <w:rPr>
          <w:rFonts w:hint="eastAsia" w:ascii="宋体" w:hAnsi="宋体"/>
          <w:color w:val="000000"/>
          <w:spacing w:val="20"/>
          <w:kern w:val="10"/>
          <w:sz w:val="23"/>
          <w:szCs w:val="23"/>
          <w:highlight w:val="none"/>
          <w:lang w:val="en-US" w:eastAsia="zh-CN"/>
        </w:rPr>
        <w:t>宝安区</w:t>
      </w:r>
      <w:r>
        <w:rPr>
          <w:rFonts w:hint="eastAsia" w:ascii="宋体" w:hAnsi="宋体"/>
          <w:color w:val="000000"/>
          <w:spacing w:val="20"/>
          <w:kern w:val="10"/>
          <w:sz w:val="23"/>
          <w:szCs w:val="23"/>
          <w:highlight w:val="none"/>
          <w:lang w:eastAsia="zh-CN"/>
        </w:rPr>
        <w:t>沙井街道办事处是本宗地污染地块的风险管控和治理修复主体，竞得人需与沙井街道办事处共同配合开展治理修复工作。在未完成修复治理或经生态部门批准修复方案前，上述污染地块区域不得开工建设任何与风险管控、修复无关的项目。</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val="en-US" w:eastAsia="zh-CN"/>
        </w:rPr>
        <w:t>九</w:t>
      </w:r>
      <w:r>
        <w:rPr>
          <w:rFonts w:hint="eastAsia" w:ascii="宋体" w:hAnsi="宋体"/>
          <w:color w:val="000000"/>
          <w:spacing w:val="20"/>
          <w:kern w:val="10"/>
          <w:sz w:val="23"/>
          <w:szCs w:val="23"/>
          <w:highlight w:val="none"/>
        </w:rPr>
        <w:t>）竞得人应遵守法律、法规和《出让合同》规定，严格按照土地用途和有关部门审定的规划设计方案使用和开发建设。</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val="en-US" w:eastAsia="zh-CN"/>
        </w:rPr>
        <w:t>十</w:t>
      </w:r>
      <w:r>
        <w:rPr>
          <w:rFonts w:hint="eastAsia" w:ascii="宋体" w:hAnsi="宋体"/>
          <w:color w:val="000000"/>
          <w:spacing w:val="20"/>
          <w:kern w:val="10"/>
          <w:sz w:val="23"/>
          <w:szCs w:val="23"/>
          <w:highlight w:val="none"/>
        </w:rPr>
        <w:t>）本次出让宗地建设用地使用权及建筑物允许抵押，但抵押金额不得超出合同剩余年期地价与建筑物的残值之和。</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项目建设用地使用权及建筑物不得转让，竞得人及其全资子公司使用面积占总面积不少于80%，总面积不多于20%的部分允许出租。</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项目建设用地使用权以及附着于该土地上的建（构）筑物及其附属设施不得以股权转让或变更的方式变相转让。</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numPr>
          <w:ilvl w:val="0"/>
          <w:numId w:val="0"/>
        </w:num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十一</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rPr>
        <w:t>本次出让宗地须自《出让合同》签订之日起1.5年内开工，4年内竣工。</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十二</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rPr>
        <w:t>具体产权要求，以《出让合同》为准。</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三、竞买人主体资格要求</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具备下列条件的,可独立申请（不接受联合竞买）竞买本次出让宗地：</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（一）竞买申请人为深圳市注册的企业法人；</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（二）竞买申请人应当符合《深圳市工业及其他产业用地供应管理办法》（深府规〔2019〕4号）里规定的遴选要求,并通过重点产业项目遴选。</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四、竞买申请程序</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（一）申请主体资格审查</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竞买申请人应当在公告期内（工作日），向宝安</w:t>
      </w:r>
      <w:r>
        <w:rPr>
          <w:rFonts w:ascii="宋体" w:hAnsi="宋体"/>
          <w:color w:val="000000"/>
          <w:spacing w:val="20"/>
          <w:kern w:val="10"/>
          <w:sz w:val="23"/>
          <w:szCs w:val="23"/>
          <w:highlight w:val="none"/>
        </w:rPr>
        <w:t>区</w:t>
      </w:r>
      <w:r>
        <w:rPr>
          <w:rFonts w:hint="eastAsia" w:ascii="宋体" w:hAnsi="宋体"/>
          <w:color w:val="000000"/>
          <w:spacing w:val="20"/>
          <w:kern w:val="10"/>
          <w:sz w:val="23"/>
          <w:szCs w:val="23"/>
          <w:highlight w:val="none"/>
        </w:rPr>
        <w:t>工业和信息化</w:t>
      </w:r>
      <w:r>
        <w:rPr>
          <w:rFonts w:ascii="宋体" w:hAnsi="宋体"/>
          <w:color w:val="000000"/>
          <w:spacing w:val="20"/>
          <w:kern w:val="10"/>
          <w:sz w:val="23"/>
          <w:szCs w:val="23"/>
          <w:highlight w:val="none"/>
        </w:rPr>
        <w:t>局</w:t>
      </w:r>
      <w:r>
        <w:rPr>
          <w:rFonts w:hint="eastAsia" w:ascii="宋体" w:hAnsi="宋体"/>
          <w:color w:val="000000"/>
          <w:spacing w:val="20"/>
          <w:kern w:val="10"/>
          <w:sz w:val="23"/>
          <w:szCs w:val="23"/>
          <w:highlight w:val="none"/>
        </w:rPr>
        <w:t>提交能够满足前述资格要求的有关证明材料，申请主体资格审查。</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（二）网上注册</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竞买申请人应登录</w:t>
      </w:r>
      <w:r>
        <w:rPr>
          <w:rFonts w:hint="eastAsia" w:ascii="宋体" w:hAnsi="宋体"/>
          <w:color w:val="000000"/>
          <w:spacing w:val="20"/>
          <w:kern w:val="10"/>
          <w:sz w:val="23"/>
          <w:szCs w:val="23"/>
          <w:highlight w:val="none"/>
          <w:lang w:val="en-US" w:eastAsia="zh-CN"/>
        </w:rPr>
        <w:t>深圳土地矿业权交易平台（https://td.szggzy.com）</w:t>
      </w:r>
      <w:r>
        <w:rPr>
          <w:rFonts w:hint="eastAsia" w:ascii="宋体" w:hAnsi="宋体"/>
          <w:color w:val="000000"/>
          <w:spacing w:val="20"/>
          <w:kern w:val="10"/>
          <w:sz w:val="23"/>
          <w:szCs w:val="23"/>
          <w:highlight w:val="none"/>
        </w:rPr>
        <w:t>进行网上注册。网上注册的程序和要求详见</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中的操作</w:t>
      </w:r>
      <w:r>
        <w:rPr>
          <w:rFonts w:hint="eastAsia" w:ascii="宋体" w:hAnsi="宋体"/>
          <w:color w:val="000000"/>
          <w:spacing w:val="20"/>
          <w:kern w:val="10"/>
          <w:sz w:val="23"/>
          <w:szCs w:val="23"/>
          <w:highlight w:val="none"/>
          <w:lang w:val="en-US" w:eastAsia="zh-CN"/>
        </w:rPr>
        <w:t>指引</w:t>
      </w:r>
      <w:r>
        <w:rPr>
          <w:rFonts w:hint="eastAsia" w:ascii="宋体" w:hAnsi="宋体"/>
          <w:color w:val="000000"/>
          <w:spacing w:val="20"/>
          <w:kern w:val="10"/>
          <w:sz w:val="23"/>
          <w:szCs w:val="23"/>
          <w:highlight w:val="none"/>
        </w:rPr>
        <w:t>。</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（三）申请竞买</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竞买申请人网上注册后，应按照操作</w:t>
      </w:r>
      <w:r>
        <w:rPr>
          <w:rFonts w:hint="eastAsia" w:ascii="宋体" w:hAnsi="宋体"/>
          <w:color w:val="000000"/>
          <w:spacing w:val="20"/>
          <w:kern w:val="10"/>
          <w:sz w:val="23"/>
          <w:szCs w:val="23"/>
          <w:highlight w:val="none"/>
          <w:lang w:val="en-US" w:eastAsia="zh-CN"/>
        </w:rPr>
        <w:t>指引</w:t>
      </w:r>
      <w:r>
        <w:rPr>
          <w:rFonts w:hint="eastAsia" w:ascii="宋体" w:hAnsi="宋体"/>
          <w:color w:val="000000"/>
          <w:spacing w:val="20"/>
          <w:kern w:val="10"/>
          <w:sz w:val="23"/>
          <w:szCs w:val="23"/>
          <w:highlight w:val="none"/>
        </w:rPr>
        <w:t>有关要求，选择意向竞买的宗地，提出竞买申请。</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（四）交纳竞买（投标）保证金</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color w:val="000000"/>
          <w:spacing w:val="20"/>
          <w:kern w:val="10"/>
          <w:sz w:val="23"/>
          <w:szCs w:val="23"/>
          <w:highlight w:val="none"/>
          <w:lang w:val="en-US" w:eastAsia="zh-CN"/>
        </w:rPr>
        <w:t>指引</w:t>
      </w:r>
      <w:r>
        <w:rPr>
          <w:rFonts w:hint="eastAsia" w:ascii="宋体" w:hAnsi="宋体"/>
          <w:color w:val="000000"/>
          <w:spacing w:val="20"/>
          <w:kern w:val="10"/>
          <w:sz w:val="23"/>
          <w:szCs w:val="23"/>
          <w:highlight w:val="none"/>
        </w:rPr>
        <w:t>。</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竞买申请人可通过</w:t>
      </w:r>
      <w:r>
        <w:rPr>
          <w:rFonts w:hint="eastAsia" w:ascii="宋体" w:hAnsi="宋体"/>
          <w:color w:val="000000"/>
          <w:spacing w:val="20"/>
          <w:kern w:val="10"/>
          <w:sz w:val="23"/>
          <w:szCs w:val="23"/>
          <w:highlight w:val="none"/>
          <w:lang w:val="en-US" w:eastAsia="zh-CN"/>
        </w:rPr>
        <w:t>深圳土地矿业权交易平台</w:t>
      </w:r>
      <w:r>
        <w:rPr>
          <w:rFonts w:hint="eastAsia" w:ascii="宋体" w:hAnsi="宋体"/>
          <w:color w:val="000000"/>
          <w:spacing w:val="20"/>
          <w:kern w:val="10"/>
          <w:sz w:val="23"/>
          <w:szCs w:val="23"/>
          <w:highlight w:val="none"/>
        </w:rPr>
        <w:t>及时查询竞买（投标）保证金到账情况。竞买（投标）保证金的到账截止时间为202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10</w:t>
      </w:r>
      <w:r>
        <w:rPr>
          <w:rFonts w:hint="eastAsia" w:ascii="宋体" w:hAnsi="宋体"/>
          <w:color w:val="000000"/>
          <w:spacing w:val="20"/>
          <w:kern w:val="10"/>
          <w:sz w:val="23"/>
          <w:szCs w:val="23"/>
          <w:highlight w:val="none"/>
        </w:rPr>
        <w:t>日1</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时</w:t>
      </w:r>
      <w:r>
        <w:rPr>
          <w:rFonts w:hint="eastAsia" w:ascii="宋体" w:hAnsi="宋体"/>
          <w:color w:val="000000"/>
          <w:spacing w:val="20"/>
          <w:kern w:val="10"/>
          <w:sz w:val="23"/>
          <w:szCs w:val="23"/>
          <w:highlight w:val="none"/>
          <w:lang w:val="en-US" w:eastAsia="zh-CN"/>
        </w:rPr>
        <w:t>整</w:t>
      </w:r>
      <w:r>
        <w:rPr>
          <w:rFonts w:hint="eastAsia" w:ascii="宋体" w:hAnsi="宋体"/>
          <w:color w:val="000000"/>
          <w:spacing w:val="20"/>
          <w:kern w:val="10"/>
          <w:sz w:val="23"/>
          <w:szCs w:val="23"/>
          <w:highlight w:val="none"/>
        </w:rPr>
        <w:t>（以</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显示的银行到账时间为准）。</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（五）申请确认竞买资格</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竞买申请人按时足额交纳竞买（投标）保证金后，可登录</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查看《竞买申请受理回执》并打印该回执，在</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12</w:t>
      </w:r>
      <w:r>
        <w:rPr>
          <w:rFonts w:hint="eastAsia" w:ascii="宋体" w:hAnsi="宋体"/>
          <w:color w:val="000000"/>
          <w:spacing w:val="20"/>
          <w:kern w:val="10"/>
          <w:sz w:val="23"/>
          <w:szCs w:val="23"/>
          <w:highlight w:val="none"/>
        </w:rPr>
        <w:t>日</w:t>
      </w:r>
      <w:r>
        <w:rPr>
          <w:rFonts w:hint="eastAsia" w:ascii="宋体" w:hAnsi="宋体"/>
          <w:color w:val="000000"/>
          <w:spacing w:val="20"/>
          <w:kern w:val="10"/>
          <w:sz w:val="23"/>
          <w:szCs w:val="23"/>
          <w:highlight w:val="none"/>
          <w:lang w:val="en-US" w:eastAsia="zh-CN"/>
        </w:rPr>
        <w:t>14</w:t>
      </w:r>
      <w:r>
        <w:rPr>
          <w:rFonts w:hint="eastAsia" w:ascii="宋体" w:hAnsi="宋体"/>
          <w:color w:val="000000"/>
          <w:spacing w:val="20"/>
          <w:kern w:val="10"/>
          <w:sz w:val="23"/>
          <w:szCs w:val="23"/>
          <w:highlight w:val="none"/>
        </w:rPr>
        <w:t>时</w:t>
      </w:r>
      <w:r>
        <w:rPr>
          <w:rFonts w:hint="eastAsia" w:ascii="宋体" w:hAnsi="宋体"/>
          <w:color w:val="000000"/>
          <w:spacing w:val="20"/>
          <w:kern w:val="10"/>
          <w:sz w:val="23"/>
          <w:szCs w:val="23"/>
          <w:highlight w:val="none"/>
          <w:lang w:val="en-US" w:eastAsia="zh-CN"/>
        </w:rPr>
        <w:t>30</w:t>
      </w:r>
      <w:r>
        <w:rPr>
          <w:rFonts w:hint="eastAsia" w:ascii="宋体" w:hAnsi="宋体"/>
          <w:color w:val="000000"/>
          <w:spacing w:val="20"/>
          <w:kern w:val="10"/>
          <w:sz w:val="23"/>
          <w:szCs w:val="23"/>
          <w:highlight w:val="none"/>
        </w:rPr>
        <w:t>分前（工作日），到</w:t>
      </w:r>
      <w:r>
        <w:rPr>
          <w:rFonts w:hint="eastAsia" w:ascii="宋体" w:hAnsi="宋体"/>
          <w:color w:val="000000"/>
          <w:spacing w:val="20"/>
          <w:kern w:val="10"/>
          <w:sz w:val="23"/>
          <w:szCs w:val="23"/>
          <w:highlight w:val="none"/>
          <w:lang w:val="en-US" w:eastAsia="zh-CN"/>
        </w:rPr>
        <w:t>交易大厦3楼土地业务</w:t>
      </w:r>
      <w:r>
        <w:rPr>
          <w:rFonts w:hint="eastAsia" w:ascii="宋体" w:hAnsi="宋体"/>
          <w:color w:val="000000"/>
          <w:spacing w:val="20"/>
          <w:kern w:val="10"/>
          <w:sz w:val="23"/>
          <w:szCs w:val="23"/>
          <w:highlight w:val="none"/>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五、确定竞得人的办法</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US" w:eastAsia="zh-CN"/>
        </w:rPr>
        <w:t>深圳土地矿业权交易平台</w:t>
      </w:r>
      <w:r>
        <w:rPr>
          <w:rFonts w:hint="eastAsia" w:ascii="宋体" w:hAnsi="宋体"/>
          <w:color w:val="000000"/>
          <w:spacing w:val="20"/>
          <w:kern w:val="10"/>
          <w:sz w:val="23"/>
          <w:szCs w:val="23"/>
          <w:highlight w:val="none"/>
        </w:rPr>
        <w:t>在挂牌期内（工作日）接受竞买人的电脑报价，电脑报价截止时间为20</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2年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12</w:t>
      </w:r>
      <w:r>
        <w:rPr>
          <w:rFonts w:hint="eastAsia" w:ascii="宋体" w:hAnsi="宋体"/>
          <w:color w:val="000000"/>
          <w:spacing w:val="20"/>
          <w:kern w:val="10"/>
          <w:sz w:val="23"/>
          <w:szCs w:val="23"/>
          <w:highlight w:val="none"/>
        </w:rPr>
        <w:t>日15时整。竞买人如需进行电脑报价的，应到</w:t>
      </w:r>
      <w:r>
        <w:rPr>
          <w:rFonts w:hint="eastAsia" w:ascii="宋体" w:hAnsi="宋体"/>
          <w:color w:val="000000"/>
          <w:spacing w:val="20"/>
          <w:kern w:val="10"/>
          <w:sz w:val="23"/>
          <w:szCs w:val="23"/>
          <w:highlight w:val="none"/>
          <w:lang w:val="en-US" w:eastAsia="zh-CN"/>
        </w:rPr>
        <w:t>交易大厦3楼</w:t>
      </w:r>
      <w:r>
        <w:rPr>
          <w:rFonts w:hint="eastAsia" w:ascii="宋体" w:hAnsi="宋体"/>
          <w:color w:val="000000"/>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六、其他</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本公告内容如有调整，将在</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发布补充公告。本公告有关详细资料请参阅挂牌出让文件（包括但不限于本公告、《竞买须知》《成交确认书》《出让合同》《监管协议》</w:t>
      </w:r>
      <w:r>
        <w:rPr>
          <w:rFonts w:hint="eastAsia" w:ascii="宋体" w:hAnsi="宋体" w:eastAsia="宋体" w:cs="Times New Roman"/>
          <w:i w:val="0"/>
          <w:iCs w:val="0"/>
          <w:caps w:val="0"/>
          <w:color w:val="auto"/>
          <w:spacing w:val="20"/>
          <w:kern w:val="10"/>
          <w:sz w:val="23"/>
          <w:szCs w:val="23"/>
          <w:highlight w:val="none"/>
        </w:rPr>
        <w:t>《国有土地使用权出让收入缴费指南》</w:t>
      </w:r>
      <w:r>
        <w:rPr>
          <w:rFonts w:hint="eastAsia" w:ascii="宋体" w:hAnsi="宋体"/>
          <w:color w:val="000000"/>
          <w:spacing w:val="20"/>
          <w:kern w:val="10"/>
          <w:sz w:val="23"/>
          <w:szCs w:val="23"/>
          <w:highlight w:val="none"/>
        </w:rPr>
        <w:t>等）。本公告同时在</w:t>
      </w:r>
      <w:r>
        <w:rPr>
          <w:rFonts w:hint="eastAsia" w:ascii="宋体" w:hAnsi="宋体"/>
          <w:color w:val="000000"/>
          <w:spacing w:val="20"/>
          <w:kern w:val="10"/>
          <w:sz w:val="23"/>
          <w:szCs w:val="23"/>
          <w:highlight w:val="none"/>
          <w:lang w:val="en-US" w:eastAsia="zh-CN"/>
        </w:rPr>
        <w:t>深圳</w:t>
      </w:r>
      <w:r>
        <w:rPr>
          <w:rFonts w:hint="eastAsia" w:ascii="宋体" w:hAnsi="宋体"/>
          <w:color w:val="000000"/>
          <w:spacing w:val="20"/>
          <w:kern w:val="10"/>
          <w:sz w:val="23"/>
          <w:szCs w:val="23"/>
          <w:highlight w:val="none"/>
        </w:rPr>
        <w:t>市规划和自然资源局、</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发布，挂牌出让文件可在</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下载。需咨询本次出让程序相关问题的，可以书面方式向</w:t>
      </w:r>
      <w:r>
        <w:rPr>
          <w:rFonts w:hint="eastAsia" w:ascii="宋体" w:hAnsi="宋体"/>
          <w:color w:val="000000"/>
          <w:spacing w:val="20"/>
          <w:kern w:val="10"/>
          <w:sz w:val="23"/>
          <w:szCs w:val="23"/>
          <w:highlight w:val="none"/>
          <w:lang w:val="en-US" w:eastAsia="zh-CN"/>
        </w:rPr>
        <w:t>深圳交易集团有限公司土地矿业权业务分公司</w:t>
      </w:r>
      <w:r>
        <w:rPr>
          <w:rFonts w:hint="eastAsia" w:ascii="宋体" w:hAnsi="宋体"/>
          <w:color w:val="000000"/>
          <w:spacing w:val="20"/>
          <w:kern w:val="10"/>
          <w:sz w:val="23"/>
          <w:szCs w:val="23"/>
          <w:highlight w:val="none"/>
        </w:rPr>
        <w:t>提出；其他相关问题，请迳向相关职能部门提出。</w:t>
      </w:r>
    </w:p>
    <w:p>
      <w:pPr>
        <w:spacing w:line="440" w:lineRule="exact"/>
        <w:ind w:firstLine="540" w:firstLineChars="200"/>
        <w:rPr>
          <w:rFonts w:hint="eastAsia" w:ascii="宋体" w:hAnsi="宋体"/>
          <w:color w:val="000000"/>
          <w:spacing w:val="20"/>
          <w:kern w:val="10"/>
          <w:sz w:val="23"/>
          <w:szCs w:val="23"/>
          <w:highlight w:val="none"/>
        </w:rPr>
      </w:pP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深圳市规划和自然资源局宝安管理局</w:t>
      </w:r>
      <w:r>
        <w:rPr>
          <w:rFonts w:hint="eastAsia" w:ascii="宋体" w:hAnsi="宋体"/>
          <w:color w:val="000000"/>
          <w:spacing w:val="20"/>
          <w:kern w:val="10"/>
          <w:sz w:val="23"/>
          <w:szCs w:val="23"/>
          <w:highlight w:val="none"/>
          <w:lang w:val="en-US" w:eastAsia="zh-CN"/>
        </w:rPr>
        <w:t xml:space="preserve"> </w:t>
      </w:r>
      <w:r>
        <w:rPr>
          <w:rFonts w:hint="eastAsia" w:ascii="宋体" w:hAnsi="宋体"/>
          <w:color w:val="000000"/>
          <w:spacing w:val="20"/>
          <w:kern w:val="10"/>
          <w:sz w:val="23"/>
          <w:szCs w:val="23"/>
          <w:highlight w:val="none"/>
        </w:rPr>
        <w:t>地址：深圳市宝安区前进一路293号；咨询电话：（0755）</w:t>
      </w:r>
      <w:r>
        <w:rPr>
          <w:rFonts w:ascii="宋体" w:hAnsi="宋体"/>
          <w:color w:val="000000"/>
          <w:spacing w:val="20"/>
          <w:kern w:val="10"/>
          <w:sz w:val="23"/>
          <w:szCs w:val="23"/>
          <w:highlight w:val="none"/>
        </w:rPr>
        <w:t>2782</w:t>
      </w:r>
      <w:r>
        <w:rPr>
          <w:rFonts w:hint="eastAsia" w:ascii="宋体" w:hAnsi="宋体"/>
          <w:color w:val="000000"/>
          <w:spacing w:val="20"/>
          <w:kern w:val="10"/>
          <w:sz w:val="23"/>
          <w:szCs w:val="23"/>
          <w:highlight w:val="none"/>
          <w:lang w:val="en-US" w:eastAsia="zh-CN"/>
        </w:rPr>
        <w:t>0058</w:t>
      </w:r>
      <w:r>
        <w:rPr>
          <w:rFonts w:hint="eastAsia" w:ascii="宋体" w:hAnsi="宋体"/>
          <w:color w:val="000000"/>
          <w:spacing w:val="20"/>
          <w:kern w:val="10"/>
          <w:sz w:val="23"/>
          <w:szCs w:val="23"/>
          <w:highlight w:val="none"/>
        </w:rPr>
        <w:t>。</w:t>
      </w:r>
    </w:p>
    <w:p>
      <w:pPr>
        <w:spacing w:line="440" w:lineRule="exact"/>
        <w:ind w:firstLine="540" w:firstLineChars="200"/>
        <w:rPr>
          <w:rFonts w:ascii="宋体" w:hAnsi="宋体"/>
          <w:color w:val="auto"/>
          <w:spacing w:val="20"/>
          <w:kern w:val="10"/>
          <w:sz w:val="23"/>
          <w:szCs w:val="23"/>
        </w:rPr>
      </w:pPr>
      <w:r>
        <w:rPr>
          <w:rFonts w:hint="eastAsia" w:ascii="宋体" w:hAnsi="宋体"/>
          <w:color w:val="auto"/>
          <w:spacing w:val="20"/>
          <w:kern w:val="10"/>
          <w:sz w:val="23"/>
          <w:szCs w:val="23"/>
          <w:lang w:val="en-US" w:eastAsia="zh-CN"/>
        </w:rPr>
        <w:t>深圳市</w:t>
      </w:r>
      <w:r>
        <w:rPr>
          <w:rFonts w:hint="eastAsia" w:ascii="宋体" w:hAnsi="宋体"/>
          <w:color w:val="auto"/>
          <w:spacing w:val="20"/>
          <w:kern w:val="10"/>
          <w:sz w:val="23"/>
          <w:szCs w:val="23"/>
        </w:rPr>
        <w:t>宝安区工业和信息化局</w:t>
      </w:r>
      <w:r>
        <w:rPr>
          <w:rFonts w:hint="eastAsia" w:ascii="宋体" w:hAnsi="宋体"/>
          <w:color w:val="auto"/>
          <w:spacing w:val="20"/>
          <w:kern w:val="10"/>
          <w:sz w:val="23"/>
          <w:szCs w:val="23"/>
          <w:lang w:val="en-US" w:eastAsia="zh-CN"/>
        </w:rPr>
        <w:t xml:space="preserve"> </w:t>
      </w:r>
      <w:r>
        <w:rPr>
          <w:rFonts w:ascii="宋体" w:hAnsi="宋体"/>
          <w:color w:val="auto"/>
          <w:spacing w:val="20"/>
          <w:kern w:val="10"/>
          <w:sz w:val="23"/>
          <w:szCs w:val="23"/>
        </w:rPr>
        <w:t>地址：</w:t>
      </w:r>
      <w:r>
        <w:rPr>
          <w:rFonts w:hint="eastAsia" w:ascii="宋体" w:hAnsi="宋体"/>
          <w:color w:val="auto"/>
          <w:spacing w:val="20"/>
          <w:kern w:val="10"/>
          <w:sz w:val="23"/>
          <w:szCs w:val="23"/>
        </w:rPr>
        <w:t>深圳市宝安区新安三路海关大厦；咨询电话：（0755）27660960。</w:t>
      </w:r>
    </w:p>
    <w:p>
      <w:pPr>
        <w:spacing w:line="440" w:lineRule="exact"/>
        <w:ind w:firstLine="540" w:firstLineChars="200"/>
        <w:rPr>
          <w:rFonts w:hint="eastAsia" w:ascii="宋体" w:hAnsi="宋体" w:eastAsia="宋体"/>
          <w:color w:val="000000"/>
          <w:w w:val="100"/>
          <w:highlight w:val="none"/>
          <w:lang w:val="en-US" w:eastAsia="zh-CN"/>
        </w:rPr>
      </w:pPr>
      <w:r>
        <w:rPr>
          <w:rFonts w:hint="eastAsia" w:ascii="宋体" w:hAnsi="宋体"/>
          <w:color w:val="000000"/>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地址：深圳市福田区红荔西路8007号土地房产交易大厦3楼；咨询电话：（0755）82713074、（0755）82713274；网址：https://td.szggzy.com。</w:t>
      </w:r>
    </w:p>
    <w:p>
      <w:pPr>
        <w:spacing w:line="440" w:lineRule="exact"/>
        <w:rPr>
          <w:rFonts w:hint="eastAsia" w:ascii="宋体" w:hAnsi="宋体"/>
          <w:b/>
          <w:color w:val="000000"/>
          <w:spacing w:val="20"/>
          <w:kern w:val="10"/>
          <w:sz w:val="23"/>
          <w:szCs w:val="23"/>
          <w:highlight w:val="none"/>
        </w:rPr>
      </w:pPr>
    </w:p>
    <w:p>
      <w:pPr>
        <w:spacing w:line="440" w:lineRule="exact"/>
        <w:ind w:firstLine="542" w:firstLineChars="200"/>
        <w:jc w:val="right"/>
        <w:rPr>
          <w:rFonts w:hint="default" w:ascii="宋体" w:hAnsi="宋体"/>
          <w:b/>
          <w:bCs/>
          <w:color w:val="000000"/>
          <w:spacing w:val="20"/>
          <w:kern w:val="10"/>
          <w:sz w:val="23"/>
          <w:szCs w:val="23"/>
          <w:highlight w:val="none"/>
          <w:lang w:val="en-US" w:eastAsia="zh-CN"/>
        </w:rPr>
      </w:pPr>
      <w:r>
        <w:rPr>
          <w:rFonts w:hint="eastAsia" w:ascii="宋体" w:hAnsi="宋体"/>
          <w:b/>
          <w:bCs/>
          <w:color w:val="000000"/>
          <w:spacing w:val="20"/>
          <w:kern w:val="10"/>
          <w:sz w:val="23"/>
          <w:szCs w:val="23"/>
          <w:highlight w:val="none"/>
          <w:lang w:val="en-US" w:eastAsia="zh-CN"/>
        </w:rPr>
        <w:t>出让人：深圳市规划和自然资源局宝安管理局</w:t>
      </w:r>
    </w:p>
    <w:p>
      <w:pPr>
        <w:spacing w:line="440" w:lineRule="exact"/>
        <w:ind w:firstLine="542" w:firstLineChars="200"/>
        <w:jc w:val="right"/>
        <w:rPr>
          <w:rFonts w:hint="eastAsia" w:ascii="宋体" w:hAnsi="宋体"/>
          <w:b/>
          <w:bCs/>
          <w:color w:val="000000"/>
          <w:spacing w:val="20"/>
          <w:kern w:val="10"/>
          <w:sz w:val="23"/>
          <w:szCs w:val="23"/>
          <w:highlight w:val="none"/>
          <w:lang w:val="en-US" w:eastAsia="zh-CN"/>
        </w:rPr>
      </w:pPr>
      <w:r>
        <w:rPr>
          <w:rFonts w:hint="eastAsia" w:ascii="宋体" w:hAnsi="宋体"/>
          <w:b/>
          <w:bCs/>
          <w:color w:val="000000"/>
          <w:spacing w:val="20"/>
          <w:kern w:val="10"/>
          <w:sz w:val="23"/>
          <w:szCs w:val="23"/>
          <w:highlight w:val="none"/>
          <w:lang w:val="en-US" w:eastAsia="zh-CN"/>
        </w:rPr>
        <w:t>交易机构：深圳交易集团有限公司</w:t>
      </w:r>
    </w:p>
    <w:p>
      <w:pPr>
        <w:spacing w:line="440" w:lineRule="exact"/>
        <w:ind w:firstLine="542" w:firstLineChars="200"/>
        <w:jc w:val="right"/>
        <w:rPr>
          <w:rFonts w:hint="eastAsia" w:ascii="宋体" w:hAnsi="宋体"/>
          <w:b/>
          <w:bCs/>
          <w:color w:val="000000"/>
          <w:spacing w:val="20"/>
          <w:kern w:val="10"/>
          <w:sz w:val="23"/>
          <w:szCs w:val="23"/>
          <w:highlight w:val="none"/>
          <w:lang w:val="en-US" w:eastAsia="zh-CN"/>
        </w:rPr>
      </w:pPr>
      <w:r>
        <w:rPr>
          <w:rFonts w:hint="eastAsia" w:ascii="宋体" w:hAnsi="宋体"/>
          <w:b/>
          <w:bCs/>
          <w:color w:val="000000"/>
          <w:spacing w:val="20"/>
          <w:kern w:val="10"/>
          <w:sz w:val="23"/>
          <w:szCs w:val="23"/>
          <w:highlight w:val="none"/>
          <w:lang w:val="en-US" w:eastAsia="zh-CN"/>
        </w:rPr>
        <w:t>（深圳公共资源交易中心）</w:t>
      </w:r>
    </w:p>
    <w:p>
      <w:pPr>
        <w:spacing w:line="440" w:lineRule="exact"/>
        <w:ind w:firstLine="542" w:firstLineChars="200"/>
        <w:jc w:val="right"/>
        <w:rPr>
          <w:rFonts w:ascii="宋体" w:hAnsi="宋体"/>
          <w:highlight w:val="none"/>
        </w:rPr>
      </w:pPr>
      <w:r>
        <w:rPr>
          <w:rFonts w:hint="eastAsia" w:ascii="宋体" w:hAnsi="宋体"/>
          <w:b/>
          <w:bCs/>
          <w:color w:val="000000"/>
          <w:spacing w:val="20"/>
          <w:kern w:val="10"/>
          <w:sz w:val="23"/>
          <w:szCs w:val="23"/>
          <w:highlight w:val="none"/>
          <w:lang w:val="en-US" w:eastAsia="zh-CN"/>
        </w:rPr>
        <w:t>2022年4月13日</w:t>
      </w:r>
    </w:p>
    <w:p>
      <w:pPr>
        <w:spacing w:line="440" w:lineRule="exact"/>
        <w:ind w:left="4479" w:leftChars="2133" w:right="1132" w:firstLine="840" w:firstLineChars="400"/>
        <w:jc w:val="right"/>
        <w:rPr>
          <w:rFonts w:ascii="宋体" w:hAnsi="宋体"/>
          <w:highlight w:val="none"/>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2010609000101010101"/>
    <w:charset w:val="86"/>
    <w:family w:val="modern"/>
    <w:pitch w:val="default"/>
    <w:sig w:usb0="00000000" w:usb1="00000000" w:usb2="00000012" w:usb3="00000000" w:csb0="00040000" w:csb1="00000000"/>
  </w:font>
  <w:font w:name="Courier">
    <w:altName w:val="Courier New"/>
    <w:panose1 w:val="020604090202050204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60"/>
    <w:rsid w:val="00004712"/>
    <w:rsid w:val="000070F8"/>
    <w:rsid w:val="000079DB"/>
    <w:rsid w:val="000109B3"/>
    <w:rsid w:val="00015170"/>
    <w:rsid w:val="000168E4"/>
    <w:rsid w:val="00016B0E"/>
    <w:rsid w:val="00021869"/>
    <w:rsid w:val="0002385B"/>
    <w:rsid w:val="000309CD"/>
    <w:rsid w:val="00032D8D"/>
    <w:rsid w:val="0003417F"/>
    <w:rsid w:val="000346D1"/>
    <w:rsid w:val="000362CA"/>
    <w:rsid w:val="0003653D"/>
    <w:rsid w:val="000365C0"/>
    <w:rsid w:val="00037E74"/>
    <w:rsid w:val="00040ABC"/>
    <w:rsid w:val="00041787"/>
    <w:rsid w:val="00043178"/>
    <w:rsid w:val="00043481"/>
    <w:rsid w:val="00046177"/>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529"/>
    <w:rsid w:val="00075AD3"/>
    <w:rsid w:val="00083160"/>
    <w:rsid w:val="0008795F"/>
    <w:rsid w:val="0009074A"/>
    <w:rsid w:val="00091062"/>
    <w:rsid w:val="000910A6"/>
    <w:rsid w:val="000911A5"/>
    <w:rsid w:val="00092DC7"/>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972F0"/>
    <w:rsid w:val="001A2027"/>
    <w:rsid w:val="001A4779"/>
    <w:rsid w:val="001B0760"/>
    <w:rsid w:val="001B0F3B"/>
    <w:rsid w:val="001B1936"/>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9BF"/>
    <w:rsid w:val="00215B0B"/>
    <w:rsid w:val="002164A8"/>
    <w:rsid w:val="00217AA4"/>
    <w:rsid w:val="002222C5"/>
    <w:rsid w:val="002231D2"/>
    <w:rsid w:val="00225A2F"/>
    <w:rsid w:val="00226478"/>
    <w:rsid w:val="002270A2"/>
    <w:rsid w:val="0023325D"/>
    <w:rsid w:val="00233DB2"/>
    <w:rsid w:val="00234FFE"/>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171"/>
    <w:rsid w:val="00276796"/>
    <w:rsid w:val="0027679F"/>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05A1"/>
    <w:rsid w:val="002E444F"/>
    <w:rsid w:val="002E5104"/>
    <w:rsid w:val="002E576D"/>
    <w:rsid w:val="002F1CDD"/>
    <w:rsid w:val="002F1E2F"/>
    <w:rsid w:val="002F285B"/>
    <w:rsid w:val="002F34AD"/>
    <w:rsid w:val="002F3BAE"/>
    <w:rsid w:val="002F48AB"/>
    <w:rsid w:val="002F64EF"/>
    <w:rsid w:val="00303EC7"/>
    <w:rsid w:val="00304003"/>
    <w:rsid w:val="00306FF6"/>
    <w:rsid w:val="003079F9"/>
    <w:rsid w:val="0031032A"/>
    <w:rsid w:val="00310725"/>
    <w:rsid w:val="00310E2D"/>
    <w:rsid w:val="00313A41"/>
    <w:rsid w:val="00314618"/>
    <w:rsid w:val="00314790"/>
    <w:rsid w:val="00314969"/>
    <w:rsid w:val="00316584"/>
    <w:rsid w:val="00320BC2"/>
    <w:rsid w:val="00323BC3"/>
    <w:rsid w:val="00324163"/>
    <w:rsid w:val="00324CC4"/>
    <w:rsid w:val="00333020"/>
    <w:rsid w:val="003330E0"/>
    <w:rsid w:val="003439A6"/>
    <w:rsid w:val="00350703"/>
    <w:rsid w:val="00350ED8"/>
    <w:rsid w:val="00354F5D"/>
    <w:rsid w:val="0036088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39B8"/>
    <w:rsid w:val="003A544C"/>
    <w:rsid w:val="003A6827"/>
    <w:rsid w:val="003B0897"/>
    <w:rsid w:val="003B3CFC"/>
    <w:rsid w:val="003B51A5"/>
    <w:rsid w:val="003B6A3A"/>
    <w:rsid w:val="003B6EC4"/>
    <w:rsid w:val="003C085F"/>
    <w:rsid w:val="003C2A51"/>
    <w:rsid w:val="003C2AE6"/>
    <w:rsid w:val="003C3108"/>
    <w:rsid w:val="003C3677"/>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1C81"/>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E1A55"/>
    <w:rsid w:val="004F157D"/>
    <w:rsid w:val="004F2437"/>
    <w:rsid w:val="004F2721"/>
    <w:rsid w:val="004F33AE"/>
    <w:rsid w:val="004F46FE"/>
    <w:rsid w:val="004F5496"/>
    <w:rsid w:val="004F74F9"/>
    <w:rsid w:val="005057C5"/>
    <w:rsid w:val="00505E11"/>
    <w:rsid w:val="0051098E"/>
    <w:rsid w:val="00510F18"/>
    <w:rsid w:val="00511197"/>
    <w:rsid w:val="00512901"/>
    <w:rsid w:val="00514DF3"/>
    <w:rsid w:val="005156E8"/>
    <w:rsid w:val="00516F49"/>
    <w:rsid w:val="0052043A"/>
    <w:rsid w:val="005216B0"/>
    <w:rsid w:val="00521C0C"/>
    <w:rsid w:val="00521E87"/>
    <w:rsid w:val="0052214B"/>
    <w:rsid w:val="00522F9E"/>
    <w:rsid w:val="005316E3"/>
    <w:rsid w:val="00533262"/>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3F8F"/>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5522"/>
    <w:rsid w:val="005B5C72"/>
    <w:rsid w:val="005B6637"/>
    <w:rsid w:val="005B7A94"/>
    <w:rsid w:val="005C09C1"/>
    <w:rsid w:val="005C40DC"/>
    <w:rsid w:val="005C4E66"/>
    <w:rsid w:val="005D20FC"/>
    <w:rsid w:val="005D2409"/>
    <w:rsid w:val="005D2A4D"/>
    <w:rsid w:val="005D2B71"/>
    <w:rsid w:val="005E030F"/>
    <w:rsid w:val="005E2177"/>
    <w:rsid w:val="005E40B1"/>
    <w:rsid w:val="005F12A2"/>
    <w:rsid w:val="005F3106"/>
    <w:rsid w:val="005F5156"/>
    <w:rsid w:val="005F5E9D"/>
    <w:rsid w:val="0060077E"/>
    <w:rsid w:val="00602221"/>
    <w:rsid w:val="006046FA"/>
    <w:rsid w:val="00604A6D"/>
    <w:rsid w:val="00605677"/>
    <w:rsid w:val="00606A97"/>
    <w:rsid w:val="00607B5B"/>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574E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709"/>
    <w:rsid w:val="006F50E1"/>
    <w:rsid w:val="006F5507"/>
    <w:rsid w:val="006F5A6C"/>
    <w:rsid w:val="006F6AA0"/>
    <w:rsid w:val="006F6EDA"/>
    <w:rsid w:val="006F722F"/>
    <w:rsid w:val="00704290"/>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792D"/>
    <w:rsid w:val="007B0E79"/>
    <w:rsid w:val="007B2984"/>
    <w:rsid w:val="007B4486"/>
    <w:rsid w:val="007B58D0"/>
    <w:rsid w:val="007B5FE6"/>
    <w:rsid w:val="007B7E20"/>
    <w:rsid w:val="007C079E"/>
    <w:rsid w:val="007C0CF9"/>
    <w:rsid w:val="007C272F"/>
    <w:rsid w:val="007C4219"/>
    <w:rsid w:val="007C5FB1"/>
    <w:rsid w:val="007D1A7E"/>
    <w:rsid w:val="007D2AD8"/>
    <w:rsid w:val="007D3545"/>
    <w:rsid w:val="007D6A65"/>
    <w:rsid w:val="007E0420"/>
    <w:rsid w:val="007E3CBC"/>
    <w:rsid w:val="007E7ABF"/>
    <w:rsid w:val="007F0671"/>
    <w:rsid w:val="007F13A8"/>
    <w:rsid w:val="007F33B4"/>
    <w:rsid w:val="007F4825"/>
    <w:rsid w:val="007F507A"/>
    <w:rsid w:val="007F5AE0"/>
    <w:rsid w:val="00803F1F"/>
    <w:rsid w:val="00810CFA"/>
    <w:rsid w:val="00811379"/>
    <w:rsid w:val="00811400"/>
    <w:rsid w:val="00814739"/>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422"/>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661F"/>
    <w:rsid w:val="00A073C4"/>
    <w:rsid w:val="00A07483"/>
    <w:rsid w:val="00A1084E"/>
    <w:rsid w:val="00A16BD8"/>
    <w:rsid w:val="00A21F86"/>
    <w:rsid w:val="00A22379"/>
    <w:rsid w:val="00A22624"/>
    <w:rsid w:val="00A26C84"/>
    <w:rsid w:val="00A27192"/>
    <w:rsid w:val="00A279F3"/>
    <w:rsid w:val="00A300A2"/>
    <w:rsid w:val="00A31150"/>
    <w:rsid w:val="00A317F8"/>
    <w:rsid w:val="00A31ACF"/>
    <w:rsid w:val="00A3362C"/>
    <w:rsid w:val="00A34B5E"/>
    <w:rsid w:val="00A35F36"/>
    <w:rsid w:val="00A37822"/>
    <w:rsid w:val="00A37D6F"/>
    <w:rsid w:val="00A42F8D"/>
    <w:rsid w:val="00A43BAF"/>
    <w:rsid w:val="00A44303"/>
    <w:rsid w:val="00A543EA"/>
    <w:rsid w:val="00A5769A"/>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690A"/>
    <w:rsid w:val="00AD3238"/>
    <w:rsid w:val="00AD4B55"/>
    <w:rsid w:val="00AD625F"/>
    <w:rsid w:val="00AE03C8"/>
    <w:rsid w:val="00AE1083"/>
    <w:rsid w:val="00AE3E95"/>
    <w:rsid w:val="00AE55D1"/>
    <w:rsid w:val="00AF0CB2"/>
    <w:rsid w:val="00AF2FC0"/>
    <w:rsid w:val="00AF3006"/>
    <w:rsid w:val="00AF453F"/>
    <w:rsid w:val="00AF4BF4"/>
    <w:rsid w:val="00AF6E67"/>
    <w:rsid w:val="00AF7B55"/>
    <w:rsid w:val="00B00A2D"/>
    <w:rsid w:val="00B00F74"/>
    <w:rsid w:val="00B02992"/>
    <w:rsid w:val="00B02B8D"/>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111C"/>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4DEC"/>
    <w:rsid w:val="00CE5595"/>
    <w:rsid w:val="00CE7FBA"/>
    <w:rsid w:val="00CF0CDC"/>
    <w:rsid w:val="00CF1125"/>
    <w:rsid w:val="00CF4AB9"/>
    <w:rsid w:val="00CF538C"/>
    <w:rsid w:val="00CF706F"/>
    <w:rsid w:val="00D00211"/>
    <w:rsid w:val="00D00386"/>
    <w:rsid w:val="00D014EE"/>
    <w:rsid w:val="00D019EE"/>
    <w:rsid w:val="00D01E25"/>
    <w:rsid w:val="00D0361A"/>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4950"/>
    <w:rsid w:val="00EB619C"/>
    <w:rsid w:val="00EC1652"/>
    <w:rsid w:val="00EC3CDC"/>
    <w:rsid w:val="00EC43D6"/>
    <w:rsid w:val="00EC4758"/>
    <w:rsid w:val="00ED4823"/>
    <w:rsid w:val="00ED5934"/>
    <w:rsid w:val="00ED5F0E"/>
    <w:rsid w:val="00ED7301"/>
    <w:rsid w:val="00EE16DE"/>
    <w:rsid w:val="00EE3C26"/>
    <w:rsid w:val="00EF0390"/>
    <w:rsid w:val="00EF263C"/>
    <w:rsid w:val="00EF3324"/>
    <w:rsid w:val="00EF46D2"/>
    <w:rsid w:val="00EF693F"/>
    <w:rsid w:val="00EF729A"/>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37007"/>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C791F"/>
    <w:rsid w:val="00FD2097"/>
    <w:rsid w:val="00FD2BFD"/>
    <w:rsid w:val="00FD3402"/>
    <w:rsid w:val="00FD42B7"/>
    <w:rsid w:val="00FE0DA8"/>
    <w:rsid w:val="00FE10A9"/>
    <w:rsid w:val="00FE1317"/>
    <w:rsid w:val="00FE2174"/>
    <w:rsid w:val="00FE6204"/>
    <w:rsid w:val="00FE6491"/>
    <w:rsid w:val="00FE6A56"/>
    <w:rsid w:val="00FF323C"/>
    <w:rsid w:val="00FF4066"/>
    <w:rsid w:val="00FF7150"/>
    <w:rsid w:val="067A4162"/>
    <w:rsid w:val="07DF15F8"/>
    <w:rsid w:val="08852F73"/>
    <w:rsid w:val="08EC706B"/>
    <w:rsid w:val="090D5BFF"/>
    <w:rsid w:val="0D8B43CC"/>
    <w:rsid w:val="0DAB53FB"/>
    <w:rsid w:val="0F6F7B99"/>
    <w:rsid w:val="1235261C"/>
    <w:rsid w:val="169432B6"/>
    <w:rsid w:val="181F0572"/>
    <w:rsid w:val="1A3B578B"/>
    <w:rsid w:val="1AD82DAC"/>
    <w:rsid w:val="208B17BE"/>
    <w:rsid w:val="209E03C5"/>
    <w:rsid w:val="21766946"/>
    <w:rsid w:val="274D5BF6"/>
    <w:rsid w:val="27881538"/>
    <w:rsid w:val="27F34941"/>
    <w:rsid w:val="28447303"/>
    <w:rsid w:val="2EBF3B17"/>
    <w:rsid w:val="2F3E7229"/>
    <w:rsid w:val="30EB2CCA"/>
    <w:rsid w:val="332B4F79"/>
    <w:rsid w:val="33CB74FA"/>
    <w:rsid w:val="341040A7"/>
    <w:rsid w:val="3A7838BB"/>
    <w:rsid w:val="3AAF4433"/>
    <w:rsid w:val="3AFF762B"/>
    <w:rsid w:val="3CAE1060"/>
    <w:rsid w:val="3DF064DB"/>
    <w:rsid w:val="400B1EFA"/>
    <w:rsid w:val="431B1D50"/>
    <w:rsid w:val="470F1B58"/>
    <w:rsid w:val="483A3A68"/>
    <w:rsid w:val="4866213F"/>
    <w:rsid w:val="48812F9E"/>
    <w:rsid w:val="49340E42"/>
    <w:rsid w:val="4A516A7D"/>
    <w:rsid w:val="4A626DE5"/>
    <w:rsid w:val="4CA90842"/>
    <w:rsid w:val="4E0A3E8A"/>
    <w:rsid w:val="560315CB"/>
    <w:rsid w:val="56A8756F"/>
    <w:rsid w:val="575A5A81"/>
    <w:rsid w:val="5B7A57D8"/>
    <w:rsid w:val="5C8B7D7D"/>
    <w:rsid w:val="5D667C17"/>
    <w:rsid w:val="6120213A"/>
    <w:rsid w:val="63DB0104"/>
    <w:rsid w:val="64BD217B"/>
    <w:rsid w:val="65F30CD3"/>
    <w:rsid w:val="6AFB6E7D"/>
    <w:rsid w:val="6B874D63"/>
    <w:rsid w:val="6BDE307C"/>
    <w:rsid w:val="6C6E1D56"/>
    <w:rsid w:val="73B0314D"/>
    <w:rsid w:val="75D43102"/>
    <w:rsid w:val="761738EE"/>
    <w:rsid w:val="77CA3F36"/>
    <w:rsid w:val="79A10D41"/>
    <w:rsid w:val="7C700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link w:val="16"/>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7"/>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TML Definition"/>
    <w:basedOn w:val="8"/>
    <w:qFormat/>
    <w:uiPriority w:val="0"/>
  </w:style>
  <w:style w:type="character" w:styleId="11">
    <w:name w:val="HTML Acronym"/>
    <w:basedOn w:val="8"/>
    <w:qFormat/>
    <w:uiPriority w:val="0"/>
  </w:style>
  <w:style w:type="character" w:styleId="12">
    <w:name w:val="HTML Variable"/>
    <w:basedOn w:val="8"/>
    <w:qFormat/>
    <w:uiPriority w:val="0"/>
  </w:style>
  <w:style w:type="character" w:styleId="13">
    <w:name w:val="Hyperlink"/>
    <w:qFormat/>
    <w:uiPriority w:val="0"/>
    <w:rPr>
      <w:color w:val="0000FF"/>
      <w:u w:val="single"/>
    </w:rPr>
  </w:style>
  <w:style w:type="character" w:styleId="14">
    <w:name w:val="HTML Code"/>
    <w:basedOn w:val="8"/>
    <w:qFormat/>
    <w:uiPriority w:val="0"/>
    <w:rPr>
      <w:rFonts w:ascii="Courier" w:hAnsi="Courier" w:cs="Courier"/>
      <w:sz w:val="27"/>
      <w:szCs w:val="27"/>
      <w:bdr w:val="single" w:color="CCCCCC" w:sz="6" w:space="0"/>
      <w:shd w:val="clear" w:fill="EFEFEF"/>
    </w:rPr>
  </w:style>
  <w:style w:type="character" w:styleId="15">
    <w:name w:val="HTML Cite"/>
    <w:basedOn w:val="8"/>
    <w:qFormat/>
    <w:uiPriority w:val="0"/>
  </w:style>
  <w:style w:type="character" w:customStyle="1" w:styleId="16">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7">
    <w:name w:val="正文文本缩进 2 Char"/>
    <w:link w:val="3"/>
    <w:qFormat/>
    <w:uiPriority w:val="0"/>
    <w:rPr>
      <w:rFonts w:ascii="汉仪书宋二简" w:hAnsi="汉仪书宋二简" w:eastAsia="汉仪书宋二简"/>
      <w:spacing w:val="20"/>
      <w:w w:val="110"/>
      <w:kern w:val="10"/>
      <w:sz w:val="23"/>
      <w:szCs w:val="23"/>
    </w:rPr>
  </w:style>
  <w:style w:type="character" w:customStyle="1" w:styleId="18">
    <w:name w:val="cesium-projectionpicker-wrapper"/>
    <w:basedOn w:val="8"/>
    <w:qFormat/>
    <w:uiPriority w:val="0"/>
  </w:style>
  <w:style w:type="character" w:customStyle="1" w:styleId="19">
    <w:name w:val="cesium-scenemodepicker-wrapper"/>
    <w:basedOn w:val="8"/>
    <w:qFormat/>
    <w:uiPriority w:val="0"/>
  </w:style>
  <w:style w:type="character" w:customStyle="1" w:styleId="20">
    <w:name w:val="not([class*=suffix])"/>
    <w:basedOn w:val="8"/>
    <w:qFormat/>
    <w:uiPriority w:val="0"/>
    <w:rPr>
      <w:sz w:val="19"/>
      <w:szCs w:val="19"/>
    </w:rPr>
  </w:style>
  <w:style w:type="character" w:customStyle="1" w:styleId="21">
    <w:name w:val="not([class*=suffix])1"/>
    <w:basedOn w:val="8"/>
    <w:qFormat/>
    <w:uiPriority w:val="0"/>
  </w:style>
  <w:style w:type="character" w:customStyle="1" w:styleId="22">
    <w:name w:val="first-child"/>
    <w:basedOn w:val="8"/>
    <w:qFormat/>
    <w:uiPriority w:val="0"/>
  </w:style>
  <w:style w:type="character" w:customStyle="1" w:styleId="23">
    <w:name w:val="first-child1"/>
    <w:basedOn w:val="8"/>
    <w:qFormat/>
    <w:uiPriority w:val="0"/>
    <w:rPr>
      <w:b/>
      <w:bCs/>
      <w:color w:val="337AB7"/>
      <w:sz w:val="21"/>
      <w:szCs w:val="21"/>
      <w:shd w:val="clear" w:color="auto" w:fill="FFFFFF"/>
    </w:rPr>
  </w:style>
  <w:style w:type="character" w:customStyle="1" w:styleId="24">
    <w:name w:val="esriattributiondelim"/>
    <w:basedOn w:val="8"/>
    <w:qFormat/>
    <w:uiPriority w:val="0"/>
    <w:rPr>
      <w:vanish/>
    </w:rPr>
  </w:style>
  <w:style w:type="character" w:customStyle="1" w:styleId="25">
    <w:name w:val="dijitarrowbuttoninner124"/>
    <w:basedOn w:val="8"/>
    <w:qFormat/>
    <w:uiPriority w:val="0"/>
    <w:rPr>
      <w:vanish/>
    </w:rPr>
  </w:style>
  <w:style w:type="character" w:customStyle="1" w:styleId="26">
    <w:name w:val="messageleft"/>
    <w:basedOn w:val="8"/>
    <w:qFormat/>
    <w:uiPriority w:val="0"/>
  </w:style>
  <w:style w:type="character" w:customStyle="1" w:styleId="27">
    <w:name w:val="right"/>
    <w:basedOn w:val="8"/>
    <w:qFormat/>
    <w:uiPriority w:val="0"/>
  </w:style>
  <w:style w:type="character" w:customStyle="1" w:styleId="28">
    <w:name w:val="left"/>
    <w:basedOn w:val="8"/>
    <w:qFormat/>
    <w:uiPriority w:val="0"/>
  </w:style>
  <w:style w:type="character" w:customStyle="1" w:styleId="29">
    <w:name w:val="left1"/>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338</Words>
  <Characters>1930</Characters>
  <Lines>16</Lines>
  <Paragraphs>4</Paragraphs>
  <TotalTime>202</TotalTime>
  <ScaleCrop>false</ScaleCrop>
  <LinksUpToDate>false</LinksUpToDate>
  <CharactersWithSpaces>2264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2019-10-30T09:15:00Z</dcterms:created>
  <dc:creator>Administrator</dc:creator>
  <cp:lastModifiedBy>Lee 1</cp:lastModifiedBy>
  <cp:lastPrinted>2020-09-02T08:09:00Z</cp:lastPrinted>
  <dcterms:modified xsi:type="dcterms:W3CDTF">2022-04-12T06:21:25Z</dcterms:modified>
  <dc:title>深圳市土地使用权出让公告</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CA848D117A1642BC832A761F4AAF0CB3</vt:lpwstr>
  </property>
</Properties>
</file>