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  <w:lang w:val="en-US" w:eastAsia="zh-CN"/>
        </w:rPr>
        <w:t>深圳市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  <w:lang w:eastAsia="zh-CN"/>
        </w:rPr>
        <w:t>保</w:t>
      </w:r>
      <w:r>
        <w:rPr>
          <w:b/>
          <w:bCs w:val="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-885190</wp:posOffset>
                </wp:positionV>
                <wp:extent cx="908050" cy="424815"/>
                <wp:effectExtent l="0" t="0" r="635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69.7pt;height:33.45pt;width:71.5pt;z-index:251659264;mso-width-relative:page;mso-height-relative:page;" fillcolor="#FFFFFF [3201]" filled="t" stroked="f" coordsize="21600,21600" o:gfxdata="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/eIHHVAAAACwEAAA8AAAAAAAAA&#10;AQAgAAAAIgAAAGRycy9kb3ducmV2LnhtbFBLAQIUABQAAAAIAIdO4kAsJ2z3TQIAAI4EAAAOAAAA&#10;AAAAAAEAIAAAACQ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  <w:lang w:eastAsia="zh-CN"/>
        </w:rPr>
        <w:t>障性租赁住房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</w:rPr>
        <w:t>建设和管理任务书</w:t>
      </w:r>
    </w:p>
    <w:p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highlight w:val="none"/>
          <w:lang w:val="en-US" w:eastAsia="zh-CN"/>
        </w:rPr>
        <w:t>无偿移交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highlight w:val="none"/>
          <w:lang w:eastAsia="zh-CN"/>
        </w:rPr>
        <w:t>）</w:t>
      </w:r>
    </w:p>
    <w:p>
      <w:pPr>
        <w:spacing w:line="360" w:lineRule="auto"/>
        <w:rPr>
          <w:rFonts w:ascii="仿宋" w:hAnsi="仿宋" w:eastAsia="仿宋"/>
          <w:kern w:val="0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为明确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宗地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项目保障性租赁住房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建设标准与管理任务，加快推进项目建设，按时完成建设任务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有关规定，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现就该宗地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保障性租赁住房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建设和管理任务提出以下要求，请认真落实完成。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一、设计要求</w:t>
      </w:r>
    </w:p>
    <w:p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（一）建筑面积及户型。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依据该项目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《建设用地规划许可证》（地字第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XX号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"/>
        </w:rPr>
        <w:t>《深圳市住房和建设局关于XX宗地项目建设标准的复函》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有关规划建设要求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无偿移交政府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保障性租赁住房建筑面积不少于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。其中，建筑面积为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平方米户型不少于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套，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建筑面积为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户型不少于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，保障性租赁住房总套数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套。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strike/>
          <w:sz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（二）绿色建筑认证标识。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项目应获得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《绿色建筑评价标准》（GB/T50378-201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）一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星级或以上标识认证，具体要求以项目《用地规划许可证》规定为准。</w:t>
      </w:r>
    </w:p>
    <w:p>
      <w:pPr>
        <w:autoSpaceDE w:val="0"/>
        <w:autoSpaceDN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（三）方案设计审查。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项目在向规划等部门申报方案设计审批前，须报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市住房保障署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审查。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合本任务书要求，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对申报的方案设计出具书面意见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项目建筑方案设计应当遵循以下原则：</w:t>
      </w:r>
    </w:p>
    <w:p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保障性租赁住房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居住品质应当与商品房保持一致，坐落布局应当充分考虑项目周边环境影响，不得布置于噪音、异味、粉尘等严重影响居住品质的位置，且不得通过配套设施、道路、园林景观等，在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保障性租赁住房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和商品房之间设置物理隔离，也不得有其他类似的歧视性措施。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保障性租赁住房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建设标准应当与商品房保持一致，包括且不限于建筑材料、外立面效果、建筑高度、层高、公共区域装修、共享配套等。</w:t>
      </w:r>
    </w:p>
    <w:p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保障性租赁住房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建筑方案设计应当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《公共住房建设标准》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关于人才住房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相关规定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4.项目建设的公共配套应当向全体住户提供服务，全体住户均享有平等的使用权。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（四）装配式建筑设计要求。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项目应按照深圳市装配式建筑相关技术要求设计，在初步设计完成后应根据《深圳市住房和建设局 深圳市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规划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和国土资源委员会关于做好装配式建筑项目实施有关工作的通知》（深建规〔2018〕13号）有关规定，进行装配式建筑项目设计阶段技术评分。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（五）海绵设施建设要求。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项目应当建设海绵设施，并满足《深圳市房屋建筑工程海绵设施设计规程》（SJG 38-2017）</w:t>
      </w:r>
      <w:r>
        <w:rPr>
          <w:rFonts w:hint="eastAsia" w:ascii="仿宋" w:hAnsi="仿宋" w:eastAsia="仿宋" w:cs="仿宋_GB2312"/>
          <w:sz w:val="32"/>
          <w:highlight w:val="none"/>
        </w:rPr>
        <w:t>有关海绵设施建设控制性指标要求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，同时符合国家、广东省及深圳市现行有关技术标准。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（六）垃圾分类处置建设要求。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项目应当按照《广东省城乡生活垃圾处理条例》要求建设垃圾分类处置设施，确保同步设计、同步施工、同步交付使用，并满足《深圳市建筑设计规则》相关要求。</w:t>
      </w:r>
    </w:p>
    <w:p>
      <w:pPr>
        <w:pStyle w:val="2"/>
        <w:spacing w:line="560" w:lineRule="exact"/>
        <w:ind w:firstLine="640" w:firstLineChars="200"/>
        <w:rPr>
          <w:rFonts w:hint="eastAsia"/>
          <w:highlight w:val="none"/>
        </w:rPr>
      </w:pPr>
      <w:r>
        <w:rPr>
          <w:rFonts w:hint="eastAsia" w:ascii="楷体_GB2312" w:hAnsi="楷体_GB2312" w:eastAsia="楷体_GB2312" w:cs="楷体_GB2312"/>
          <w:bCs w:val="0"/>
          <w:sz w:val="32"/>
          <w:highlight w:val="none"/>
        </w:rPr>
        <w:t>（七）无障碍住房设计要求。</w:t>
      </w:r>
      <w:r>
        <w:rPr>
          <w:rFonts w:hint="eastAsia" w:ascii="仿宋_GB2312" w:hAnsi="仿宋_GB2312" w:eastAsia="仿宋_GB2312" w:cs="仿宋_GB2312"/>
          <w:bCs w:val="0"/>
          <w:sz w:val="32"/>
          <w:highlight w:val="none"/>
        </w:rPr>
        <w:t>项目应当按照《深圳经济特区无障碍城市建设条例》、《无障碍设计规范》等有关规定标准配置无障碍住房。</w:t>
      </w:r>
    </w:p>
    <w:p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二、建设标准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（一）装配式建筑。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项目应按照《深圳市装配式建筑发展专项规划》（深建字〔2018〕27号）、《深圳市住房和建设局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深圳市规划和国土资源委员会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关于做好装配式建筑项目实施有关工作的通知》（深建规〔2018〕13号）等相关要求实施装配式建筑，并满足深圳市装配式建筑的评分规则要求。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highlight w:val="none"/>
        </w:rPr>
        <w:t>（二）BIM技术。</w:t>
      </w: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highlight w:val="none"/>
        </w:rPr>
        <w:t xml:space="preserve">项目应按照《深圳市住房和建设局关于加快推进装配式建筑的通知》（深建规〔2017〕1号）、《深圳市住房和建设局 </w:t>
      </w: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highlight w:val="none"/>
          <w:lang w:eastAsia="zh-CN"/>
        </w:rPr>
        <w:t>深圳市规划和国土资源委员会</w:t>
      </w: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highlight w:val="none"/>
        </w:rPr>
        <w:t>关于做好装配式建筑项目实施有关工作的通知》（深建规〔2018〕13号）等相关要求实施BIM技术。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（三）户内装修标准。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户内装修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遵循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安全耐久、环保节能、经济适用、舒适美观的原则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在约定的期限内保质保量完成装修工作。户内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装修方案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须在项目商品房预售前，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市住房保障署/区住房主管部门批准。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装修价格须在样板房符合性确认阶段报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备案。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（四）公共区域装修。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大堂、电梯前室等公共区域需完成精装修，装修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标准应当与商品房公共区域装修标准保持一致。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公共区域装修方案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市住房保障署/区住房主管部门备案。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（五）装修标准符合性确认。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确认的户内及公共区域装修施工图纸及项目建设标准要求，先完成大堂电梯厅走廊等公共部分的样板装修，以及每类户型样板房装修，并经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复核确认后再开展装修施工。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（六）其他要求。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全景看房。每个户型均须制作720度全景看房的拍摄系统，经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确认后，实现与网上全景看房系统对接，整体纳入全市统一公共住房基础信息平台。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智能门禁。在所有楼栋的公共门禁统一配备智能门禁。技术要求：支持人脸识别、指纹、身份证、RCC手机SIM卡、临时密码，支持远程管理和授权；采用保障性住房智能化管理信息系统的人脸库和指纹库，并连接公安部身份信息认证平台进行实名身份认证；数据存储、网络通信采用国密算法加密和保护；智能门禁设备对接保障性住房智能化管理信息系统，统一采集、统一认证、统一分析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人脸识别网络摄像机。在所有楼栋的公共门禁统一配备高清人脸识别网络摄像机。技术要求：半球形结构设计、360度镜头旋转，支持动态人脸检测、抓拍、图像处理、人脸识别、陌生人和访客预警分析、防止尾随；人脸照片存储、网络通信采用国密算法加密和保护；人脸识别网络摄像机设备对接保障性住房智能化管理信息系统，统一采集、统一认证、统一分析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以上硬件设备须与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智能化运营管理平台实时对接，相关设备要求及技术对接实现方式须经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确认，最终实现整体纳入全市统一公共住房基础信息平台。</w:t>
      </w:r>
    </w:p>
    <w:p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三、建设工期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（一）请建设单位严格按照《深圳市土地使用权出让合同》约定工期组织建设。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（二）请你司根据《深圳市土地使用权出让合同》时间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深圳市住房发展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年度实施计划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依法依规开展项目建设，若项目开工建设进度滞后6个月以上，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将约谈建设单位项目负责人；滞后12个月以上，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将约谈建设单位负责人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依法对建设单位进行处罚。</w:t>
      </w:r>
    </w:p>
    <w:p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四、验收核查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项目竣工测绘报告完成后、竣工备案前，建设单位应向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递交符合性验收申请，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将根据建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设与管理任务书要求，对项目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保障性租赁住房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建筑面积、户型比例、套数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、装修标准、智能门禁和人脸识别网络摄像机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等事项进行核查，并出具核查意见。</w:t>
      </w:r>
    </w:p>
    <w:p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五、备案申请与移交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建设单位应在项目竣工验收合格后7个工作日内，向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提交书面备案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和移交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申请，将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保障性租赁住房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建筑面积、户型比例、套数等基本信息备案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，并向市住房保障署/区住房主管部门办理移交手续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六、房屋专项维修资金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保障性租赁住房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的房屋专项维修资金首期归集由建设单位按有关规定交纳。</w:t>
      </w:r>
    </w:p>
    <w:p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七、项目信息管理与备案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（一）该建设与管理任务书生效后，建设单位应每月26日前登录深圳市公共住房基础信息平台建设筹集系统(https://zjj.sz.gov.cn/zfxx/jscj)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填报项目进度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，直至项目竣工验收</w:t>
      </w:r>
      <w:r>
        <w:rPr>
          <w:rFonts w:hint="eastAsia" w:ascii="仿宋_GB2312" w:hAnsi="仿宋_GB2312" w:eastAsia="仿宋_GB2312" w:cs="仿宋_GB2312"/>
          <w:spacing w:val="0"/>
          <w:kern w:val="10"/>
          <w:sz w:val="32"/>
          <w:szCs w:val="32"/>
          <w:highlight w:val="none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（二）项目竣工测绘报告完成后、竣工备案前，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应登录深圳市公共住房基础信息平台建设筹集系统(https://zjj.sz.gov.cn/zfxx/jscj)，录入项目房源数据，</w:t>
      </w: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包含小区名称、栋号、房号、建筑面积、楼层、朝向等信息。</w:t>
      </w:r>
    </w:p>
    <w:p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八、任务调整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如因特殊情况确需调整项目《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保障性租赁住房建设和管理任务书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》内容，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市住房保障署/区住房主管部门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审核同意。</w:t>
      </w:r>
    </w:p>
    <w:p>
      <w:pPr>
        <w:spacing w:line="360" w:lineRule="auto"/>
        <w:ind w:firstLine="600" w:firstLineChars="200"/>
        <w:jc w:val="right"/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  <w:u w:val="none"/>
          <w:lang w:eastAsia="zh-CN"/>
        </w:rPr>
      </w:pPr>
    </w:p>
    <w:p>
      <w:pPr>
        <w:spacing w:line="360" w:lineRule="auto"/>
        <w:ind w:firstLine="600" w:firstLineChars="200"/>
        <w:jc w:val="center"/>
        <w:rPr>
          <w:rFonts w:hint="default" w:ascii="仿宋_GB2312" w:hAnsi="仿宋_GB2312" w:eastAsia="仿宋_GB2312" w:cs="仿宋_GB2312"/>
          <w:spacing w:val="-1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  <w:u w:val="none"/>
          <w:lang w:eastAsia="zh-CN"/>
        </w:rPr>
        <w:t>深圳市住房保障署/区住房主管部门</w:t>
      </w:r>
    </w:p>
    <w:p>
      <w:pPr>
        <w:spacing w:line="360" w:lineRule="auto"/>
        <w:ind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304" w:bottom="187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0810"/>
    <w:rsid w:val="01CF3D6E"/>
    <w:rsid w:val="065E6465"/>
    <w:rsid w:val="0A3B46F5"/>
    <w:rsid w:val="0D8C1A70"/>
    <w:rsid w:val="139B487F"/>
    <w:rsid w:val="14326D80"/>
    <w:rsid w:val="147F59B3"/>
    <w:rsid w:val="15947DED"/>
    <w:rsid w:val="16D810A7"/>
    <w:rsid w:val="17081BDA"/>
    <w:rsid w:val="18FE7CB0"/>
    <w:rsid w:val="23C8056A"/>
    <w:rsid w:val="245711E5"/>
    <w:rsid w:val="24DB3BC4"/>
    <w:rsid w:val="26543C2E"/>
    <w:rsid w:val="2849560C"/>
    <w:rsid w:val="2A554419"/>
    <w:rsid w:val="2AEF2177"/>
    <w:rsid w:val="2B2D2CA0"/>
    <w:rsid w:val="2B481AA5"/>
    <w:rsid w:val="2D631EF1"/>
    <w:rsid w:val="300A7A53"/>
    <w:rsid w:val="3077387C"/>
    <w:rsid w:val="31BE28A4"/>
    <w:rsid w:val="32A1046D"/>
    <w:rsid w:val="36383CD7"/>
    <w:rsid w:val="3A5C2E44"/>
    <w:rsid w:val="3C5277EC"/>
    <w:rsid w:val="3D672041"/>
    <w:rsid w:val="3D6A7D83"/>
    <w:rsid w:val="400C6ED0"/>
    <w:rsid w:val="43494AB7"/>
    <w:rsid w:val="51FB2B76"/>
    <w:rsid w:val="535E1399"/>
    <w:rsid w:val="544A47F7"/>
    <w:rsid w:val="55667B6D"/>
    <w:rsid w:val="56EF7A58"/>
    <w:rsid w:val="61091845"/>
    <w:rsid w:val="61C24BFD"/>
    <w:rsid w:val="626B1C98"/>
    <w:rsid w:val="650A033C"/>
    <w:rsid w:val="67AE08C9"/>
    <w:rsid w:val="6A8219B9"/>
    <w:rsid w:val="6ACB0EC1"/>
    <w:rsid w:val="6CA75707"/>
    <w:rsid w:val="6D5D181B"/>
    <w:rsid w:val="6F411E43"/>
    <w:rsid w:val="6FE729EA"/>
    <w:rsid w:val="78F47F26"/>
    <w:rsid w:val="7B847616"/>
    <w:rsid w:val="7E106666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outlineLvl w:val="2"/>
    </w:pPr>
    <w:rPr>
      <w:rFonts w:eastAsia="仿宋"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字符"/>
    <w:basedOn w:val="6"/>
    <w:link w:val="2"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2855</Words>
  <Characters>2994</Characters>
  <Lines>0</Lines>
  <Paragraphs>0</Paragraphs>
  <TotalTime>23</TotalTime>
  <ScaleCrop>false</ScaleCrop>
  <LinksUpToDate>false</LinksUpToDate>
  <CharactersWithSpaces>3056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2021-06-16T01:32:00Z</dcterms:created>
  <dc:creator>李剑君</dc:creator>
  <cp:lastModifiedBy>LINHENG</cp:lastModifiedBy>
  <dcterms:modified xsi:type="dcterms:W3CDTF">2022-03-29T09:33:03Z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C038D1C8ABE94DCFB35534F8CE891121</vt:lpwstr>
  </property>
</Properties>
</file>