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sz w:val="32"/>
          <w:szCs w:val="32"/>
        </w:rPr>
      </w:pPr>
    </w:p>
    <w:p>
      <w:pPr>
        <w:jc w:val="center"/>
        <w:rPr>
          <w:rFonts w:ascii="黑体" w:eastAsia="黑体"/>
          <w:sz w:val="48"/>
          <w:szCs w:val="48"/>
        </w:rPr>
      </w:pPr>
      <w:r>
        <w:rPr>
          <w:rFonts w:hint="eastAsia" w:ascii="黑体" w:eastAsia="黑体"/>
          <w:sz w:val="48"/>
          <w:szCs w:val="48"/>
        </w:rPr>
        <w:t>国土空间规划视野下的城市更新单元容积传导理论及政策研究</w:t>
      </w:r>
    </w:p>
    <w:p>
      <w:pPr>
        <w:jc w:val="center"/>
        <w:rPr>
          <w:rFonts w:ascii="黑体" w:eastAsia="黑体"/>
          <w:sz w:val="52"/>
          <w:u w:val="single"/>
        </w:rPr>
      </w:pPr>
      <w:r>
        <w:rPr>
          <w:rFonts w:hint="eastAsia" w:ascii="黑体" w:eastAsia="黑体"/>
          <w:sz w:val="52"/>
          <w:u w:val="single"/>
        </w:rPr>
        <w:t>外协遴选文件</w:t>
      </w:r>
    </w:p>
    <w:p>
      <w:pPr>
        <w:jc w:val="center"/>
        <w:rPr>
          <w:sz w:val="32"/>
        </w:rPr>
      </w:pPr>
    </w:p>
    <w:p>
      <w:pPr>
        <w:jc w:val="center"/>
        <w:rPr>
          <w:sz w:val="32"/>
        </w:rPr>
      </w:pPr>
    </w:p>
    <w:p>
      <w:pPr>
        <w:jc w:val="cente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jc w:val="center"/>
        <w:rPr>
          <w:rFonts w:ascii="黑体" w:eastAsia="黑体"/>
          <w:sz w:val="32"/>
        </w:rPr>
      </w:pPr>
      <w:r>
        <w:rPr>
          <w:rFonts w:hint="eastAsia" w:ascii="黑体" w:eastAsia="黑体"/>
          <w:sz w:val="32"/>
        </w:rPr>
        <w:t>深圳市规划国土发展研究中心</w:t>
      </w:r>
    </w:p>
    <w:p>
      <w:pPr>
        <w:jc w:val="center"/>
        <w:rPr>
          <w:rFonts w:ascii="黑体" w:eastAsia="黑体"/>
          <w:sz w:val="32"/>
        </w:rPr>
      </w:pPr>
      <w:r>
        <w:rPr>
          <w:rFonts w:hint="eastAsia" w:ascii="黑体" w:eastAsia="黑体"/>
          <w:sz w:val="32"/>
        </w:rPr>
        <w:t>（20</w:t>
      </w:r>
      <w:r>
        <w:rPr>
          <w:rFonts w:ascii="黑体" w:eastAsia="黑体"/>
          <w:sz w:val="32"/>
        </w:rPr>
        <w:t>2</w:t>
      </w:r>
      <w:r>
        <w:rPr>
          <w:rFonts w:hint="eastAsia" w:ascii="黑体" w:eastAsia="黑体"/>
          <w:sz w:val="32"/>
        </w:rPr>
        <w:t>2年12月）</w:t>
      </w:r>
    </w:p>
    <w:p>
      <w:pPr>
        <w:jc w:val="left"/>
        <w:rPr>
          <w:rFonts w:ascii="黑体" w:eastAsia="黑体"/>
          <w:sz w:val="32"/>
        </w:rPr>
      </w:pPr>
      <w:r>
        <w:rPr>
          <w:rFonts w:ascii="黑体" w:eastAsia="黑体"/>
          <w:sz w:val="32"/>
        </w:rPr>
        <w:br w:type="page"/>
      </w:r>
      <w:r>
        <w:rPr>
          <w:rFonts w:hint="eastAsia" w:ascii="黑体" w:eastAsia="黑体"/>
          <w:sz w:val="32"/>
        </w:rPr>
        <w:t>一、项目概况</w:t>
      </w:r>
    </w:p>
    <w:p>
      <w:pPr>
        <w:ind w:firstLine="602" w:firstLineChars="200"/>
        <w:rPr>
          <w:rFonts w:ascii="仿宋_GB2312" w:hAnsi="宋体" w:eastAsia="仿宋_GB2312"/>
          <w:b/>
          <w:bCs/>
          <w:sz w:val="30"/>
          <w:szCs w:val="30"/>
        </w:rPr>
      </w:pPr>
      <w:r>
        <w:rPr>
          <w:rFonts w:hint="eastAsia" w:ascii="仿宋_GB2312" w:hAnsi="宋体" w:eastAsia="仿宋_GB2312"/>
          <w:b/>
          <w:bCs/>
          <w:sz w:val="30"/>
          <w:szCs w:val="30"/>
        </w:rPr>
        <w:t>1、项目背景</w:t>
      </w:r>
    </w:p>
    <w:p>
      <w:pPr>
        <w:ind w:firstLine="600" w:firstLineChars="200"/>
        <w:jc w:val="left"/>
        <w:rPr>
          <w:rFonts w:ascii="仿宋_GB2312" w:hAnsi="宋体" w:eastAsia="仿宋_GB2312"/>
          <w:sz w:val="30"/>
          <w:szCs w:val="30"/>
        </w:rPr>
      </w:pPr>
      <w:r>
        <w:rPr>
          <w:rFonts w:hint="eastAsia" w:ascii="仿宋_GB2312" w:hAnsi="宋体" w:eastAsia="仿宋_GB2312"/>
          <w:sz w:val="30"/>
          <w:szCs w:val="30"/>
        </w:rPr>
        <w:t>2019 年 5 月发布的《中共中央国务院关于建立国土空间规划体系并监督实施的若干意见》(以下简称《若干意见》)提出分级分类建立国土空间规划的总体框架，指出国土空间总体规划要统筹和综合平衡各相关专项领域的空间需求。《若干意见》进一步明确“下级国土空间规划要服从上级国土空间规划，相关专项规划、详细规划要服从总体规划”的纵向传导要求。随着我市城市更新工作的推进，探索城市更新单元的指标传导机制，保障其与国土空间规划体系的科学整合，明确各层级规划编什么、管什么，以及它们之间的衔接关系，是制定城市更新指标传导体系的关键。</w:t>
      </w:r>
    </w:p>
    <w:p>
      <w:pPr>
        <w:ind w:firstLine="602" w:firstLineChars="200"/>
        <w:rPr>
          <w:rFonts w:ascii="仿宋_GB2312" w:hAnsi="宋体" w:eastAsia="仿宋_GB2312"/>
          <w:b/>
          <w:bCs/>
          <w:sz w:val="30"/>
          <w:szCs w:val="30"/>
        </w:rPr>
      </w:pPr>
      <w:r>
        <w:rPr>
          <w:rFonts w:hint="eastAsia" w:ascii="仿宋_GB2312" w:hAnsi="宋体" w:eastAsia="仿宋_GB2312"/>
          <w:b/>
          <w:bCs/>
          <w:sz w:val="30"/>
          <w:szCs w:val="30"/>
        </w:rPr>
        <w:t>2、项目必要性</w:t>
      </w:r>
    </w:p>
    <w:p>
      <w:pPr>
        <w:ind w:firstLine="600" w:firstLineChars="200"/>
        <w:jc w:val="left"/>
        <w:rPr>
          <w:rFonts w:ascii="仿宋_GB2312" w:hAnsi="宋体" w:eastAsia="仿宋_GB2312"/>
          <w:sz w:val="30"/>
          <w:szCs w:val="30"/>
        </w:rPr>
      </w:pPr>
      <w:r>
        <w:rPr>
          <w:rFonts w:hint="eastAsia" w:ascii="仿宋_GB2312" w:hAnsi="宋体" w:eastAsia="仿宋_GB2312"/>
          <w:sz w:val="30"/>
          <w:szCs w:val="30"/>
        </w:rPr>
        <w:t>在国土空间规划体系改革的背景下，系统梳理国内外国土空间规划体系构建、指标传导等相关的理论与实践经验，探讨国土空间总体规划传导的难点与传导体系的构建思路，是科学构建城市更新指标传导体系的重要前提。目前相关学术理论多元化、研究观点丰富，同时要指导具体实践，需要综合考虑既有理论研究与本土实践结合的实际问题，而当前少有对城市更新单元指标传导经验进行全面梳理并对其内在形成逻辑进行剖析的成果。</w:t>
      </w:r>
    </w:p>
    <w:p>
      <w:pPr>
        <w:ind w:firstLine="600" w:firstLineChars="200"/>
        <w:jc w:val="left"/>
        <w:rPr>
          <w:rFonts w:ascii="仿宋_GB2312" w:hAnsi="宋体" w:eastAsia="仿宋_GB2312"/>
          <w:sz w:val="30"/>
          <w:szCs w:val="30"/>
        </w:rPr>
      </w:pPr>
      <w:r>
        <w:rPr>
          <w:rFonts w:hint="eastAsia" w:ascii="仿宋_GB2312" w:hAnsi="宋体" w:eastAsia="仿宋_GB2312"/>
          <w:sz w:val="30"/>
          <w:szCs w:val="30"/>
        </w:rPr>
        <w:t>因此，需委托符合要求的科研机构，对于国土空间规划指标传导的相关理论进行收集整理与比较分析，并对其他地区实践中的指标传导问题进行深入剖析，形成支持我市城市更新规划传导需求的专项研究成果，为后续提出具体的更新规划传导提供基础。</w:t>
      </w:r>
    </w:p>
    <w:p>
      <w:pPr>
        <w:ind w:firstLine="602" w:firstLineChars="200"/>
        <w:jc w:val="left"/>
        <w:rPr>
          <w:rFonts w:ascii="仿宋_GB2312" w:hAnsi="宋体" w:eastAsia="仿宋_GB2312"/>
          <w:b/>
          <w:bCs/>
          <w:sz w:val="30"/>
          <w:szCs w:val="30"/>
        </w:rPr>
      </w:pPr>
      <w:r>
        <w:rPr>
          <w:rFonts w:ascii="仿宋_GB2312" w:hAnsi="宋体" w:eastAsia="仿宋_GB2312"/>
          <w:b/>
          <w:bCs/>
          <w:sz w:val="30"/>
          <w:szCs w:val="30"/>
        </w:rPr>
        <w:t>3</w:t>
      </w:r>
      <w:r>
        <w:rPr>
          <w:rFonts w:hint="eastAsia" w:ascii="仿宋_GB2312" w:hAnsi="宋体" w:eastAsia="仿宋_GB2312"/>
          <w:b/>
          <w:bCs/>
          <w:sz w:val="30"/>
          <w:szCs w:val="30"/>
        </w:rPr>
        <w:t>、采购方式</w:t>
      </w:r>
    </w:p>
    <w:p>
      <w:pPr>
        <w:ind w:firstLine="600" w:firstLineChars="200"/>
        <w:jc w:val="left"/>
        <w:rPr>
          <w:rFonts w:ascii="仿宋_GB2312" w:hAnsi="宋体" w:eastAsia="仿宋_GB2312"/>
          <w:sz w:val="30"/>
          <w:szCs w:val="30"/>
        </w:rPr>
      </w:pPr>
      <w:r>
        <w:rPr>
          <w:rFonts w:hint="eastAsia" w:ascii="仿宋_GB2312" w:hAnsi="宋体" w:eastAsia="仿宋_GB2312"/>
          <w:sz w:val="30"/>
          <w:szCs w:val="30"/>
        </w:rPr>
        <w:t>本项目采购方式为公开招标。</w:t>
      </w:r>
    </w:p>
    <w:p>
      <w:pPr>
        <w:ind w:firstLine="602" w:firstLineChars="200"/>
        <w:jc w:val="left"/>
        <w:rPr>
          <w:rFonts w:ascii="仿宋_GB2312" w:hAnsi="宋体" w:eastAsia="仿宋_GB2312"/>
          <w:b/>
          <w:bCs/>
          <w:sz w:val="30"/>
          <w:szCs w:val="30"/>
        </w:rPr>
      </w:pPr>
      <w:r>
        <w:rPr>
          <w:rFonts w:ascii="仿宋_GB2312" w:hAnsi="宋体" w:eastAsia="仿宋_GB2312"/>
          <w:b/>
          <w:bCs/>
          <w:sz w:val="30"/>
          <w:szCs w:val="30"/>
        </w:rPr>
        <w:t>4</w:t>
      </w:r>
      <w:r>
        <w:rPr>
          <w:rFonts w:hint="eastAsia" w:ascii="仿宋_GB2312" w:hAnsi="宋体" w:eastAsia="仿宋_GB2312"/>
          <w:b/>
          <w:bCs/>
          <w:sz w:val="30"/>
          <w:szCs w:val="30"/>
        </w:rPr>
        <w:t>、项目采购预算</w:t>
      </w:r>
    </w:p>
    <w:p>
      <w:pPr>
        <w:ind w:firstLine="600" w:firstLineChars="200"/>
        <w:jc w:val="left"/>
        <w:rPr>
          <w:rFonts w:ascii="仿宋_GB2312" w:hAnsi="宋体" w:eastAsia="仿宋_GB2312"/>
          <w:sz w:val="30"/>
          <w:szCs w:val="30"/>
        </w:rPr>
      </w:pPr>
      <w:r>
        <w:rPr>
          <w:rFonts w:hint="eastAsia" w:ascii="仿宋_GB2312" w:hAnsi="宋体" w:eastAsia="仿宋_GB2312"/>
          <w:sz w:val="30"/>
          <w:szCs w:val="30"/>
        </w:rPr>
        <w:t>本项目预算采购金额在人民币</w:t>
      </w:r>
      <w:r>
        <w:rPr>
          <w:rFonts w:hint="eastAsia" w:ascii="仿宋_GB2312" w:hAnsi="宋体" w:eastAsia="仿宋_GB2312"/>
          <w:sz w:val="30"/>
          <w:szCs w:val="30"/>
          <w:u w:val="single"/>
          <w:lang w:val="en-US" w:eastAsia="zh-CN"/>
        </w:rPr>
        <w:t>199</w:t>
      </w:r>
      <w:bookmarkStart w:id="0" w:name="_GoBack"/>
      <w:bookmarkEnd w:id="0"/>
      <w:r>
        <w:rPr>
          <w:rFonts w:ascii="仿宋_GB2312" w:hAnsi="宋体" w:eastAsia="仿宋_GB2312"/>
          <w:sz w:val="30"/>
          <w:szCs w:val="30"/>
          <w:u w:val="single"/>
        </w:rPr>
        <w:t xml:space="preserve">000 </w:t>
      </w:r>
      <w:r>
        <w:rPr>
          <w:rFonts w:hint="eastAsia" w:ascii="仿宋_GB2312" w:hAnsi="宋体" w:eastAsia="仿宋_GB2312"/>
          <w:sz w:val="30"/>
          <w:szCs w:val="30"/>
          <w:u w:val="single"/>
        </w:rPr>
        <w:t>元</w:t>
      </w:r>
      <w:r>
        <w:rPr>
          <w:rFonts w:hint="eastAsia" w:ascii="仿宋_GB2312" w:hAnsi="宋体" w:eastAsia="仿宋_GB2312"/>
          <w:sz w:val="30"/>
          <w:szCs w:val="30"/>
        </w:rPr>
        <w:t>以内。</w:t>
      </w:r>
    </w:p>
    <w:p>
      <w:pPr>
        <w:jc w:val="left"/>
        <w:rPr>
          <w:rFonts w:ascii="黑体" w:eastAsia="黑体"/>
          <w:sz w:val="32"/>
        </w:rPr>
      </w:pPr>
      <w:r>
        <w:rPr>
          <w:rFonts w:hint="eastAsia" w:ascii="黑体" w:eastAsia="黑体"/>
          <w:sz w:val="32"/>
        </w:rPr>
        <w:t>二、项目基本要求</w:t>
      </w:r>
    </w:p>
    <w:p>
      <w:pPr>
        <w:spacing w:line="480" w:lineRule="auto"/>
        <w:ind w:firstLine="602" w:firstLineChars="200"/>
        <w:jc w:val="left"/>
        <w:rPr>
          <w:rFonts w:ascii="仿宋_GB2312" w:hAnsi="宋体" w:eastAsia="仿宋_GB2312"/>
          <w:b/>
          <w:bCs/>
          <w:sz w:val="30"/>
          <w:szCs w:val="30"/>
        </w:rPr>
      </w:pPr>
      <w:r>
        <w:rPr>
          <w:rFonts w:hint="eastAsia" w:ascii="仿宋_GB2312" w:hAnsi="宋体" w:eastAsia="仿宋_GB2312"/>
          <w:b/>
          <w:bCs/>
          <w:sz w:val="30"/>
          <w:szCs w:val="30"/>
        </w:rPr>
        <w:t>1、工作内容</w:t>
      </w:r>
    </w:p>
    <w:p>
      <w:pPr>
        <w:ind w:firstLine="600" w:firstLineChars="200"/>
        <w:jc w:val="left"/>
        <w:rPr>
          <w:rFonts w:ascii="仿宋_GB2312" w:hAnsi="宋体" w:eastAsia="仿宋_GB2312"/>
          <w:sz w:val="30"/>
          <w:szCs w:val="30"/>
        </w:rPr>
      </w:pPr>
      <w:r>
        <w:rPr>
          <w:rFonts w:hint="eastAsia" w:ascii="仿宋_GB2312" w:hAnsi="宋体" w:eastAsia="仿宋_GB2312"/>
          <w:sz w:val="30"/>
          <w:szCs w:val="30"/>
        </w:rPr>
        <w:t>（1）国土空间规划指标传导相关理论与实践综述</w:t>
      </w:r>
    </w:p>
    <w:p>
      <w:pPr>
        <w:ind w:firstLine="600" w:firstLineChars="200"/>
        <w:jc w:val="left"/>
        <w:rPr>
          <w:rFonts w:ascii="仿宋_GB2312" w:hAnsi="宋体" w:eastAsia="仿宋_GB2312"/>
          <w:sz w:val="30"/>
          <w:szCs w:val="30"/>
        </w:rPr>
      </w:pPr>
      <w:r>
        <w:rPr>
          <w:rFonts w:hint="eastAsia" w:ascii="仿宋_GB2312" w:hAnsi="宋体" w:eastAsia="仿宋_GB2312"/>
          <w:sz w:val="30"/>
          <w:szCs w:val="30"/>
        </w:rPr>
        <w:t>通过文献分析与专家访谈等方式，归纳总结国内现行空间性规划传导体系的相关理论以及发达国家的先进经验；从国土空间规划，特别是对详细规划层面的编制组织、编制内容、层级传导、实施监管等方面内容展开讨论。</w:t>
      </w:r>
    </w:p>
    <w:p>
      <w:pPr>
        <w:ind w:firstLine="600" w:firstLineChars="200"/>
        <w:jc w:val="left"/>
        <w:rPr>
          <w:rFonts w:ascii="仿宋_GB2312" w:hAnsi="宋体" w:eastAsia="仿宋_GB2312"/>
          <w:sz w:val="30"/>
          <w:szCs w:val="30"/>
        </w:rPr>
      </w:pPr>
      <w:r>
        <w:rPr>
          <w:rFonts w:hint="eastAsia" w:ascii="仿宋_GB2312" w:hAnsi="宋体" w:eastAsia="仿宋_GB2312"/>
          <w:sz w:val="30"/>
          <w:szCs w:val="30"/>
        </w:rPr>
        <w:t>（2） 国内外城市更新规划指标传导实践经验总结</w:t>
      </w:r>
    </w:p>
    <w:p>
      <w:pPr>
        <w:ind w:firstLine="600" w:firstLineChars="200"/>
        <w:jc w:val="left"/>
        <w:rPr>
          <w:rFonts w:ascii="仿宋_GB2312" w:hAnsi="宋体" w:eastAsia="仿宋_GB2312"/>
          <w:sz w:val="30"/>
          <w:szCs w:val="30"/>
        </w:rPr>
      </w:pPr>
      <w:r>
        <w:rPr>
          <w:rFonts w:hint="eastAsia" w:ascii="仿宋_GB2312" w:hAnsi="宋体" w:eastAsia="仿宋_GB2312"/>
          <w:sz w:val="30"/>
          <w:szCs w:val="30"/>
        </w:rPr>
        <w:t>结合深圳市城市更新实践中的实际问题，对国内外典型城市的城市更新体系、指标管控内容及管控强度进行对比研究，梳理出指标传导中的侧重点和难点。一方面对其承上启下作用的特殊性和复杂性进行阐述，另一方面对规划编制审批、各层级规划传导、政策法规、实施监管等问题进行剖析。</w:t>
      </w:r>
    </w:p>
    <w:p>
      <w:pPr>
        <w:ind w:firstLine="602" w:firstLineChars="200"/>
        <w:jc w:val="left"/>
        <w:rPr>
          <w:rFonts w:ascii="仿宋_GB2312" w:hAnsi="宋体" w:eastAsia="仿宋_GB2312"/>
          <w:b/>
          <w:sz w:val="30"/>
          <w:szCs w:val="30"/>
        </w:rPr>
      </w:pPr>
      <w:r>
        <w:rPr>
          <w:rFonts w:hint="eastAsia" w:ascii="仿宋_GB2312" w:hAnsi="宋体" w:eastAsia="仿宋_GB2312"/>
          <w:b/>
          <w:sz w:val="30"/>
          <w:szCs w:val="30"/>
        </w:rPr>
        <w:t>2、计划进度</w:t>
      </w:r>
    </w:p>
    <w:p>
      <w:pPr>
        <w:ind w:firstLine="600" w:firstLineChars="200"/>
        <w:jc w:val="left"/>
        <w:rPr>
          <w:rFonts w:ascii="仿宋_GB2312" w:hAnsi="宋体" w:eastAsia="仿宋_GB2312"/>
          <w:sz w:val="30"/>
          <w:szCs w:val="30"/>
        </w:rPr>
      </w:pPr>
      <w:r>
        <w:rPr>
          <w:rFonts w:hint="eastAsia" w:ascii="仿宋_GB2312" w:hAnsi="宋体" w:eastAsia="仿宋_GB2312"/>
          <w:sz w:val="30"/>
          <w:szCs w:val="30"/>
        </w:rPr>
        <w:t>项目开展预计6个月。具体工作进度安排情况如下：</w:t>
      </w:r>
    </w:p>
    <w:p>
      <w:pPr>
        <w:ind w:firstLine="600" w:firstLineChars="200"/>
        <w:jc w:val="left"/>
        <w:rPr>
          <w:rFonts w:ascii="仿宋_GB2312" w:hAnsi="宋体" w:eastAsia="仿宋_GB2312"/>
          <w:sz w:val="30"/>
          <w:szCs w:val="30"/>
        </w:rPr>
      </w:pPr>
      <w:r>
        <w:rPr>
          <w:rFonts w:hint="eastAsia" w:ascii="仿宋_GB2312" w:hAnsi="宋体" w:eastAsia="仿宋_GB2312"/>
          <w:sz w:val="30"/>
          <w:szCs w:val="30"/>
        </w:rPr>
        <w:t>（1）合同签订后1个月内，明确工作思路，制定实施方案，并开展局内外资料收集。收集相关资料，细化研究任务书。</w:t>
      </w:r>
    </w:p>
    <w:p>
      <w:pPr>
        <w:ind w:firstLine="600" w:firstLineChars="200"/>
        <w:jc w:val="left"/>
        <w:rPr>
          <w:rFonts w:ascii="仿宋_GB2312" w:hAnsi="宋体" w:eastAsia="仿宋_GB2312"/>
          <w:sz w:val="30"/>
          <w:szCs w:val="30"/>
        </w:rPr>
      </w:pPr>
      <w:r>
        <w:rPr>
          <w:rFonts w:hint="eastAsia" w:ascii="仿宋_GB2312" w:hAnsi="宋体" w:eastAsia="仿宋_GB2312"/>
          <w:sz w:val="30"/>
          <w:szCs w:val="30"/>
        </w:rPr>
        <w:t>（2）合同签订后3个月内，根据收集的资料，梳理国土空间规划指标传导相关理论与技术要点研究内容并对内容进行沟通与修订。</w:t>
      </w:r>
    </w:p>
    <w:p>
      <w:pPr>
        <w:ind w:firstLine="600" w:firstLineChars="200"/>
        <w:jc w:val="left"/>
        <w:rPr>
          <w:rFonts w:ascii="仿宋_GB2312" w:hAnsi="宋体" w:eastAsia="仿宋_GB2312"/>
          <w:sz w:val="30"/>
          <w:szCs w:val="30"/>
        </w:rPr>
      </w:pPr>
      <w:r>
        <w:rPr>
          <w:rFonts w:hint="eastAsia" w:ascii="仿宋_GB2312" w:hAnsi="宋体" w:eastAsia="仿宋_GB2312"/>
          <w:sz w:val="30"/>
          <w:szCs w:val="30"/>
        </w:rPr>
        <w:t>（4）合同签订后6个月内，完成全部成果，并配合完成主体研究报告的撰写工作。</w:t>
      </w:r>
    </w:p>
    <w:p>
      <w:pPr>
        <w:ind w:firstLine="602" w:firstLineChars="200"/>
        <w:jc w:val="left"/>
        <w:rPr>
          <w:rFonts w:ascii="仿宋_GB2312" w:hAnsi="宋体" w:eastAsia="仿宋_GB2312"/>
          <w:b/>
          <w:sz w:val="30"/>
          <w:szCs w:val="30"/>
        </w:rPr>
      </w:pPr>
      <w:r>
        <w:rPr>
          <w:rFonts w:hint="eastAsia" w:ascii="仿宋_GB2312" w:hAnsi="宋体" w:eastAsia="仿宋_GB2312"/>
          <w:b/>
          <w:sz w:val="30"/>
          <w:szCs w:val="30"/>
        </w:rPr>
        <w:t>3、成果验收方式</w:t>
      </w:r>
    </w:p>
    <w:p>
      <w:pPr>
        <w:ind w:firstLine="600" w:firstLineChars="200"/>
        <w:jc w:val="left"/>
        <w:rPr>
          <w:rFonts w:ascii="仿宋" w:hAnsi="仿宋" w:eastAsia="仿宋" w:cs="黑体"/>
          <w:sz w:val="30"/>
          <w:szCs w:val="30"/>
        </w:rPr>
      </w:pPr>
      <w:r>
        <w:rPr>
          <w:rFonts w:hint="eastAsia" w:ascii="仿宋" w:hAnsi="仿宋" w:eastAsia="仿宋" w:cs="黑体"/>
          <w:sz w:val="30"/>
          <w:szCs w:val="30"/>
        </w:rPr>
        <w:t>对于本项目的重要工作成果，应建立验收制度，确保工作成果的真实性及有效性，经过验收的资料不得轻易更改。具体验收方式为由采购方业务主管部门组织内部技术会验收。</w:t>
      </w:r>
    </w:p>
    <w:p>
      <w:pPr>
        <w:jc w:val="left"/>
        <w:rPr>
          <w:rFonts w:ascii="黑体" w:eastAsia="黑体"/>
          <w:sz w:val="32"/>
        </w:rPr>
      </w:pPr>
      <w:r>
        <w:rPr>
          <w:rFonts w:hint="eastAsia" w:ascii="黑体" w:eastAsia="黑体"/>
          <w:sz w:val="32"/>
        </w:rPr>
        <w:t>三、商务需求</w:t>
      </w:r>
    </w:p>
    <w:p>
      <w:pPr>
        <w:adjustRightInd w:val="0"/>
        <w:snapToGrid w:val="0"/>
        <w:spacing w:line="360" w:lineRule="auto"/>
        <w:ind w:firstLine="602" w:firstLineChars="200"/>
        <w:rPr>
          <w:rFonts w:ascii="仿宋" w:hAnsi="仿宋" w:eastAsia="仿宋" w:cs="仿宋"/>
          <w:b/>
          <w:sz w:val="30"/>
          <w:szCs w:val="30"/>
        </w:rPr>
      </w:pPr>
      <w:r>
        <w:rPr>
          <w:rFonts w:hint="eastAsia" w:ascii="仿宋" w:hAnsi="仿宋" w:eastAsia="仿宋" w:cs="仿宋"/>
          <w:b/>
          <w:sz w:val="30"/>
          <w:szCs w:val="30"/>
        </w:rPr>
        <w:t>1、服务期</w:t>
      </w:r>
    </w:p>
    <w:p>
      <w:pPr>
        <w:adjustRightInd w:val="0"/>
        <w:snapToGrid w:val="0"/>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自签订外协项目合同后6个月内提交成果。</w:t>
      </w:r>
    </w:p>
    <w:p>
      <w:pPr>
        <w:adjustRightInd w:val="0"/>
        <w:snapToGrid w:val="0"/>
        <w:spacing w:line="360" w:lineRule="auto"/>
        <w:ind w:firstLine="602" w:firstLineChars="200"/>
        <w:rPr>
          <w:rFonts w:ascii="仿宋" w:hAnsi="仿宋" w:eastAsia="仿宋" w:cs="仿宋"/>
          <w:b/>
          <w:sz w:val="30"/>
          <w:szCs w:val="30"/>
        </w:rPr>
      </w:pPr>
      <w:r>
        <w:rPr>
          <w:rFonts w:hint="eastAsia" w:ascii="仿宋" w:hAnsi="仿宋" w:eastAsia="仿宋" w:cs="仿宋"/>
          <w:b/>
          <w:sz w:val="30"/>
          <w:szCs w:val="30"/>
        </w:rPr>
        <w:t>2、服务地点</w:t>
      </w:r>
    </w:p>
    <w:p>
      <w:pPr>
        <w:adjustRightInd w:val="0"/>
        <w:snapToGrid w:val="0"/>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本项目服务地点为深圳市。</w:t>
      </w:r>
    </w:p>
    <w:p>
      <w:pPr>
        <w:adjustRightInd w:val="0"/>
        <w:snapToGrid w:val="0"/>
        <w:spacing w:line="360" w:lineRule="auto"/>
        <w:ind w:firstLine="602" w:firstLineChars="200"/>
        <w:rPr>
          <w:rFonts w:ascii="仿宋" w:hAnsi="仿宋" w:eastAsia="仿宋" w:cs="仿宋"/>
          <w:b/>
          <w:sz w:val="30"/>
          <w:szCs w:val="30"/>
        </w:rPr>
      </w:pPr>
      <w:r>
        <w:rPr>
          <w:rFonts w:hint="eastAsia" w:ascii="仿宋" w:hAnsi="仿宋" w:eastAsia="仿宋" w:cs="仿宋"/>
          <w:b/>
          <w:sz w:val="30"/>
          <w:szCs w:val="30"/>
        </w:rPr>
        <w:t>3、报价要求</w:t>
      </w:r>
    </w:p>
    <w:p>
      <w:pPr>
        <w:adjustRightInd w:val="0"/>
        <w:snapToGrid w:val="0"/>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1）本项目服务费采用包干制，应包括服务成本、法定税费和企业的利润。由投标供应商根据采购文件所提供的资料自行测算投标报价；一经中标，报价总价作为中标供应商与采购人签定的合同金额，合同期限内不做调整。</w:t>
      </w:r>
    </w:p>
    <w:p>
      <w:pPr>
        <w:adjustRightInd w:val="0"/>
        <w:snapToGrid w:val="0"/>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（2）投标供应商应当根据本企业的成本自行决定报价，但不得以低于其企业成本的报价投标。</w:t>
      </w:r>
    </w:p>
    <w:p>
      <w:pPr>
        <w:adjustRightInd w:val="0"/>
        <w:snapToGrid w:val="0"/>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（3）投标供应商的报价不得超过项目预算金额。</w:t>
      </w:r>
    </w:p>
    <w:p>
      <w:pPr>
        <w:adjustRightInd w:val="0"/>
        <w:snapToGrid w:val="0"/>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（4）投标供应商的报价，应当是本项目采购范围和采购文件及合同条款上所列的各项内容中所述的全部，不得以任何理由予以重复。</w:t>
      </w:r>
    </w:p>
    <w:p>
      <w:pPr>
        <w:adjustRightInd w:val="0"/>
        <w:snapToGrid w:val="0"/>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5）除非采购人通过修改采购文件予以更正，否则，投标供应商应毫无例外地按响应文件所列的清单中项目和数量填报综合单价和合价。投标供应商未填综合单价或合价的项目，在实施后，将不得以支付，并视作该项费用已包括在其它有价款的综合单价或合价内。</w:t>
      </w:r>
    </w:p>
    <w:p>
      <w:pPr>
        <w:adjustRightInd w:val="0"/>
        <w:snapToGrid w:val="0"/>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6）投标供应商不得期望通过索赔等方式获取补偿，否则，除可能遭到拒绝外，还可能将被作为不良行为记录在案，并可能影响其以后参加政府采购的项目投标。各投标供应商在报价时，应充分考虑报价的风险。</w:t>
      </w:r>
    </w:p>
    <w:p>
      <w:pPr>
        <w:adjustRightInd w:val="0"/>
        <w:snapToGrid w:val="0"/>
        <w:spacing w:line="360" w:lineRule="auto"/>
        <w:ind w:firstLine="602" w:firstLineChars="200"/>
        <w:rPr>
          <w:rFonts w:ascii="仿宋" w:hAnsi="仿宋" w:eastAsia="仿宋" w:cs="仿宋"/>
          <w:b/>
          <w:sz w:val="30"/>
          <w:szCs w:val="30"/>
        </w:rPr>
      </w:pPr>
      <w:r>
        <w:rPr>
          <w:rFonts w:hint="eastAsia" w:ascii="仿宋" w:hAnsi="仿宋" w:eastAsia="仿宋" w:cs="仿宋"/>
          <w:b/>
          <w:sz w:val="30"/>
          <w:szCs w:val="30"/>
        </w:rPr>
        <w:t>4、付款方式</w:t>
      </w:r>
    </w:p>
    <w:p>
      <w:pPr>
        <w:adjustRightInd w:val="0"/>
        <w:snapToGrid w:val="0"/>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项目按合同相关规定进行分期付款：</w:t>
      </w:r>
    </w:p>
    <w:p>
      <w:pPr>
        <w:adjustRightInd w:val="0"/>
        <w:snapToGrid w:val="0"/>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（1）按照合同约定乙方提供初步成果后，根据乙方提出的付款申请，向乙方支付合同总费用的50%；</w:t>
      </w:r>
    </w:p>
    <w:p>
      <w:pPr>
        <w:adjustRightInd w:val="0"/>
        <w:snapToGrid w:val="0"/>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（2）乙方提交全部成果并通过验收后，根据乙方付款申请，向乙方支付合同总费用的50%。</w:t>
      </w:r>
    </w:p>
    <w:p>
      <w:pPr>
        <w:adjustRightInd w:val="0"/>
        <w:snapToGrid w:val="0"/>
        <w:spacing w:line="360" w:lineRule="auto"/>
        <w:ind w:firstLine="602" w:firstLineChars="200"/>
        <w:rPr>
          <w:rFonts w:ascii="仿宋" w:hAnsi="仿宋" w:eastAsia="仿宋" w:cs="仿宋"/>
          <w:b/>
          <w:sz w:val="30"/>
          <w:szCs w:val="30"/>
        </w:rPr>
      </w:pPr>
      <w:r>
        <w:rPr>
          <w:rFonts w:hint="eastAsia" w:ascii="仿宋" w:hAnsi="仿宋" w:eastAsia="仿宋" w:cs="仿宋"/>
          <w:b/>
          <w:sz w:val="30"/>
          <w:szCs w:val="30"/>
        </w:rPr>
        <w:t>5、违约责任</w:t>
      </w:r>
    </w:p>
    <w:p>
      <w:pPr>
        <w:adjustRightInd w:val="0"/>
        <w:snapToGrid w:val="0"/>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由于供应商工作的错误或遗漏造成本项目成果质量损失的，供应商除负责及时采取有效补救措施外，应免收受损失部分的合同价款，并支付合同总价款 5 %的违约金。</w:t>
      </w:r>
    </w:p>
    <w:p>
      <w:pPr>
        <w:adjustRightInd w:val="0"/>
        <w:snapToGrid w:val="0"/>
        <w:spacing w:line="360" w:lineRule="auto"/>
        <w:ind w:firstLine="602" w:firstLineChars="200"/>
        <w:rPr>
          <w:rFonts w:ascii="仿宋" w:hAnsi="仿宋" w:eastAsia="仿宋" w:cs="仿宋"/>
          <w:b/>
          <w:sz w:val="30"/>
          <w:szCs w:val="30"/>
        </w:rPr>
      </w:pPr>
      <w:r>
        <w:rPr>
          <w:rFonts w:hint="eastAsia" w:ascii="仿宋" w:hAnsi="仿宋" w:eastAsia="仿宋" w:cs="仿宋"/>
          <w:b/>
          <w:sz w:val="30"/>
          <w:szCs w:val="30"/>
        </w:rPr>
        <w:t>6、人员配置要求</w:t>
      </w:r>
    </w:p>
    <w:p>
      <w:pPr>
        <w:adjustRightInd w:val="0"/>
        <w:snapToGrid w:val="0"/>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拟派4名有项目实操经验的专案团队协助完成本项目研究工作。其中具有高级职称的不少于1人、中级职称的不少于2人。</w:t>
      </w:r>
    </w:p>
    <w:p>
      <w:pPr>
        <w:adjustRightInd w:val="0"/>
        <w:snapToGrid w:val="0"/>
        <w:spacing w:line="360" w:lineRule="auto"/>
        <w:ind w:firstLine="602" w:firstLineChars="200"/>
        <w:rPr>
          <w:rFonts w:ascii="仿宋" w:hAnsi="仿宋" w:eastAsia="仿宋" w:cs="仿宋"/>
          <w:b/>
          <w:sz w:val="30"/>
          <w:szCs w:val="30"/>
        </w:rPr>
      </w:pPr>
      <w:r>
        <w:rPr>
          <w:rFonts w:hint="eastAsia" w:ascii="仿宋" w:hAnsi="仿宋" w:eastAsia="仿宋" w:cs="仿宋"/>
          <w:b/>
          <w:sz w:val="30"/>
          <w:szCs w:val="30"/>
        </w:rPr>
        <w:t>7、供应商要求</w:t>
      </w:r>
    </w:p>
    <w:p>
      <w:pPr>
        <w:adjustRightInd w:val="0"/>
        <w:snapToGrid w:val="0"/>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（1）投标人须为深圳市政府采购中心注册的供应商，具有独立法人资格（提供营业执照或事业单位法人证书等法人证明扫描件，原件备查）。</w:t>
      </w:r>
    </w:p>
    <w:p>
      <w:pPr>
        <w:adjustRightInd w:val="0"/>
        <w:snapToGrid w:val="0"/>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（2）投标人须按要求签署《政府采购投标及履约承诺函》，须认可我中心采购管理规定涉及的相关规定，且须与我中心签订保密协议。</w:t>
      </w:r>
    </w:p>
    <w:p>
      <w:pPr>
        <w:adjustRightInd w:val="0"/>
        <w:snapToGrid w:val="0"/>
        <w:spacing w:line="360" w:lineRule="auto"/>
        <w:ind w:firstLine="602" w:firstLineChars="200"/>
        <w:rPr>
          <w:rFonts w:ascii="仿宋" w:hAnsi="仿宋" w:eastAsia="仿宋" w:cs="仿宋"/>
          <w:b/>
          <w:sz w:val="30"/>
          <w:szCs w:val="30"/>
        </w:rPr>
      </w:pPr>
      <w:r>
        <w:rPr>
          <w:rFonts w:hint="eastAsia" w:ascii="仿宋" w:hAnsi="仿宋" w:eastAsia="仿宋" w:cs="仿宋"/>
          <w:b/>
          <w:sz w:val="30"/>
          <w:szCs w:val="30"/>
        </w:rPr>
        <w:t>8、投标人需提交的资料</w:t>
      </w:r>
    </w:p>
    <w:p>
      <w:pPr>
        <w:pStyle w:val="15"/>
        <w:numPr>
          <w:ilvl w:val="0"/>
          <w:numId w:val="1"/>
        </w:numPr>
        <w:adjustRightInd w:val="0"/>
        <w:snapToGrid w:val="0"/>
        <w:spacing w:line="360" w:lineRule="auto"/>
        <w:ind w:firstLineChars="0"/>
        <w:rPr>
          <w:rFonts w:ascii="仿宋" w:hAnsi="仿宋" w:eastAsia="仿宋" w:cs="仿宋"/>
          <w:sz w:val="30"/>
          <w:szCs w:val="30"/>
        </w:rPr>
      </w:pPr>
      <w:r>
        <w:rPr>
          <w:rFonts w:hint="eastAsia" w:ascii="仿宋" w:hAnsi="仿宋" w:eastAsia="仿宋" w:cs="仿宋"/>
          <w:sz w:val="30"/>
          <w:szCs w:val="30"/>
        </w:rPr>
        <w:t>营业执照；</w:t>
      </w:r>
    </w:p>
    <w:p>
      <w:pPr>
        <w:pStyle w:val="15"/>
        <w:numPr>
          <w:ilvl w:val="0"/>
          <w:numId w:val="1"/>
        </w:numPr>
        <w:adjustRightInd w:val="0"/>
        <w:snapToGrid w:val="0"/>
        <w:spacing w:line="360" w:lineRule="auto"/>
        <w:ind w:firstLineChars="0"/>
        <w:rPr>
          <w:rFonts w:ascii="仿宋" w:hAnsi="仿宋" w:eastAsia="仿宋" w:cs="仿宋"/>
          <w:sz w:val="30"/>
          <w:szCs w:val="30"/>
        </w:rPr>
      </w:pPr>
      <w:r>
        <w:rPr>
          <w:rFonts w:hint="eastAsia" w:ascii="仿宋" w:hAnsi="仿宋" w:eastAsia="仿宋" w:cs="仿宋"/>
          <w:sz w:val="30"/>
          <w:szCs w:val="30"/>
        </w:rPr>
        <w:t>投标报价明细表；</w:t>
      </w:r>
    </w:p>
    <w:p>
      <w:pPr>
        <w:pStyle w:val="15"/>
        <w:numPr>
          <w:ilvl w:val="0"/>
          <w:numId w:val="1"/>
        </w:numPr>
        <w:adjustRightInd w:val="0"/>
        <w:snapToGrid w:val="0"/>
        <w:spacing w:line="360" w:lineRule="auto"/>
        <w:ind w:firstLineChars="0"/>
        <w:rPr>
          <w:rFonts w:ascii="仿宋" w:hAnsi="仿宋" w:eastAsia="仿宋" w:cs="仿宋"/>
          <w:sz w:val="30"/>
          <w:szCs w:val="30"/>
        </w:rPr>
      </w:pPr>
      <w:r>
        <w:rPr>
          <w:rFonts w:hint="eastAsia" w:ascii="仿宋" w:hAnsi="仿宋" w:eastAsia="仿宋" w:cs="仿宋"/>
          <w:sz w:val="30"/>
          <w:szCs w:val="30"/>
        </w:rPr>
        <w:t>政府采购投标及履约承诺函；</w:t>
      </w:r>
    </w:p>
    <w:p>
      <w:pPr>
        <w:pStyle w:val="15"/>
        <w:numPr>
          <w:ilvl w:val="0"/>
          <w:numId w:val="1"/>
        </w:numPr>
        <w:adjustRightInd w:val="0"/>
        <w:snapToGrid w:val="0"/>
        <w:spacing w:line="360" w:lineRule="auto"/>
        <w:ind w:firstLineChars="0"/>
        <w:rPr>
          <w:rFonts w:ascii="仿宋" w:hAnsi="仿宋" w:eastAsia="仿宋" w:cs="仿宋"/>
          <w:sz w:val="30"/>
          <w:szCs w:val="30"/>
        </w:rPr>
      </w:pPr>
      <w:r>
        <w:rPr>
          <w:rFonts w:hint="eastAsia" w:ascii="仿宋" w:hAnsi="仿宋" w:eastAsia="仿宋" w:cs="仿宋"/>
          <w:sz w:val="30"/>
          <w:szCs w:val="30"/>
        </w:rPr>
        <w:t>供应商认为需要的其他材料；</w:t>
      </w:r>
    </w:p>
    <w:p>
      <w:pPr>
        <w:pStyle w:val="15"/>
        <w:numPr>
          <w:ilvl w:val="0"/>
          <w:numId w:val="1"/>
        </w:numPr>
        <w:adjustRightInd w:val="0"/>
        <w:snapToGrid w:val="0"/>
        <w:spacing w:line="360" w:lineRule="auto"/>
        <w:ind w:firstLineChars="0"/>
        <w:rPr>
          <w:rFonts w:ascii="仿宋" w:hAnsi="仿宋" w:eastAsia="仿宋" w:cs="仿宋"/>
          <w:sz w:val="30"/>
          <w:szCs w:val="30"/>
        </w:rPr>
      </w:pPr>
      <w:r>
        <w:rPr>
          <w:rFonts w:hint="eastAsia" w:ascii="仿宋" w:hAnsi="仿宋" w:eastAsia="仿宋" w:cs="仿宋"/>
          <w:sz w:val="30"/>
          <w:szCs w:val="30"/>
        </w:rPr>
        <w:t>安排人员明细清单及联系方式。</w:t>
      </w:r>
    </w:p>
    <w:p>
      <w:pPr>
        <w:adjustRightInd w:val="0"/>
        <w:snapToGrid w:val="0"/>
        <w:spacing w:line="360" w:lineRule="auto"/>
        <w:ind w:firstLine="602" w:firstLineChars="200"/>
        <w:rPr>
          <w:rFonts w:ascii="仿宋" w:hAnsi="仿宋" w:eastAsia="仿宋" w:cs="仿宋"/>
          <w:b/>
          <w:sz w:val="30"/>
          <w:szCs w:val="30"/>
        </w:rPr>
      </w:pPr>
      <w:r>
        <w:rPr>
          <w:rFonts w:hint="eastAsia" w:ascii="仿宋" w:hAnsi="仿宋" w:eastAsia="仿宋" w:cs="仿宋"/>
          <w:b/>
          <w:sz w:val="30"/>
          <w:szCs w:val="30"/>
        </w:rPr>
        <w:t>9、技术培训要求</w:t>
      </w:r>
    </w:p>
    <w:p>
      <w:pPr>
        <w:adjustRightInd w:val="0"/>
        <w:snapToGrid w:val="0"/>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中标人应按采购人需求，对采购人的相关技术人员进行技术培训，使采购人能全面理解成果内容，确保工作方案的实施。</w:t>
      </w:r>
    </w:p>
    <w:p>
      <w:pPr>
        <w:adjustRightInd w:val="0"/>
        <w:snapToGrid w:val="0"/>
        <w:spacing w:line="360" w:lineRule="auto"/>
        <w:ind w:firstLine="602" w:firstLineChars="200"/>
        <w:rPr>
          <w:rFonts w:ascii="仿宋" w:hAnsi="仿宋" w:eastAsia="仿宋" w:cs="仿宋"/>
          <w:b/>
          <w:sz w:val="30"/>
          <w:szCs w:val="30"/>
        </w:rPr>
      </w:pPr>
      <w:r>
        <w:rPr>
          <w:rFonts w:hint="eastAsia" w:ascii="仿宋" w:hAnsi="仿宋" w:eastAsia="仿宋" w:cs="仿宋"/>
          <w:b/>
          <w:sz w:val="30"/>
          <w:szCs w:val="30"/>
        </w:rPr>
        <w:t>10、售后服务内容、要求和期限</w:t>
      </w:r>
    </w:p>
    <w:p>
      <w:pPr>
        <w:adjustRightInd w:val="0"/>
        <w:snapToGrid w:val="0"/>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（1）售后服务期限从最后成果提交采购人之日起一年。</w:t>
      </w:r>
    </w:p>
    <w:p>
      <w:pPr>
        <w:adjustRightInd w:val="0"/>
        <w:snapToGrid w:val="0"/>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（2）在售后服务期限内提供相关咨询、协调、项目审查和报告更新等技术支持。</w:t>
      </w:r>
    </w:p>
    <w:p>
      <w:pPr>
        <w:adjustRightInd w:val="0"/>
        <w:snapToGrid w:val="0"/>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（3）安排专人负责售后技术支持，并提供其联系手机、电话、传真、email；如人员需要调整应及时通知采购人。</w:t>
      </w:r>
    </w:p>
    <w:p>
      <w:pPr>
        <w:pStyle w:val="4"/>
        <w:ind w:firstLine="0"/>
        <w:rPr>
          <w:rFonts w:ascii="黑体" w:eastAsia="黑体"/>
          <w:sz w:val="32"/>
        </w:rPr>
      </w:pPr>
      <w:r>
        <w:rPr>
          <w:rFonts w:hint="eastAsia" w:ascii="黑体" w:eastAsia="黑体"/>
          <w:sz w:val="32"/>
        </w:rPr>
        <w:t>三、投标材料要求</w:t>
      </w:r>
    </w:p>
    <w:p>
      <w:pPr>
        <w:ind w:firstLine="602" w:firstLineChars="200"/>
        <w:jc w:val="left"/>
        <w:rPr>
          <w:rFonts w:ascii="仿宋_GB2312" w:hAnsi="宋体" w:eastAsia="仿宋_GB2312"/>
          <w:b/>
          <w:bCs/>
          <w:sz w:val="30"/>
          <w:szCs w:val="30"/>
        </w:rPr>
      </w:pPr>
      <w:r>
        <w:rPr>
          <w:rFonts w:hint="eastAsia" w:ascii="仿宋_GB2312" w:hAnsi="宋体" w:eastAsia="仿宋_GB2312"/>
          <w:b/>
          <w:bCs/>
          <w:sz w:val="30"/>
          <w:szCs w:val="30"/>
        </w:rPr>
        <w:t>1、标书基本格式</w:t>
      </w:r>
    </w:p>
    <w:p>
      <w:pPr>
        <w:pStyle w:val="4"/>
        <w:ind w:firstLine="301" w:firstLineChars="100"/>
        <w:rPr>
          <w:rFonts w:ascii="仿宋_GB2312" w:hAnsi="宋体" w:eastAsia="仿宋_GB2312"/>
          <w:b/>
          <w:sz w:val="30"/>
          <w:szCs w:val="30"/>
        </w:rPr>
      </w:pPr>
      <w:r>
        <w:rPr>
          <w:rFonts w:hint="eastAsia" w:ascii="仿宋_GB2312" w:hAnsi="宋体" w:eastAsia="仿宋_GB2312"/>
          <w:b/>
          <w:sz w:val="30"/>
          <w:szCs w:val="30"/>
        </w:rPr>
        <w:t>第一部分  资信证明（所有复印件需加盖公章）</w:t>
      </w:r>
    </w:p>
    <w:p>
      <w:pPr>
        <w:pStyle w:val="4"/>
        <w:ind w:firstLine="536" w:firstLineChars="122"/>
        <w:rPr>
          <w:rFonts w:ascii="仿宋_GB2312" w:hAnsi="宋体" w:eastAsia="仿宋_GB2312"/>
          <w:sz w:val="30"/>
          <w:szCs w:val="30"/>
        </w:rPr>
      </w:pPr>
      <w:r>
        <w:rPr>
          <w:rFonts w:hint="eastAsia" w:ascii="仿宋_GB2312" w:hAnsi="仿宋_GB2312" w:eastAsia="仿宋_GB2312"/>
          <w:sz w:val="44"/>
          <w:szCs w:val="44"/>
        </w:rPr>
        <w:t>*</w:t>
      </w:r>
      <w:r>
        <w:rPr>
          <w:rFonts w:hint="eastAsia" w:ascii="仿宋_GB2312" w:hAnsi="宋体" w:eastAsia="仿宋_GB2312"/>
          <w:sz w:val="30"/>
          <w:szCs w:val="30"/>
        </w:rPr>
        <w:t>1 企业法人授权书（法人、被授权人身份证）</w:t>
      </w:r>
    </w:p>
    <w:p>
      <w:pPr>
        <w:pStyle w:val="4"/>
        <w:ind w:firstLine="536" w:firstLineChars="122"/>
        <w:rPr>
          <w:rFonts w:ascii="仿宋_GB2312" w:hAnsi="宋体" w:eastAsia="仿宋_GB2312"/>
          <w:sz w:val="30"/>
          <w:szCs w:val="30"/>
        </w:rPr>
      </w:pPr>
      <w:r>
        <w:rPr>
          <w:rFonts w:hint="eastAsia" w:ascii="仿宋_GB2312" w:hAnsi="仿宋_GB2312" w:eastAsia="仿宋_GB2312"/>
          <w:sz w:val="44"/>
          <w:szCs w:val="44"/>
        </w:rPr>
        <w:t>*</w:t>
      </w:r>
      <w:r>
        <w:rPr>
          <w:rFonts w:hint="eastAsia" w:ascii="仿宋_GB2312" w:hAnsi="宋体" w:eastAsia="仿宋_GB2312"/>
          <w:sz w:val="30"/>
          <w:szCs w:val="30"/>
        </w:rPr>
        <w:t>2 企业营业执照（或事业单位法人证书）</w:t>
      </w:r>
    </w:p>
    <w:p>
      <w:pPr>
        <w:pStyle w:val="4"/>
        <w:ind w:firstLine="536" w:firstLineChars="122"/>
        <w:rPr>
          <w:rFonts w:ascii="仿宋_GB2312" w:hAnsi="宋体" w:eastAsia="仿宋_GB2312"/>
          <w:sz w:val="30"/>
          <w:szCs w:val="30"/>
        </w:rPr>
      </w:pPr>
      <w:r>
        <w:rPr>
          <w:rFonts w:hint="eastAsia" w:ascii="仿宋_GB2312" w:hAnsi="仿宋_GB2312" w:eastAsia="仿宋_GB2312"/>
          <w:sz w:val="44"/>
          <w:szCs w:val="44"/>
        </w:rPr>
        <w:t>*</w:t>
      </w:r>
      <w:r>
        <w:rPr>
          <w:rFonts w:hint="eastAsia" w:ascii="仿宋_GB2312" w:hAnsi="宋体" w:eastAsia="仿宋_GB2312"/>
          <w:sz w:val="30"/>
          <w:szCs w:val="30"/>
        </w:rPr>
        <w:t>3 企业代码证（或事业单位法人证书）</w:t>
      </w:r>
    </w:p>
    <w:p>
      <w:pPr>
        <w:pStyle w:val="4"/>
        <w:ind w:firstLine="516" w:firstLineChars="172"/>
        <w:rPr>
          <w:rFonts w:ascii="仿宋_GB2312" w:hAnsi="宋体" w:eastAsia="仿宋_GB2312"/>
          <w:sz w:val="30"/>
          <w:szCs w:val="30"/>
        </w:rPr>
      </w:pPr>
      <w:r>
        <w:rPr>
          <w:rFonts w:hint="eastAsia" w:ascii="仿宋_GB2312" w:hAnsi="宋体" w:eastAsia="仿宋_GB2312"/>
          <w:sz w:val="30"/>
          <w:szCs w:val="30"/>
        </w:rPr>
        <w:t>4 行业资质证明</w:t>
      </w:r>
    </w:p>
    <w:p>
      <w:pPr>
        <w:pStyle w:val="4"/>
        <w:ind w:firstLineChars="180"/>
        <w:rPr>
          <w:rFonts w:ascii="仿宋_GB2312" w:hAnsi="宋体" w:eastAsia="仿宋_GB2312"/>
          <w:sz w:val="30"/>
          <w:szCs w:val="30"/>
        </w:rPr>
      </w:pPr>
      <w:r>
        <w:rPr>
          <w:rFonts w:hint="eastAsia" w:ascii="仿宋_GB2312" w:hAnsi="宋体" w:eastAsia="仿宋_GB2312"/>
          <w:sz w:val="30"/>
          <w:szCs w:val="30"/>
        </w:rPr>
        <w:t>5 其它（如质量保证体系等证明）</w:t>
      </w:r>
    </w:p>
    <w:p>
      <w:pPr>
        <w:pStyle w:val="4"/>
        <w:ind w:firstLine="301" w:firstLineChars="100"/>
        <w:rPr>
          <w:rFonts w:ascii="仿宋_GB2312" w:hAnsi="宋体" w:eastAsia="仿宋_GB2312"/>
          <w:b/>
          <w:sz w:val="30"/>
          <w:szCs w:val="30"/>
        </w:rPr>
      </w:pPr>
      <w:r>
        <w:rPr>
          <w:rFonts w:hint="eastAsia" w:ascii="仿宋_GB2312" w:hAnsi="宋体" w:eastAsia="仿宋_GB2312"/>
          <w:b/>
          <w:sz w:val="30"/>
          <w:szCs w:val="30"/>
        </w:rPr>
        <w:t>第二部分 参评材料</w:t>
      </w:r>
    </w:p>
    <w:p>
      <w:pPr>
        <w:pStyle w:val="4"/>
        <w:ind w:firstLine="602" w:firstLineChars="200"/>
        <w:rPr>
          <w:rFonts w:ascii="仿宋_GB2312" w:hAnsi="宋体" w:eastAsia="仿宋_GB2312"/>
          <w:b/>
          <w:sz w:val="30"/>
          <w:szCs w:val="30"/>
        </w:rPr>
      </w:pPr>
      <w:r>
        <w:rPr>
          <w:rFonts w:hint="eastAsia" w:ascii="仿宋_GB2312" w:hAnsi="宋体" w:eastAsia="仿宋_GB2312"/>
          <w:b/>
          <w:sz w:val="30"/>
          <w:szCs w:val="30"/>
        </w:rPr>
        <w:t>一、企业情况简介</w:t>
      </w:r>
    </w:p>
    <w:p>
      <w:pPr>
        <w:pStyle w:val="4"/>
        <w:ind w:firstLine="536" w:firstLineChars="122"/>
        <w:rPr>
          <w:rFonts w:ascii="仿宋_GB2312" w:hAnsi="宋体" w:eastAsia="仿宋_GB2312"/>
          <w:sz w:val="30"/>
          <w:szCs w:val="30"/>
        </w:rPr>
      </w:pPr>
      <w:r>
        <w:rPr>
          <w:rFonts w:hint="eastAsia" w:ascii="仿宋_GB2312" w:hAnsi="仿宋_GB2312" w:eastAsia="仿宋_GB2312"/>
          <w:sz w:val="44"/>
          <w:szCs w:val="44"/>
        </w:rPr>
        <w:t>*</w:t>
      </w:r>
      <w:r>
        <w:rPr>
          <w:rFonts w:hint="eastAsia" w:ascii="仿宋_GB2312" w:hAnsi="宋体" w:eastAsia="仿宋_GB2312"/>
          <w:sz w:val="30"/>
          <w:szCs w:val="30"/>
        </w:rPr>
        <w:t>1企业概况</w:t>
      </w:r>
    </w:p>
    <w:p>
      <w:pPr>
        <w:pStyle w:val="4"/>
        <w:ind w:firstLine="536" w:firstLineChars="122"/>
        <w:rPr>
          <w:rFonts w:ascii="仿宋_GB2312" w:hAnsi="宋体" w:eastAsia="仿宋_GB2312"/>
          <w:sz w:val="30"/>
          <w:szCs w:val="30"/>
        </w:rPr>
      </w:pPr>
      <w:r>
        <w:rPr>
          <w:rFonts w:hint="eastAsia" w:ascii="仿宋_GB2312" w:hAnsi="仿宋_GB2312" w:eastAsia="仿宋_GB2312"/>
          <w:sz w:val="44"/>
          <w:szCs w:val="44"/>
        </w:rPr>
        <w:t>*</w:t>
      </w:r>
      <w:r>
        <w:rPr>
          <w:rFonts w:hint="eastAsia" w:ascii="仿宋_GB2312" w:hAnsi="宋体" w:eastAsia="仿宋_GB2312"/>
          <w:sz w:val="30"/>
          <w:szCs w:val="30"/>
        </w:rPr>
        <w:t>2注册经营主要业务方向</w:t>
      </w:r>
    </w:p>
    <w:p>
      <w:pPr>
        <w:pStyle w:val="4"/>
        <w:ind w:firstLine="536" w:firstLineChars="122"/>
        <w:rPr>
          <w:rFonts w:ascii="仿宋_GB2312" w:hAnsi="宋体" w:eastAsia="仿宋_GB2312"/>
          <w:sz w:val="30"/>
          <w:szCs w:val="30"/>
        </w:rPr>
      </w:pPr>
      <w:r>
        <w:rPr>
          <w:rFonts w:hint="eastAsia" w:ascii="仿宋_GB2312" w:hAnsi="仿宋_GB2312" w:eastAsia="仿宋_GB2312"/>
          <w:sz w:val="44"/>
          <w:szCs w:val="44"/>
        </w:rPr>
        <w:t>*</w:t>
      </w:r>
      <w:r>
        <w:rPr>
          <w:rFonts w:hint="eastAsia" w:ascii="仿宋_GB2312" w:hAnsi="宋体" w:eastAsia="仿宋_GB2312"/>
          <w:sz w:val="30"/>
          <w:szCs w:val="30"/>
        </w:rPr>
        <w:t>3技术人员配备情况</w:t>
      </w:r>
    </w:p>
    <w:p>
      <w:pPr>
        <w:pStyle w:val="4"/>
        <w:ind w:firstLine="536" w:firstLineChars="122"/>
        <w:rPr>
          <w:rFonts w:ascii="仿宋_GB2312" w:hAnsi="宋体" w:eastAsia="仿宋_GB2312"/>
          <w:sz w:val="30"/>
          <w:szCs w:val="30"/>
        </w:rPr>
      </w:pPr>
      <w:r>
        <w:rPr>
          <w:rFonts w:hint="eastAsia" w:ascii="仿宋_GB2312" w:hAnsi="仿宋_GB2312" w:eastAsia="仿宋_GB2312"/>
          <w:sz w:val="44"/>
          <w:szCs w:val="44"/>
        </w:rPr>
        <w:t>*</w:t>
      </w:r>
      <w:r>
        <w:rPr>
          <w:rFonts w:hint="eastAsia" w:ascii="仿宋_GB2312" w:hAnsi="宋体" w:eastAsia="仿宋_GB2312"/>
          <w:sz w:val="30"/>
          <w:szCs w:val="30"/>
        </w:rPr>
        <w:t>4办公设施装备情况</w:t>
      </w:r>
      <w:r>
        <w:rPr>
          <w:rFonts w:ascii="仿宋_GB2312" w:hAnsi="宋体" w:eastAsia="仿宋_GB2312"/>
          <w:sz w:val="30"/>
          <w:szCs w:val="30"/>
        </w:rPr>
        <w:t xml:space="preserve"> </w:t>
      </w:r>
    </w:p>
    <w:p>
      <w:pPr>
        <w:pStyle w:val="4"/>
        <w:ind w:firstLine="536" w:firstLineChars="122"/>
        <w:rPr>
          <w:rFonts w:ascii="仿宋_GB2312" w:hAnsi="宋体" w:eastAsia="仿宋_GB2312"/>
          <w:sz w:val="30"/>
          <w:szCs w:val="30"/>
        </w:rPr>
      </w:pPr>
      <w:r>
        <w:rPr>
          <w:rFonts w:hint="eastAsia" w:ascii="仿宋_GB2312" w:hAnsi="仿宋_GB2312" w:eastAsia="仿宋_GB2312"/>
          <w:sz w:val="44"/>
          <w:szCs w:val="44"/>
        </w:rPr>
        <w:t>*</w:t>
      </w:r>
      <w:r>
        <w:rPr>
          <w:rFonts w:ascii="仿宋_GB2312" w:hAnsi="宋体" w:eastAsia="仿宋_GB2312"/>
          <w:sz w:val="30"/>
          <w:szCs w:val="30"/>
        </w:rPr>
        <w:t>5</w:t>
      </w:r>
      <w:r>
        <w:rPr>
          <w:rFonts w:hint="eastAsia" w:ascii="仿宋_GB2312" w:hAnsi="宋体" w:eastAsia="仿宋_GB2312"/>
          <w:sz w:val="30"/>
          <w:szCs w:val="30"/>
        </w:rPr>
        <w:t>成果案例介绍</w:t>
      </w:r>
    </w:p>
    <w:p>
      <w:pPr>
        <w:pStyle w:val="4"/>
        <w:ind w:firstLineChars="180"/>
        <w:rPr>
          <w:rFonts w:ascii="仿宋_GB2312" w:hAnsi="宋体" w:eastAsia="仿宋_GB2312"/>
          <w:sz w:val="30"/>
          <w:szCs w:val="30"/>
        </w:rPr>
      </w:pPr>
      <w:r>
        <w:rPr>
          <w:rFonts w:ascii="仿宋_GB2312" w:hAnsi="宋体" w:eastAsia="仿宋_GB2312"/>
          <w:sz w:val="30"/>
          <w:szCs w:val="30"/>
        </w:rPr>
        <w:t>6</w:t>
      </w:r>
      <w:r>
        <w:rPr>
          <w:rFonts w:hint="eastAsia" w:ascii="仿宋_GB2312" w:hAnsi="宋体" w:eastAsia="仿宋_GB2312"/>
          <w:sz w:val="30"/>
          <w:szCs w:val="30"/>
        </w:rPr>
        <w:t>其它</w:t>
      </w:r>
    </w:p>
    <w:p>
      <w:pPr>
        <w:pStyle w:val="4"/>
        <w:ind w:firstLine="602" w:firstLineChars="200"/>
        <w:rPr>
          <w:rFonts w:ascii="仿宋_GB2312" w:hAnsi="宋体" w:eastAsia="仿宋_GB2312"/>
          <w:b/>
          <w:sz w:val="30"/>
          <w:szCs w:val="30"/>
        </w:rPr>
      </w:pPr>
      <w:r>
        <w:rPr>
          <w:rFonts w:hint="eastAsia" w:ascii="仿宋_GB2312" w:hAnsi="宋体" w:eastAsia="仿宋_GB2312"/>
          <w:b/>
          <w:sz w:val="30"/>
          <w:szCs w:val="30"/>
        </w:rPr>
        <w:t>二、项目开展工作大纲</w:t>
      </w:r>
    </w:p>
    <w:p>
      <w:pPr>
        <w:pStyle w:val="4"/>
        <w:ind w:firstLine="536" w:firstLineChars="122"/>
        <w:rPr>
          <w:rFonts w:ascii="仿宋_GB2312" w:hAnsi="仿宋_GB2312" w:eastAsia="仿宋_GB2312"/>
          <w:sz w:val="44"/>
          <w:szCs w:val="44"/>
        </w:rPr>
      </w:pPr>
      <w:r>
        <w:rPr>
          <w:rFonts w:hint="eastAsia" w:ascii="仿宋_GB2312" w:hAnsi="仿宋_GB2312" w:eastAsia="仿宋_GB2312"/>
          <w:sz w:val="44"/>
          <w:szCs w:val="44"/>
        </w:rPr>
        <w:t>*</w:t>
      </w:r>
      <w:r>
        <w:rPr>
          <w:rFonts w:hint="eastAsia" w:ascii="仿宋_GB2312" w:hAnsi="宋体" w:eastAsia="仿宋_GB2312"/>
          <w:sz w:val="30"/>
          <w:szCs w:val="30"/>
        </w:rPr>
        <w:t>1 工作内容</w:t>
      </w:r>
    </w:p>
    <w:p>
      <w:pPr>
        <w:pStyle w:val="4"/>
        <w:ind w:firstLine="536" w:firstLineChars="122"/>
        <w:rPr>
          <w:rFonts w:ascii="仿宋_GB2312" w:hAnsi="宋体" w:eastAsia="仿宋_GB2312"/>
          <w:sz w:val="30"/>
          <w:szCs w:val="30"/>
        </w:rPr>
      </w:pPr>
      <w:r>
        <w:rPr>
          <w:rFonts w:hint="eastAsia" w:ascii="仿宋_GB2312" w:hAnsi="仿宋_GB2312" w:eastAsia="仿宋_GB2312"/>
          <w:sz w:val="44"/>
          <w:szCs w:val="44"/>
        </w:rPr>
        <w:t>*</w:t>
      </w:r>
      <w:r>
        <w:rPr>
          <w:rFonts w:hint="eastAsia" w:ascii="仿宋_GB2312" w:hAnsi="宋体" w:eastAsia="仿宋_GB2312"/>
          <w:sz w:val="30"/>
          <w:szCs w:val="30"/>
        </w:rPr>
        <w:t>2 工作进度</w:t>
      </w:r>
    </w:p>
    <w:p>
      <w:pPr>
        <w:pStyle w:val="4"/>
        <w:rPr>
          <w:rFonts w:ascii="仿宋_GB2312" w:hAnsi="宋体" w:eastAsia="仿宋_GB2312"/>
          <w:sz w:val="30"/>
          <w:szCs w:val="30"/>
        </w:rPr>
      </w:pPr>
      <w:r>
        <w:rPr>
          <w:rFonts w:hint="eastAsia" w:ascii="仿宋_GB2312" w:hAnsi="仿宋_GB2312" w:eastAsia="仿宋_GB2312"/>
          <w:sz w:val="44"/>
          <w:szCs w:val="44"/>
        </w:rPr>
        <w:t>*</w:t>
      </w:r>
      <w:r>
        <w:rPr>
          <w:rFonts w:hint="eastAsia" w:ascii="仿宋_GB2312" w:hAnsi="宋体" w:eastAsia="仿宋_GB2312"/>
          <w:sz w:val="30"/>
          <w:szCs w:val="30"/>
        </w:rPr>
        <w:t>3工作思路</w:t>
      </w:r>
    </w:p>
    <w:p>
      <w:pPr>
        <w:pStyle w:val="4"/>
        <w:rPr>
          <w:rFonts w:ascii="仿宋_GB2312" w:hAnsi="宋体" w:eastAsia="仿宋_GB2312"/>
          <w:sz w:val="30"/>
          <w:szCs w:val="30"/>
        </w:rPr>
      </w:pPr>
      <w:r>
        <w:rPr>
          <w:rFonts w:hint="eastAsia" w:ascii="仿宋_GB2312" w:hAnsi="仿宋_GB2312" w:eastAsia="仿宋_GB2312"/>
          <w:sz w:val="44"/>
          <w:szCs w:val="44"/>
        </w:rPr>
        <w:t>*</w:t>
      </w:r>
      <w:r>
        <w:rPr>
          <w:rFonts w:hint="eastAsia" w:ascii="仿宋_GB2312" w:hAnsi="宋体" w:eastAsia="仿宋_GB2312"/>
          <w:sz w:val="30"/>
          <w:szCs w:val="30"/>
        </w:rPr>
        <w:t>4实施措施</w:t>
      </w:r>
    </w:p>
    <w:p>
      <w:pPr>
        <w:pStyle w:val="4"/>
        <w:rPr>
          <w:rFonts w:ascii="仿宋_GB2312" w:hAnsi="宋体" w:eastAsia="仿宋_GB2312"/>
          <w:sz w:val="30"/>
          <w:szCs w:val="30"/>
        </w:rPr>
      </w:pPr>
      <w:r>
        <w:rPr>
          <w:rFonts w:hint="eastAsia" w:ascii="仿宋_GB2312" w:hAnsi="仿宋_GB2312" w:eastAsia="仿宋_GB2312"/>
          <w:sz w:val="44"/>
          <w:szCs w:val="44"/>
        </w:rPr>
        <w:t>*</w:t>
      </w:r>
      <w:r>
        <w:rPr>
          <w:rFonts w:hint="eastAsia" w:ascii="仿宋_GB2312" w:hAnsi="宋体" w:eastAsia="仿宋_GB2312"/>
          <w:sz w:val="30"/>
          <w:szCs w:val="30"/>
        </w:rPr>
        <w:t>5人员配置</w:t>
      </w:r>
    </w:p>
    <w:p>
      <w:pPr>
        <w:pStyle w:val="4"/>
        <w:rPr>
          <w:rFonts w:ascii="仿宋_GB2312" w:hAnsi="宋体" w:eastAsia="仿宋_GB2312"/>
          <w:sz w:val="30"/>
          <w:szCs w:val="30"/>
        </w:rPr>
      </w:pPr>
      <w:r>
        <w:rPr>
          <w:rFonts w:hint="eastAsia" w:ascii="仿宋_GB2312" w:hAnsi="仿宋_GB2312" w:eastAsia="仿宋_GB2312"/>
          <w:sz w:val="44"/>
          <w:szCs w:val="44"/>
        </w:rPr>
        <w:t>*</w:t>
      </w:r>
      <w:r>
        <w:rPr>
          <w:rFonts w:hint="eastAsia" w:ascii="仿宋_GB2312" w:hAnsi="宋体" w:eastAsia="仿宋_GB2312"/>
          <w:sz w:val="30"/>
          <w:szCs w:val="30"/>
        </w:rPr>
        <w:t>6计费标准</w:t>
      </w:r>
    </w:p>
    <w:p>
      <w:pPr>
        <w:pStyle w:val="4"/>
        <w:rPr>
          <w:rFonts w:ascii="仿宋_GB2312" w:hAnsi="宋体" w:eastAsia="仿宋_GB2312"/>
          <w:sz w:val="30"/>
          <w:szCs w:val="30"/>
        </w:rPr>
      </w:pPr>
      <w:r>
        <w:rPr>
          <w:rFonts w:hint="eastAsia" w:ascii="仿宋_GB2312" w:hAnsi="仿宋_GB2312" w:eastAsia="仿宋_GB2312"/>
          <w:sz w:val="44"/>
          <w:szCs w:val="44"/>
        </w:rPr>
        <w:t>*</w:t>
      </w:r>
      <w:r>
        <w:rPr>
          <w:rFonts w:hint="eastAsia" w:ascii="仿宋_GB2312" w:hAnsi="宋体" w:eastAsia="仿宋_GB2312"/>
          <w:sz w:val="30"/>
          <w:szCs w:val="30"/>
        </w:rPr>
        <w:t>7质量保障措施</w:t>
      </w:r>
    </w:p>
    <w:p>
      <w:pPr>
        <w:pStyle w:val="4"/>
        <w:ind w:firstLineChars="180"/>
        <w:rPr>
          <w:rFonts w:ascii="仿宋_GB2312" w:hAnsi="宋体" w:eastAsia="仿宋_GB2312"/>
          <w:sz w:val="30"/>
          <w:szCs w:val="30"/>
        </w:rPr>
      </w:pPr>
      <w:r>
        <w:rPr>
          <w:rFonts w:hint="eastAsia" w:ascii="仿宋_GB2312" w:hAnsi="宋体" w:eastAsia="仿宋_GB2312"/>
          <w:sz w:val="30"/>
          <w:szCs w:val="30"/>
        </w:rPr>
        <w:t>8其它</w:t>
      </w:r>
    </w:p>
    <w:p>
      <w:pPr>
        <w:pStyle w:val="4"/>
        <w:ind w:firstLine="600"/>
        <w:rPr>
          <w:rFonts w:ascii="仿宋_GB2312" w:hAnsi="宋体" w:eastAsia="仿宋_GB2312"/>
          <w:sz w:val="30"/>
          <w:szCs w:val="30"/>
        </w:rPr>
      </w:pPr>
      <w:r>
        <w:rPr>
          <w:rFonts w:hint="eastAsia" w:ascii="仿宋_GB2312" w:hAnsi="宋体" w:eastAsia="仿宋_GB2312"/>
          <w:sz w:val="30"/>
          <w:szCs w:val="30"/>
        </w:rPr>
        <w:t>注：*为必须提供材料项。</w:t>
      </w:r>
    </w:p>
    <w:p>
      <w:pPr>
        <w:ind w:firstLine="602" w:firstLineChars="200"/>
        <w:jc w:val="left"/>
        <w:rPr>
          <w:rFonts w:ascii="仿宋_GB2312" w:hAnsi="宋体" w:eastAsia="仿宋_GB2312"/>
          <w:b/>
          <w:bCs/>
          <w:sz w:val="30"/>
          <w:szCs w:val="30"/>
        </w:rPr>
      </w:pPr>
      <w:r>
        <w:rPr>
          <w:rFonts w:hint="eastAsia" w:ascii="仿宋_GB2312" w:hAnsi="宋体" w:eastAsia="仿宋_GB2312"/>
          <w:b/>
          <w:bCs/>
          <w:sz w:val="30"/>
          <w:szCs w:val="30"/>
        </w:rPr>
        <w:t>2、提供材料要求</w:t>
      </w:r>
    </w:p>
    <w:p>
      <w:pPr>
        <w:pStyle w:val="4"/>
        <w:numPr>
          <w:ilvl w:val="0"/>
          <w:numId w:val="2"/>
        </w:numPr>
        <w:rPr>
          <w:rFonts w:ascii="仿宋_GB2312" w:hAnsi="宋体" w:eastAsia="仿宋_GB2312"/>
          <w:sz w:val="30"/>
          <w:szCs w:val="30"/>
        </w:rPr>
      </w:pPr>
      <w:r>
        <w:rPr>
          <w:rFonts w:hint="eastAsia" w:ascii="仿宋_GB2312" w:hAnsi="宋体" w:eastAsia="仿宋_GB2312"/>
          <w:sz w:val="30"/>
          <w:szCs w:val="30"/>
        </w:rPr>
        <w:t>参评企业授权代表需准备下列投标文件</w:t>
      </w:r>
      <w:r>
        <w:rPr>
          <w:rFonts w:hint="eastAsia" w:ascii="仿宋_GB2312" w:hAnsi="宋体" w:eastAsia="仿宋_GB2312"/>
          <w:b/>
          <w:sz w:val="30"/>
          <w:szCs w:val="30"/>
          <w:u w:val="single"/>
        </w:rPr>
        <w:t>（分开密封）</w:t>
      </w:r>
      <w:r>
        <w:rPr>
          <w:rFonts w:hint="eastAsia" w:ascii="仿宋_GB2312" w:hAnsi="宋体" w:eastAsia="仿宋_GB2312"/>
          <w:sz w:val="30"/>
          <w:szCs w:val="30"/>
        </w:rPr>
        <w:t>：</w:t>
      </w:r>
    </w:p>
    <w:p>
      <w:pPr>
        <w:pStyle w:val="4"/>
        <w:ind w:firstLine="640"/>
        <w:rPr>
          <w:rFonts w:ascii="仿宋_GB2312" w:hAnsi="宋体" w:eastAsia="仿宋_GB2312"/>
          <w:sz w:val="30"/>
          <w:szCs w:val="30"/>
        </w:rPr>
      </w:pPr>
      <w:r>
        <w:rPr>
          <w:rFonts w:hint="eastAsia" w:ascii="仿宋_GB2312" w:hAnsi="宋体" w:eastAsia="仿宋_GB2312"/>
          <w:sz w:val="30"/>
          <w:szCs w:val="30"/>
        </w:rPr>
        <w:t>第一部分 资信材料：一份。</w:t>
      </w:r>
    </w:p>
    <w:p>
      <w:pPr>
        <w:pStyle w:val="4"/>
        <w:ind w:firstLine="640"/>
        <w:rPr>
          <w:rFonts w:ascii="仿宋_GB2312" w:hAnsi="宋体" w:eastAsia="仿宋_GB2312"/>
          <w:sz w:val="30"/>
          <w:szCs w:val="30"/>
        </w:rPr>
      </w:pPr>
      <w:r>
        <w:rPr>
          <w:rFonts w:hint="eastAsia" w:ascii="仿宋_GB2312" w:hAnsi="宋体" w:eastAsia="仿宋_GB2312"/>
          <w:sz w:val="30"/>
          <w:szCs w:val="30"/>
        </w:rPr>
        <w:t>第二部分 参评材料：一式</w:t>
      </w:r>
      <w:r>
        <w:rPr>
          <w:rFonts w:ascii="仿宋_GB2312" w:hAnsi="宋体" w:eastAsia="仿宋_GB2312"/>
          <w:sz w:val="30"/>
          <w:szCs w:val="30"/>
          <w:u w:val="single"/>
        </w:rPr>
        <w:t>10</w:t>
      </w:r>
      <w:r>
        <w:rPr>
          <w:rFonts w:hint="eastAsia" w:ascii="仿宋_GB2312" w:hAnsi="宋体" w:eastAsia="仿宋_GB2312"/>
          <w:sz w:val="30"/>
          <w:szCs w:val="30"/>
        </w:rPr>
        <w:t>份（一份正本</w:t>
      </w:r>
      <w:r>
        <w:rPr>
          <w:rFonts w:ascii="仿宋_GB2312" w:hAnsi="宋体" w:eastAsia="仿宋_GB2312"/>
          <w:sz w:val="30"/>
          <w:szCs w:val="30"/>
          <w:u w:val="single"/>
        </w:rPr>
        <w:t>9</w:t>
      </w:r>
      <w:r>
        <w:rPr>
          <w:rFonts w:hint="eastAsia" w:ascii="仿宋_GB2312" w:hAnsi="宋体" w:eastAsia="仿宋_GB2312"/>
          <w:sz w:val="30"/>
          <w:szCs w:val="30"/>
        </w:rPr>
        <w:t>份副本）。</w:t>
      </w:r>
    </w:p>
    <w:p>
      <w:pPr>
        <w:pStyle w:val="4"/>
        <w:ind w:firstLine="640"/>
        <w:rPr>
          <w:rFonts w:ascii="仿宋_GB2312" w:hAnsi="宋体" w:eastAsia="仿宋_GB2312"/>
          <w:sz w:val="30"/>
          <w:szCs w:val="30"/>
        </w:rPr>
      </w:pPr>
      <w:r>
        <w:rPr>
          <w:rFonts w:hint="eastAsia" w:ascii="仿宋_GB2312" w:hAnsi="宋体" w:eastAsia="仿宋_GB2312"/>
          <w:sz w:val="30"/>
          <w:szCs w:val="30"/>
        </w:rPr>
        <w:t>投标文件必须经法人代表或授权代表签字并加盖企业公章，第一、第二部分材料分别包装，且以密封形式提交。</w:t>
      </w:r>
    </w:p>
    <w:p>
      <w:pPr>
        <w:pStyle w:val="4"/>
        <w:numPr>
          <w:ilvl w:val="0"/>
          <w:numId w:val="2"/>
        </w:numPr>
        <w:rPr>
          <w:rFonts w:ascii="仿宋_GB2312" w:hAnsi="宋体" w:eastAsia="仿宋_GB2312"/>
          <w:sz w:val="30"/>
          <w:szCs w:val="30"/>
        </w:rPr>
      </w:pPr>
      <w:r>
        <w:rPr>
          <w:rFonts w:hint="eastAsia" w:ascii="仿宋_GB2312" w:hAnsi="宋体" w:eastAsia="仿宋_GB2312"/>
          <w:sz w:val="30"/>
          <w:szCs w:val="30"/>
        </w:rPr>
        <w:t>投标文件均须应用A4或A3幅面的纸张打印。</w:t>
      </w:r>
    </w:p>
    <w:p>
      <w:pPr>
        <w:pStyle w:val="4"/>
        <w:numPr>
          <w:ilvl w:val="0"/>
          <w:numId w:val="2"/>
        </w:numPr>
        <w:rPr>
          <w:rFonts w:ascii="仿宋_GB2312" w:hAnsi="宋体" w:eastAsia="仿宋_GB2312"/>
          <w:sz w:val="30"/>
          <w:szCs w:val="30"/>
        </w:rPr>
      </w:pPr>
      <w:r>
        <w:rPr>
          <w:rFonts w:hint="eastAsia" w:ascii="仿宋_GB2312" w:hAnsi="宋体" w:eastAsia="仿宋_GB2312"/>
          <w:sz w:val="30"/>
          <w:szCs w:val="30"/>
        </w:rPr>
        <w:t>投标文件外包装按委托单位提供的统一格式（详见附件）。</w:t>
      </w:r>
    </w:p>
    <w:p>
      <w:pPr>
        <w:pStyle w:val="4"/>
        <w:numPr>
          <w:ilvl w:val="0"/>
          <w:numId w:val="3"/>
        </w:numPr>
        <w:rPr>
          <w:rFonts w:ascii="仿宋_GB2312" w:hAnsi="宋体" w:eastAsia="仿宋_GB2312"/>
          <w:b/>
          <w:sz w:val="32"/>
          <w:szCs w:val="32"/>
        </w:rPr>
      </w:pPr>
      <w:r>
        <w:rPr>
          <w:rFonts w:hint="eastAsia" w:ascii="黑体" w:eastAsia="黑体"/>
          <w:sz w:val="32"/>
        </w:rPr>
        <w:t>参评须知</w:t>
      </w:r>
    </w:p>
    <w:p>
      <w:pPr>
        <w:pStyle w:val="4"/>
        <w:ind w:firstLine="0"/>
        <w:rPr>
          <w:rFonts w:ascii="仿宋_GB2312" w:hAnsi="宋体" w:eastAsia="仿宋_GB2312"/>
          <w:b/>
          <w:sz w:val="30"/>
          <w:szCs w:val="30"/>
        </w:rPr>
      </w:pPr>
      <w:r>
        <w:rPr>
          <w:rFonts w:ascii="仿宋_GB2312" w:hAnsi="宋体" w:eastAsia="仿宋_GB2312"/>
          <w:b/>
          <w:sz w:val="30"/>
          <w:szCs w:val="30"/>
        </w:rPr>
        <w:t>1</w:t>
      </w:r>
      <w:r>
        <w:rPr>
          <w:rFonts w:hint="eastAsia" w:ascii="仿宋_GB2312" w:hAnsi="宋体" w:eastAsia="仿宋_GB2312"/>
          <w:b/>
          <w:sz w:val="30"/>
          <w:szCs w:val="30"/>
        </w:rPr>
        <w:t>、鉴于项目特点，本项目公开招标采用</w:t>
      </w:r>
      <w:r>
        <w:rPr>
          <w:rFonts w:hint="eastAsia" w:ascii="仿宋_GB2312" w:hAnsi="宋体" w:eastAsia="仿宋_GB2312"/>
          <w:b/>
          <w:sz w:val="30"/>
          <w:szCs w:val="30"/>
          <w:u w:val="single"/>
        </w:rPr>
        <w:t>综合评分法。</w:t>
      </w:r>
      <w:r>
        <w:rPr>
          <w:rFonts w:hint="eastAsia" w:ascii="仿宋_GB2312" w:hAnsi="宋体" w:eastAsia="仿宋_GB2312"/>
          <w:b/>
          <w:sz w:val="30"/>
          <w:szCs w:val="30"/>
        </w:rPr>
        <w:t>价格分采用低价优先法计算，即通过资格性符合性审查且投标价格最低的投标报价为评标基准价，其价格分为满分。其他投标人的价格分统一按照下列公式计算：投标报价得分=(评标基准价／投标报价)×100%×价格分权重。</w:t>
      </w:r>
    </w:p>
    <w:p>
      <w:pPr>
        <w:ind w:firstLine="602" w:firstLineChars="200"/>
        <w:jc w:val="left"/>
        <w:rPr>
          <w:rFonts w:ascii="仿宋_GB2312" w:eastAsia="仿宋_GB2312"/>
          <w:bCs/>
          <w:sz w:val="30"/>
          <w:szCs w:val="30"/>
        </w:rPr>
      </w:pPr>
      <w:r>
        <w:rPr>
          <w:rFonts w:hint="eastAsia" w:ascii="仿宋_GB2312" w:hAnsi="宋体" w:eastAsia="仿宋_GB2312"/>
          <w:b/>
          <w:sz w:val="30"/>
          <w:szCs w:val="30"/>
        </w:rPr>
        <w:t xml:space="preserve">评标各项分值及评分方式、评分准则如下： </w:t>
      </w:r>
    </w:p>
    <w:tbl>
      <w:tblPr>
        <w:tblStyle w:val="10"/>
        <w:tblW w:w="92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1"/>
        <w:gridCol w:w="427"/>
        <w:gridCol w:w="2409"/>
        <w:gridCol w:w="431"/>
        <w:gridCol w:w="54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6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
                <w:b/>
                <w:szCs w:val="21"/>
              </w:rPr>
            </w:pPr>
            <w:r>
              <w:rPr>
                <w:rFonts w:hint="eastAsia" w:ascii="宋体" w:hAnsi="宋体" w:cs="仿宋"/>
                <w:b/>
                <w:szCs w:val="21"/>
              </w:rPr>
              <w:t>序号</w:t>
            </w:r>
          </w:p>
        </w:tc>
        <w:tc>
          <w:tcPr>
            <w:tcW w:w="3267"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
                <w:b/>
                <w:szCs w:val="21"/>
              </w:rPr>
            </w:pPr>
            <w:r>
              <w:rPr>
                <w:rFonts w:hint="eastAsia" w:ascii="宋体" w:hAnsi="宋体" w:cs="仿宋"/>
                <w:b/>
                <w:szCs w:val="21"/>
              </w:rPr>
              <w:t>评分项</w:t>
            </w:r>
          </w:p>
        </w:tc>
        <w:tc>
          <w:tcPr>
            <w:tcW w:w="545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
                <w:b/>
                <w:szCs w:val="21"/>
              </w:rPr>
            </w:pPr>
            <w:r>
              <w:rPr>
                <w:rFonts w:hint="eastAsia" w:ascii="宋体" w:hAnsi="宋体" w:cs="仿宋"/>
                <w:b/>
                <w:szCs w:val="21"/>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vMerge w:val="restart"/>
            <w:tcBorders>
              <w:top w:val="single" w:color="auto" w:sz="4" w:space="0"/>
              <w:left w:val="single" w:color="auto" w:sz="4" w:space="0"/>
              <w:right w:val="single" w:color="auto" w:sz="4" w:space="0"/>
            </w:tcBorders>
          </w:tcPr>
          <w:p>
            <w:pPr>
              <w:ind w:left="-418" w:leftChars="-199" w:firstLine="417" w:firstLineChars="198"/>
              <w:jc w:val="center"/>
              <w:rPr>
                <w:rFonts w:ascii="宋体" w:hAnsi="宋体" w:cs="仿宋"/>
                <w:b/>
                <w:szCs w:val="21"/>
              </w:rPr>
            </w:pPr>
            <w:r>
              <w:rPr>
                <w:rFonts w:hint="eastAsia" w:ascii="宋体" w:hAnsi="宋体" w:cs="仿宋"/>
                <w:b/>
                <w:szCs w:val="21"/>
              </w:rPr>
              <w:t>1</w:t>
            </w:r>
          </w:p>
        </w:tc>
        <w:tc>
          <w:tcPr>
            <w:tcW w:w="3267"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
                <w:b/>
                <w:szCs w:val="21"/>
              </w:rPr>
            </w:pPr>
            <w:r>
              <w:rPr>
                <w:rFonts w:hint="eastAsia" w:ascii="宋体" w:hAnsi="宋体" w:cs="仿宋"/>
                <w:b/>
                <w:szCs w:val="21"/>
              </w:rPr>
              <w:t>价格部分</w:t>
            </w:r>
          </w:p>
        </w:tc>
        <w:tc>
          <w:tcPr>
            <w:tcW w:w="545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
                <w:b/>
                <w:szCs w:val="21"/>
              </w:rPr>
            </w:pPr>
            <w:r>
              <w:rPr>
                <w:rFonts w:hint="eastAsia" w:ascii="宋体" w:hAnsi="宋体" w:cs="仿宋"/>
                <w:b/>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jc w:val="center"/>
        </w:trPr>
        <w:tc>
          <w:tcPr>
            <w:tcW w:w="561" w:type="dxa"/>
            <w:vMerge w:val="continue"/>
            <w:tcBorders>
              <w:left w:val="single" w:color="auto" w:sz="4" w:space="0"/>
              <w:bottom w:val="single" w:color="auto" w:sz="4" w:space="0"/>
              <w:right w:val="single" w:color="auto" w:sz="4" w:space="0"/>
            </w:tcBorders>
          </w:tcPr>
          <w:p>
            <w:pPr>
              <w:jc w:val="center"/>
              <w:rPr>
                <w:rFonts w:ascii="宋体" w:hAnsi="宋体" w:cs="仿宋"/>
                <w:szCs w:val="21"/>
              </w:rPr>
            </w:pPr>
          </w:p>
        </w:tc>
        <w:tc>
          <w:tcPr>
            <w:tcW w:w="8724" w:type="dxa"/>
            <w:gridSpan w:val="4"/>
            <w:tcBorders>
              <w:top w:val="single" w:color="auto" w:sz="4" w:space="0"/>
              <w:left w:val="single" w:color="auto" w:sz="4" w:space="0"/>
              <w:bottom w:val="single" w:color="auto" w:sz="4" w:space="0"/>
              <w:right w:val="single" w:color="auto" w:sz="4" w:space="0"/>
            </w:tcBorders>
            <w:vAlign w:val="center"/>
          </w:tcPr>
          <w:p>
            <w:pPr>
              <w:widowControl/>
              <w:textAlignment w:val="center"/>
              <w:rPr>
                <w:rFonts w:ascii="宋体" w:hAnsi="宋体" w:cs="仿宋"/>
                <w:szCs w:val="21"/>
              </w:rPr>
            </w:pPr>
            <w:r>
              <w:rPr>
                <w:rFonts w:hint="eastAsia" w:ascii="宋体" w:hAnsi="宋体" w:cs="仿宋"/>
                <w:kern w:val="0"/>
                <w:szCs w:val="21"/>
              </w:rPr>
              <w:t>综合评分法中的价格分统一采用低价优先法计算,即满足招标文件要求且投标价格最低的投标报价为评标基准价,其价格分为满分。其他投标人的价格分统一按照下列公式计算：投标报价得分=(评标基准价/投标报价)×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vMerge w:val="restart"/>
            <w:tcBorders>
              <w:top w:val="single" w:color="auto" w:sz="4" w:space="0"/>
              <w:left w:val="single" w:color="auto" w:sz="4" w:space="0"/>
              <w:right w:val="single" w:color="auto" w:sz="4" w:space="0"/>
            </w:tcBorders>
          </w:tcPr>
          <w:p>
            <w:pPr>
              <w:jc w:val="center"/>
              <w:rPr>
                <w:rFonts w:ascii="宋体" w:hAnsi="宋体" w:cs="仿宋"/>
                <w:b/>
                <w:szCs w:val="21"/>
              </w:rPr>
            </w:pPr>
            <w:r>
              <w:rPr>
                <w:rFonts w:hint="eastAsia" w:ascii="宋体" w:hAnsi="宋体" w:cs="仿宋"/>
                <w:b/>
                <w:szCs w:val="21"/>
              </w:rPr>
              <w:t>2</w:t>
            </w:r>
          </w:p>
        </w:tc>
        <w:tc>
          <w:tcPr>
            <w:tcW w:w="3267"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
                <w:b/>
                <w:szCs w:val="21"/>
              </w:rPr>
            </w:pPr>
            <w:r>
              <w:rPr>
                <w:rFonts w:hint="eastAsia" w:ascii="宋体" w:hAnsi="宋体" w:cs="仿宋"/>
                <w:b/>
                <w:szCs w:val="21"/>
              </w:rPr>
              <w:t>技术部分</w:t>
            </w:r>
          </w:p>
        </w:tc>
        <w:tc>
          <w:tcPr>
            <w:tcW w:w="545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
                <w:b/>
                <w:szCs w:val="21"/>
              </w:rPr>
            </w:pPr>
            <w:r>
              <w:rPr>
                <w:rFonts w:hint="eastAsia" w:ascii="宋体" w:hAnsi="宋体" w:cs="仿宋"/>
                <w:b/>
                <w:szCs w:val="21"/>
              </w:rPr>
              <w:t>4</w:t>
            </w:r>
            <w:r>
              <w:rPr>
                <w:rFonts w:ascii="宋体" w:hAnsi="宋体" w:cs="仿宋"/>
                <w:b/>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61" w:type="dxa"/>
            <w:vMerge w:val="continue"/>
            <w:tcBorders>
              <w:left w:val="single" w:color="auto" w:sz="4" w:space="0"/>
              <w:right w:val="single" w:color="auto" w:sz="4" w:space="0"/>
            </w:tcBorders>
          </w:tcPr>
          <w:p>
            <w:pPr>
              <w:jc w:val="center"/>
              <w:rPr>
                <w:rFonts w:ascii="宋体" w:hAnsi="宋体" w:cs="仿宋"/>
                <w:b/>
                <w:szCs w:val="21"/>
              </w:rPr>
            </w:pPr>
          </w:p>
        </w:tc>
        <w:tc>
          <w:tcPr>
            <w:tcW w:w="42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
                <w:szCs w:val="21"/>
              </w:rPr>
            </w:pPr>
            <w:r>
              <w:rPr>
                <w:rFonts w:hint="eastAsia" w:ascii="宋体" w:hAnsi="宋体" w:cs="仿宋"/>
                <w:szCs w:val="21"/>
              </w:rPr>
              <w:t>行号</w:t>
            </w:r>
          </w:p>
        </w:tc>
        <w:tc>
          <w:tcPr>
            <w:tcW w:w="24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
                <w:szCs w:val="21"/>
              </w:rPr>
            </w:pPr>
            <w:r>
              <w:rPr>
                <w:rFonts w:hint="eastAsia" w:ascii="宋体" w:hAnsi="宋体" w:cs="仿宋"/>
                <w:szCs w:val="21"/>
              </w:rPr>
              <w:t>内容</w:t>
            </w:r>
          </w:p>
        </w:tc>
        <w:tc>
          <w:tcPr>
            <w:tcW w:w="43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
                <w:szCs w:val="21"/>
              </w:rPr>
            </w:pPr>
            <w:r>
              <w:rPr>
                <w:rFonts w:hint="eastAsia" w:ascii="宋体" w:hAnsi="宋体" w:cs="仿宋"/>
                <w:szCs w:val="21"/>
              </w:rPr>
              <w:t>权重</w:t>
            </w:r>
          </w:p>
        </w:tc>
        <w:tc>
          <w:tcPr>
            <w:tcW w:w="545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
                <w:szCs w:val="21"/>
              </w:rPr>
            </w:pPr>
            <w:r>
              <w:rPr>
                <w:rFonts w:hint="eastAsia" w:ascii="宋体" w:hAnsi="宋体" w:cs="仿宋"/>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561" w:type="dxa"/>
            <w:vMerge w:val="continue"/>
            <w:tcBorders>
              <w:left w:val="single" w:color="auto" w:sz="4" w:space="0"/>
              <w:right w:val="single" w:color="auto" w:sz="4" w:space="0"/>
            </w:tcBorders>
            <w:vAlign w:val="center"/>
          </w:tcPr>
          <w:p>
            <w:pPr>
              <w:widowControl/>
              <w:jc w:val="left"/>
              <w:rPr>
                <w:rFonts w:ascii="宋体" w:hAnsi="宋体" w:cs="仿宋"/>
                <w:szCs w:val="21"/>
              </w:rPr>
            </w:pPr>
          </w:p>
        </w:tc>
        <w:tc>
          <w:tcPr>
            <w:tcW w:w="42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
                <w:szCs w:val="21"/>
              </w:rPr>
            </w:pPr>
            <w:r>
              <w:rPr>
                <w:rFonts w:hint="eastAsia" w:ascii="宋体" w:hAnsi="宋体" w:cs="仿宋"/>
                <w:szCs w:val="21"/>
              </w:rPr>
              <w:t>1</w:t>
            </w:r>
          </w:p>
        </w:tc>
        <w:tc>
          <w:tcPr>
            <w:tcW w:w="24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Cs w:val="21"/>
              </w:rPr>
            </w:pPr>
            <w:r>
              <w:rPr>
                <w:rFonts w:hint="eastAsia" w:ascii="宋体" w:hAnsi="宋体"/>
                <w:szCs w:val="21"/>
              </w:rPr>
              <w:t>实施方案</w:t>
            </w:r>
          </w:p>
        </w:tc>
        <w:tc>
          <w:tcPr>
            <w:tcW w:w="431" w:type="dxa"/>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szCs w:val="21"/>
              </w:rPr>
            </w:pPr>
            <w:r>
              <w:rPr>
                <w:rFonts w:ascii="宋体" w:hAnsi="宋体"/>
                <w:szCs w:val="21"/>
              </w:rPr>
              <w:t>30</w:t>
            </w:r>
          </w:p>
        </w:tc>
        <w:tc>
          <w:tcPr>
            <w:tcW w:w="5457" w:type="dxa"/>
            <w:tcBorders>
              <w:top w:val="single" w:color="auto" w:sz="4" w:space="0"/>
              <w:left w:val="single" w:color="auto" w:sz="4" w:space="0"/>
              <w:bottom w:val="single" w:color="auto" w:sz="4" w:space="0"/>
              <w:right w:val="single" w:color="auto" w:sz="4" w:space="0"/>
            </w:tcBorders>
          </w:tcPr>
          <w:p>
            <w:pPr>
              <w:adjustRightInd w:val="0"/>
              <w:snapToGrid w:val="0"/>
              <w:jc w:val="left"/>
              <w:rPr>
                <w:rFonts w:ascii="宋体" w:hAnsi="宋体"/>
                <w:szCs w:val="21"/>
              </w:rPr>
            </w:pPr>
            <w:r>
              <w:rPr>
                <w:rFonts w:hint="eastAsia" w:ascii="宋体" w:hAnsi="宋体"/>
                <w:szCs w:val="21"/>
              </w:rPr>
              <w:t>评审内容：</w:t>
            </w:r>
          </w:p>
          <w:p>
            <w:pPr>
              <w:numPr>
                <w:ilvl w:val="0"/>
                <w:numId w:val="4"/>
              </w:numPr>
              <w:adjustRightInd w:val="0"/>
              <w:snapToGrid w:val="0"/>
              <w:jc w:val="left"/>
              <w:rPr>
                <w:rFonts w:ascii="楷体" w:hAnsi="楷体" w:eastAsia="楷体"/>
                <w:szCs w:val="21"/>
              </w:rPr>
            </w:pPr>
            <w:r>
              <w:rPr>
                <w:rFonts w:hint="eastAsia" w:ascii="楷体" w:hAnsi="楷体" w:eastAsia="楷体"/>
                <w:szCs w:val="21"/>
              </w:rPr>
              <w:t xml:space="preserve">实施方案内容全面；（2）实施方案内容具体；（3）实施方案内容针对性强；（4）实施方案内容科学合理；（5）实施方案内容可操作性强。 </w:t>
            </w:r>
          </w:p>
          <w:p>
            <w:pPr>
              <w:adjustRightInd w:val="0"/>
              <w:snapToGrid w:val="0"/>
              <w:jc w:val="left"/>
              <w:rPr>
                <w:rFonts w:ascii="楷体" w:hAnsi="楷体" w:eastAsia="楷体"/>
                <w:szCs w:val="21"/>
              </w:rPr>
            </w:pPr>
            <w:r>
              <w:rPr>
                <w:rFonts w:hint="eastAsia" w:ascii="宋体" w:hAnsi="宋体"/>
                <w:szCs w:val="21"/>
              </w:rPr>
              <w:t xml:space="preserve">横向比较，分档评分： </w:t>
            </w:r>
          </w:p>
          <w:p>
            <w:pPr>
              <w:adjustRightInd w:val="0"/>
              <w:snapToGrid w:val="0"/>
              <w:jc w:val="left"/>
              <w:rPr>
                <w:rFonts w:ascii="宋体" w:hAnsi="宋体"/>
                <w:szCs w:val="21"/>
              </w:rPr>
            </w:pPr>
            <w:r>
              <w:rPr>
                <w:rFonts w:hint="eastAsia" w:ascii="楷体" w:hAnsi="楷体" w:eastAsia="楷体"/>
                <w:szCs w:val="21"/>
              </w:rPr>
              <w:t>满足以上五项要求得100分，满足以上四项要求得80分，满足以上三项要求得60分，满足以上两项得30分，其它情况不得分。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561" w:type="dxa"/>
            <w:vMerge w:val="continue"/>
            <w:tcBorders>
              <w:left w:val="single" w:color="auto" w:sz="4" w:space="0"/>
              <w:right w:val="single" w:color="auto" w:sz="4" w:space="0"/>
            </w:tcBorders>
            <w:vAlign w:val="center"/>
          </w:tcPr>
          <w:p>
            <w:pPr>
              <w:widowControl/>
              <w:jc w:val="left"/>
              <w:rPr>
                <w:rFonts w:ascii="宋体" w:hAnsi="宋体" w:cs="仿宋"/>
                <w:szCs w:val="21"/>
              </w:rPr>
            </w:pPr>
          </w:p>
        </w:tc>
        <w:tc>
          <w:tcPr>
            <w:tcW w:w="42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
                <w:szCs w:val="21"/>
              </w:rPr>
            </w:pPr>
            <w:r>
              <w:rPr>
                <w:rFonts w:ascii="宋体" w:hAnsi="宋体" w:cs="仿宋"/>
                <w:szCs w:val="21"/>
              </w:rPr>
              <w:t>2</w:t>
            </w:r>
          </w:p>
        </w:tc>
        <w:tc>
          <w:tcPr>
            <w:tcW w:w="24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Cs w:val="21"/>
              </w:rPr>
            </w:pPr>
            <w:r>
              <w:rPr>
                <w:rFonts w:hint="eastAsia" w:ascii="宋体" w:hAnsi="宋体"/>
                <w:szCs w:val="21"/>
              </w:rPr>
              <w:t>项目完成（服务期满）后的服务承诺</w:t>
            </w:r>
          </w:p>
        </w:tc>
        <w:tc>
          <w:tcPr>
            <w:tcW w:w="431" w:type="dxa"/>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szCs w:val="21"/>
              </w:rPr>
            </w:pPr>
            <w:r>
              <w:rPr>
                <w:rFonts w:hint="eastAsia" w:ascii="宋体" w:hAnsi="宋体"/>
                <w:szCs w:val="21"/>
              </w:rPr>
              <w:t>1</w:t>
            </w:r>
            <w:r>
              <w:rPr>
                <w:rFonts w:ascii="宋体" w:hAnsi="宋体"/>
                <w:szCs w:val="21"/>
              </w:rPr>
              <w:t>0</w:t>
            </w:r>
          </w:p>
        </w:tc>
        <w:tc>
          <w:tcPr>
            <w:tcW w:w="5457" w:type="dxa"/>
            <w:tcBorders>
              <w:top w:val="single" w:color="auto" w:sz="4" w:space="0"/>
              <w:left w:val="single" w:color="auto" w:sz="4" w:space="0"/>
              <w:bottom w:val="single" w:color="auto" w:sz="4" w:space="0"/>
              <w:right w:val="single" w:color="auto" w:sz="4" w:space="0"/>
            </w:tcBorders>
          </w:tcPr>
          <w:p>
            <w:pPr>
              <w:adjustRightInd w:val="0"/>
              <w:snapToGrid w:val="0"/>
              <w:jc w:val="left"/>
              <w:rPr>
                <w:rFonts w:ascii="宋体" w:hAnsi="宋体"/>
                <w:szCs w:val="21"/>
              </w:rPr>
            </w:pPr>
            <w:r>
              <w:rPr>
                <w:rFonts w:hint="eastAsia" w:ascii="宋体" w:hAnsi="宋体"/>
                <w:szCs w:val="21"/>
              </w:rPr>
              <w:t xml:space="preserve">评审内容： </w:t>
            </w:r>
          </w:p>
          <w:p>
            <w:pPr>
              <w:numPr>
                <w:ilvl w:val="0"/>
                <w:numId w:val="5"/>
              </w:numPr>
              <w:adjustRightInd w:val="0"/>
              <w:snapToGrid w:val="0"/>
              <w:jc w:val="left"/>
              <w:rPr>
                <w:rFonts w:ascii="楷体" w:hAnsi="楷体" w:eastAsia="楷体"/>
                <w:szCs w:val="21"/>
              </w:rPr>
            </w:pPr>
            <w:r>
              <w:rPr>
                <w:rFonts w:hint="eastAsia" w:ascii="楷体" w:hAnsi="楷体" w:eastAsia="楷体"/>
                <w:szCs w:val="21"/>
              </w:rPr>
              <w:t>服务承诺内容全面；（2）服务承诺内容具体；（3）服务承诺内容科学合理；（4）服务承诺内容针对性强；（5）服务承诺内容可操作性强。</w:t>
            </w:r>
          </w:p>
          <w:p>
            <w:pPr>
              <w:adjustRightInd w:val="0"/>
              <w:snapToGrid w:val="0"/>
              <w:rPr>
                <w:rFonts w:ascii="楷体" w:hAnsi="楷体" w:eastAsia="楷体"/>
                <w:szCs w:val="21"/>
              </w:rPr>
            </w:pPr>
            <w:r>
              <w:rPr>
                <w:rFonts w:hint="eastAsia" w:ascii="宋体" w:hAnsi="宋体"/>
                <w:szCs w:val="21"/>
              </w:rPr>
              <w:t>横向比较，分档评分：</w:t>
            </w:r>
          </w:p>
          <w:p>
            <w:pPr>
              <w:adjustRightInd w:val="0"/>
              <w:snapToGrid w:val="0"/>
              <w:jc w:val="left"/>
              <w:rPr>
                <w:rFonts w:ascii="宋体" w:hAnsi="宋体"/>
                <w:szCs w:val="21"/>
              </w:rPr>
            </w:pPr>
            <w:r>
              <w:rPr>
                <w:rFonts w:hint="eastAsia" w:ascii="楷体" w:hAnsi="楷体" w:eastAsia="楷体"/>
                <w:szCs w:val="21"/>
              </w:rPr>
              <w:t>满足以上五项要求得100分，满足以上四项要求得80分，满足以上三项要求得60分，满足以上两项得30分，其它情况不得分。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vMerge w:val="restart"/>
            <w:tcBorders>
              <w:top w:val="single" w:color="auto" w:sz="4" w:space="0"/>
              <w:left w:val="single" w:color="auto" w:sz="4" w:space="0"/>
              <w:right w:val="single" w:color="auto" w:sz="4" w:space="0"/>
            </w:tcBorders>
          </w:tcPr>
          <w:p>
            <w:pPr>
              <w:jc w:val="center"/>
              <w:rPr>
                <w:rFonts w:ascii="宋体" w:hAnsi="宋体" w:cs="仿宋"/>
                <w:b/>
                <w:szCs w:val="21"/>
              </w:rPr>
            </w:pPr>
            <w:r>
              <w:rPr>
                <w:rFonts w:hint="eastAsia" w:ascii="宋体" w:hAnsi="宋体" w:cs="仿宋"/>
                <w:b/>
                <w:szCs w:val="21"/>
              </w:rPr>
              <w:t>3</w:t>
            </w:r>
          </w:p>
        </w:tc>
        <w:tc>
          <w:tcPr>
            <w:tcW w:w="3267"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
                <w:b/>
                <w:szCs w:val="21"/>
              </w:rPr>
            </w:pPr>
            <w:r>
              <w:rPr>
                <w:rFonts w:hint="eastAsia" w:ascii="宋体" w:hAnsi="宋体" w:cs="仿宋"/>
                <w:b/>
                <w:szCs w:val="21"/>
              </w:rPr>
              <w:t>综合实力</w:t>
            </w:r>
          </w:p>
        </w:tc>
        <w:tc>
          <w:tcPr>
            <w:tcW w:w="545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
                <w:b/>
                <w:szCs w:val="21"/>
              </w:rPr>
            </w:pPr>
            <w:r>
              <w:rPr>
                <w:rFonts w:hint="eastAsia" w:ascii="宋体" w:hAnsi="宋体" w:cs="仿宋"/>
                <w:b/>
                <w:szCs w:val="21"/>
              </w:rPr>
              <w:t>4</w:t>
            </w:r>
            <w:r>
              <w:rPr>
                <w:rFonts w:ascii="宋体" w:hAnsi="宋体" w:cs="仿宋"/>
                <w:b/>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61" w:type="dxa"/>
            <w:vMerge w:val="continue"/>
            <w:tcBorders>
              <w:left w:val="single" w:color="auto" w:sz="4" w:space="0"/>
              <w:right w:val="single" w:color="auto" w:sz="4" w:space="0"/>
            </w:tcBorders>
          </w:tcPr>
          <w:p>
            <w:pPr>
              <w:jc w:val="center"/>
              <w:rPr>
                <w:rFonts w:ascii="宋体" w:hAnsi="宋体" w:cs="仿宋"/>
                <w:b/>
                <w:szCs w:val="21"/>
              </w:rPr>
            </w:pPr>
          </w:p>
        </w:tc>
        <w:tc>
          <w:tcPr>
            <w:tcW w:w="42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
                <w:b/>
                <w:szCs w:val="21"/>
              </w:rPr>
            </w:pPr>
            <w:r>
              <w:rPr>
                <w:rFonts w:hint="eastAsia" w:ascii="宋体" w:hAnsi="宋体" w:cs="仿宋"/>
                <w:b/>
                <w:szCs w:val="21"/>
              </w:rPr>
              <w:t>行号</w:t>
            </w:r>
          </w:p>
        </w:tc>
        <w:tc>
          <w:tcPr>
            <w:tcW w:w="24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
                <w:szCs w:val="21"/>
              </w:rPr>
            </w:pPr>
            <w:r>
              <w:rPr>
                <w:rFonts w:hint="eastAsia" w:ascii="宋体" w:hAnsi="宋体" w:cs="仿宋"/>
                <w:szCs w:val="21"/>
              </w:rPr>
              <w:t>内容</w:t>
            </w:r>
          </w:p>
        </w:tc>
        <w:tc>
          <w:tcPr>
            <w:tcW w:w="43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
                <w:szCs w:val="21"/>
              </w:rPr>
            </w:pPr>
            <w:r>
              <w:rPr>
                <w:rFonts w:hint="eastAsia" w:ascii="宋体" w:hAnsi="宋体" w:cs="仿宋"/>
                <w:szCs w:val="21"/>
              </w:rPr>
              <w:t>权重</w:t>
            </w:r>
          </w:p>
        </w:tc>
        <w:tc>
          <w:tcPr>
            <w:tcW w:w="545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
                <w:szCs w:val="21"/>
              </w:rPr>
            </w:pPr>
            <w:r>
              <w:rPr>
                <w:rFonts w:hint="eastAsia" w:ascii="宋体" w:hAnsi="宋体" w:cs="仿宋"/>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7" w:hRule="atLeast"/>
          <w:jc w:val="center"/>
        </w:trPr>
        <w:tc>
          <w:tcPr>
            <w:tcW w:w="561" w:type="dxa"/>
            <w:vMerge w:val="continue"/>
            <w:tcBorders>
              <w:left w:val="single" w:color="auto" w:sz="4" w:space="0"/>
              <w:right w:val="single" w:color="auto" w:sz="4" w:space="0"/>
            </w:tcBorders>
            <w:vAlign w:val="center"/>
          </w:tcPr>
          <w:p>
            <w:pPr>
              <w:widowControl/>
              <w:jc w:val="left"/>
              <w:rPr>
                <w:rFonts w:ascii="宋体" w:hAnsi="宋体" w:cs="仿宋"/>
                <w:szCs w:val="21"/>
              </w:rPr>
            </w:pPr>
          </w:p>
        </w:tc>
        <w:tc>
          <w:tcPr>
            <w:tcW w:w="42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
                <w:szCs w:val="21"/>
              </w:rPr>
            </w:pPr>
            <w:r>
              <w:rPr>
                <w:rFonts w:hint="eastAsia" w:ascii="宋体" w:hAnsi="宋体" w:cs="仿宋"/>
                <w:szCs w:val="21"/>
              </w:rPr>
              <w:t>1</w:t>
            </w:r>
          </w:p>
        </w:tc>
        <w:tc>
          <w:tcPr>
            <w:tcW w:w="24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Cs w:val="21"/>
              </w:rPr>
            </w:pPr>
            <w:r>
              <w:rPr>
                <w:rFonts w:hint="eastAsia" w:ascii="宋体" w:hAnsi="宋体"/>
                <w:szCs w:val="21"/>
              </w:rPr>
              <w:t>投标人同类项目业绩情况</w:t>
            </w:r>
          </w:p>
        </w:tc>
        <w:tc>
          <w:tcPr>
            <w:tcW w:w="431" w:type="dxa"/>
            <w:tcBorders>
              <w:top w:val="single" w:color="auto" w:sz="4" w:space="0"/>
              <w:left w:val="single" w:color="auto" w:sz="4" w:space="0"/>
              <w:bottom w:val="single" w:color="auto" w:sz="4" w:space="0"/>
              <w:right w:val="single" w:color="auto" w:sz="4" w:space="0"/>
            </w:tcBorders>
          </w:tcPr>
          <w:p>
            <w:pPr>
              <w:adjustRightInd w:val="0"/>
              <w:snapToGrid w:val="0"/>
              <w:jc w:val="center"/>
              <w:rPr>
                <w:rFonts w:ascii="宋体" w:hAnsi="宋体"/>
                <w:szCs w:val="21"/>
              </w:rPr>
            </w:pPr>
            <w:r>
              <w:rPr>
                <w:rFonts w:ascii="宋体" w:hAnsi="宋体"/>
                <w:szCs w:val="21"/>
              </w:rPr>
              <w:t>10</w:t>
            </w:r>
          </w:p>
        </w:tc>
        <w:tc>
          <w:tcPr>
            <w:tcW w:w="5457"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宋体" w:hAnsi="宋体"/>
                <w:szCs w:val="21"/>
              </w:rPr>
            </w:pPr>
            <w:r>
              <w:rPr>
                <w:rFonts w:hint="eastAsia" w:ascii="宋体" w:hAnsi="宋体"/>
                <w:szCs w:val="21"/>
              </w:rPr>
              <w:t>评分内容</w:t>
            </w:r>
            <w:r>
              <w:rPr>
                <w:rFonts w:hint="eastAsia" w:ascii="宋体" w:hAnsi="宋体" w:cs="仿宋"/>
                <w:szCs w:val="21"/>
              </w:rPr>
              <w:t>：</w:t>
            </w:r>
          </w:p>
          <w:p>
            <w:pPr>
              <w:adjustRightInd w:val="0"/>
              <w:snapToGrid w:val="0"/>
              <w:rPr>
                <w:rFonts w:ascii="宋体" w:hAnsi="宋体" w:cs="仿宋"/>
                <w:b/>
                <w:bCs/>
                <w:szCs w:val="21"/>
              </w:rPr>
            </w:pPr>
            <w:r>
              <w:rPr>
                <w:rFonts w:hint="eastAsia" w:ascii="宋体" w:hAnsi="宋体" w:cs="仿宋"/>
                <w:szCs w:val="21"/>
              </w:rPr>
              <w:t>1</w:t>
            </w:r>
            <w:r>
              <w:rPr>
                <w:rFonts w:ascii="宋体" w:hAnsi="宋体" w:cs="仿宋"/>
                <w:szCs w:val="21"/>
              </w:rPr>
              <w:t>.</w:t>
            </w:r>
            <w:r>
              <w:rPr>
                <w:rFonts w:hint="eastAsia" w:ascii="宋体" w:hAnsi="宋体" w:cs="仿宋"/>
                <w:szCs w:val="21"/>
              </w:rPr>
              <w:t>投标人从2018年1月到投标截止日期所承担过</w:t>
            </w:r>
            <w:r>
              <w:rPr>
                <w:rFonts w:hint="eastAsia" w:ascii="宋体" w:hAnsi="宋体" w:cs="仿宋"/>
                <w:szCs w:val="21"/>
                <w:lang w:eastAsia="zh-Hans"/>
              </w:rPr>
              <w:t>的</w:t>
            </w:r>
            <w:r>
              <w:rPr>
                <w:rFonts w:hint="eastAsia" w:ascii="宋体" w:hAnsi="宋体" w:cs="仿宋"/>
                <w:szCs w:val="21"/>
              </w:rPr>
              <w:t>相关工作（如</w:t>
            </w:r>
            <w:r>
              <w:rPr>
                <w:rFonts w:hint="eastAsia" w:ascii="宋体" w:hAnsi="宋体" w:cs="仿宋"/>
                <w:szCs w:val="21"/>
                <w:lang w:eastAsia="zh-Hans"/>
              </w:rPr>
              <w:t>国土空间规划</w:t>
            </w:r>
            <w:r>
              <w:rPr>
                <w:rFonts w:hint="eastAsia" w:ascii="宋体" w:hAnsi="宋体" w:cs="仿宋"/>
                <w:szCs w:val="21"/>
              </w:rPr>
              <w:t>、</w:t>
            </w:r>
            <w:r>
              <w:rPr>
                <w:rFonts w:hint="eastAsia" w:ascii="宋体" w:hAnsi="宋体" w:cs="仿宋"/>
                <w:szCs w:val="21"/>
                <w:lang w:eastAsia="zh-Hans"/>
              </w:rPr>
              <w:t>城市设计</w:t>
            </w:r>
            <w:r>
              <w:rPr>
                <w:rFonts w:hint="eastAsia" w:ascii="宋体" w:hAnsi="宋体" w:cs="仿宋"/>
                <w:szCs w:val="21"/>
              </w:rPr>
              <w:t>、</w:t>
            </w:r>
            <w:r>
              <w:rPr>
                <w:rFonts w:hint="eastAsia" w:ascii="宋体" w:hAnsi="宋体" w:cs="仿宋"/>
                <w:szCs w:val="21"/>
                <w:lang w:eastAsia="zh-Hans"/>
              </w:rPr>
              <w:t>城市更新</w:t>
            </w:r>
            <w:r>
              <w:rPr>
                <w:rFonts w:hint="eastAsia" w:ascii="宋体" w:hAnsi="宋体" w:cs="仿宋"/>
                <w:szCs w:val="21"/>
              </w:rPr>
              <w:t>等），每提供一项业绩得25分。本项最高得</w:t>
            </w:r>
            <w:r>
              <w:rPr>
                <w:rFonts w:ascii="宋体" w:hAnsi="宋体" w:cs="仿宋"/>
                <w:szCs w:val="21"/>
              </w:rPr>
              <w:t>100</w:t>
            </w:r>
            <w:r>
              <w:rPr>
                <w:rFonts w:hint="eastAsia" w:ascii="宋体" w:hAnsi="宋体" w:cs="仿宋"/>
                <w:szCs w:val="21"/>
              </w:rPr>
              <w:t>分，同一项目不重复计分。</w:t>
            </w:r>
          </w:p>
          <w:p>
            <w:pPr>
              <w:adjustRightInd w:val="0"/>
              <w:snapToGrid w:val="0"/>
              <w:rPr>
                <w:rFonts w:ascii="宋体" w:hAnsi="宋体"/>
                <w:szCs w:val="21"/>
              </w:rPr>
            </w:pPr>
            <w:r>
              <w:rPr>
                <w:rFonts w:hint="eastAsia" w:ascii="宋体" w:hAnsi="宋体"/>
                <w:szCs w:val="21"/>
              </w:rPr>
              <w:t xml:space="preserve">评分依据： </w:t>
            </w:r>
          </w:p>
          <w:p>
            <w:pPr>
              <w:adjustRightInd w:val="0"/>
              <w:snapToGrid w:val="0"/>
              <w:rPr>
                <w:rFonts w:ascii="宋体" w:hAnsi="宋体"/>
                <w:szCs w:val="21"/>
              </w:rPr>
            </w:pPr>
            <w:r>
              <w:rPr>
                <w:rFonts w:hint="eastAsia" w:ascii="楷体" w:hAnsi="楷体" w:eastAsia="楷体"/>
                <w:szCs w:val="21"/>
              </w:rPr>
              <w:t>要求提供合同关键信息。通过合同关键信息无法判断是否得分的，还须同时提供能证明得分的其它证明资料，如项目报告或合同甲方出具的证明文件等。以上资料均要求提供扫描件，原件备查。评分中出现无证明资料或专家无法凭所提供资料判断是否得分的情况，一律作不得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7" w:hRule="atLeast"/>
          <w:jc w:val="center"/>
        </w:trPr>
        <w:tc>
          <w:tcPr>
            <w:tcW w:w="561" w:type="dxa"/>
            <w:vMerge w:val="continue"/>
            <w:tcBorders>
              <w:left w:val="single" w:color="auto" w:sz="4" w:space="0"/>
              <w:right w:val="single" w:color="auto" w:sz="4" w:space="0"/>
            </w:tcBorders>
            <w:vAlign w:val="center"/>
          </w:tcPr>
          <w:p>
            <w:pPr>
              <w:widowControl/>
              <w:jc w:val="left"/>
              <w:rPr>
                <w:rFonts w:ascii="宋体" w:hAnsi="宋体" w:cs="仿宋"/>
                <w:szCs w:val="21"/>
              </w:rPr>
            </w:pPr>
          </w:p>
        </w:tc>
        <w:tc>
          <w:tcPr>
            <w:tcW w:w="42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
                <w:szCs w:val="21"/>
              </w:rPr>
            </w:pPr>
            <w:r>
              <w:rPr>
                <w:rFonts w:hint="eastAsia" w:ascii="宋体" w:hAnsi="宋体" w:cs="仿宋"/>
                <w:szCs w:val="21"/>
              </w:rPr>
              <w:t>2</w:t>
            </w:r>
          </w:p>
        </w:tc>
        <w:tc>
          <w:tcPr>
            <w:tcW w:w="24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
                <w:szCs w:val="21"/>
              </w:rPr>
            </w:pPr>
            <w:r>
              <w:rPr>
                <w:rFonts w:hint="eastAsia" w:ascii="宋体" w:hAnsi="宋体" w:cs="仿宋"/>
                <w:bCs/>
                <w:szCs w:val="21"/>
              </w:rPr>
              <w:t>拟安排项目负责人情况（限1人）</w:t>
            </w:r>
          </w:p>
        </w:tc>
        <w:tc>
          <w:tcPr>
            <w:tcW w:w="431" w:type="dxa"/>
            <w:tcBorders>
              <w:top w:val="single" w:color="auto" w:sz="4" w:space="0"/>
              <w:left w:val="single" w:color="auto" w:sz="4" w:space="0"/>
              <w:bottom w:val="single" w:color="auto" w:sz="4" w:space="0"/>
              <w:right w:val="single" w:color="auto" w:sz="4" w:space="0"/>
            </w:tcBorders>
          </w:tcPr>
          <w:p>
            <w:pPr>
              <w:jc w:val="center"/>
              <w:rPr>
                <w:rFonts w:ascii="宋体" w:hAnsi="宋体" w:cs="仿宋"/>
                <w:szCs w:val="21"/>
              </w:rPr>
            </w:pPr>
            <w:r>
              <w:rPr>
                <w:rFonts w:ascii="宋体" w:hAnsi="宋体" w:cs="仿宋"/>
                <w:szCs w:val="21"/>
              </w:rPr>
              <w:t>20</w:t>
            </w:r>
          </w:p>
        </w:tc>
        <w:tc>
          <w:tcPr>
            <w:tcW w:w="5457" w:type="dxa"/>
            <w:tcBorders>
              <w:top w:val="single" w:color="auto" w:sz="4" w:space="0"/>
              <w:left w:val="single" w:color="auto" w:sz="4" w:space="0"/>
              <w:bottom w:val="single" w:color="auto" w:sz="4" w:space="0"/>
              <w:right w:val="single" w:color="auto" w:sz="4" w:space="0"/>
            </w:tcBorders>
            <w:vAlign w:val="center"/>
          </w:tcPr>
          <w:p>
            <w:pPr>
              <w:rPr>
                <w:rFonts w:ascii="宋体" w:hAnsi="宋体" w:cs="仿宋"/>
                <w:szCs w:val="21"/>
              </w:rPr>
            </w:pPr>
            <w:r>
              <w:rPr>
                <w:rFonts w:hint="eastAsia" w:ascii="宋体" w:hAnsi="宋体" w:cs="仿宋"/>
                <w:szCs w:val="21"/>
              </w:rPr>
              <w:t>评分</w:t>
            </w:r>
            <w:r>
              <w:rPr>
                <w:rFonts w:hint="eastAsia" w:ascii="宋体" w:hAnsi="宋体"/>
                <w:szCs w:val="21"/>
              </w:rPr>
              <w:t>内容</w:t>
            </w:r>
            <w:r>
              <w:rPr>
                <w:rFonts w:hint="eastAsia" w:ascii="宋体" w:hAnsi="宋体" w:cs="仿宋"/>
                <w:szCs w:val="21"/>
              </w:rPr>
              <w:t>：</w:t>
            </w:r>
          </w:p>
          <w:p>
            <w:pPr>
              <w:rPr>
                <w:rFonts w:ascii="宋体" w:hAnsi="宋体" w:cs="仿宋"/>
                <w:szCs w:val="21"/>
              </w:rPr>
            </w:pPr>
            <w:r>
              <w:rPr>
                <w:rFonts w:ascii="宋体" w:hAnsi="宋体" w:cs="宋体"/>
                <w:spacing w:val="2"/>
                <w:szCs w:val="21"/>
              </w:rPr>
              <w:t>1.</w:t>
            </w:r>
            <w:r>
              <w:rPr>
                <w:rFonts w:hint="eastAsia" w:ascii="宋体" w:hAnsi="宋体" w:cs="宋体"/>
                <w:spacing w:val="2"/>
                <w:szCs w:val="21"/>
              </w:rPr>
              <w:t>项目负责人具有高级职称及以上的，得</w:t>
            </w:r>
            <w:r>
              <w:rPr>
                <w:rFonts w:ascii="宋体" w:hAnsi="宋体" w:cs="宋体"/>
                <w:spacing w:val="2"/>
                <w:szCs w:val="21"/>
              </w:rPr>
              <w:t>100</w:t>
            </w:r>
            <w:r>
              <w:rPr>
                <w:rFonts w:hint="eastAsia" w:ascii="宋体" w:hAnsi="宋体" w:cs="宋体"/>
                <w:spacing w:val="2"/>
                <w:szCs w:val="21"/>
              </w:rPr>
              <w:t>分；具有中级职称的，得</w:t>
            </w:r>
            <w:r>
              <w:rPr>
                <w:rFonts w:ascii="宋体" w:hAnsi="宋体" w:cs="宋体"/>
                <w:spacing w:val="2"/>
                <w:szCs w:val="21"/>
              </w:rPr>
              <w:t>60</w:t>
            </w:r>
            <w:r>
              <w:rPr>
                <w:rFonts w:hint="eastAsia" w:ascii="宋体" w:hAnsi="宋体" w:cs="宋体"/>
                <w:spacing w:val="2"/>
                <w:szCs w:val="21"/>
              </w:rPr>
              <w:t>分；否则不得分。</w:t>
            </w:r>
          </w:p>
          <w:p>
            <w:pPr>
              <w:rPr>
                <w:rFonts w:ascii="宋体" w:hAnsi="宋体" w:cs="仿宋"/>
                <w:szCs w:val="21"/>
              </w:rPr>
            </w:pPr>
            <w:r>
              <w:rPr>
                <w:rFonts w:hint="eastAsia" w:ascii="宋体" w:hAnsi="宋体" w:cs="仿宋"/>
                <w:szCs w:val="21"/>
              </w:rPr>
              <w:t>评分依据：</w:t>
            </w:r>
          </w:p>
          <w:p>
            <w:pPr>
              <w:rPr>
                <w:rFonts w:ascii="楷体" w:hAnsi="楷体" w:eastAsia="楷体"/>
                <w:szCs w:val="21"/>
              </w:rPr>
            </w:pPr>
            <w:r>
              <w:rPr>
                <w:rFonts w:hint="eastAsia" w:ascii="楷体" w:hAnsi="楷体" w:eastAsia="楷体" w:cs="仿宋"/>
                <w:szCs w:val="21"/>
              </w:rPr>
              <w:t>提供项目负责人职称证书、</w:t>
            </w:r>
            <w:r>
              <w:rPr>
                <w:rFonts w:hint="eastAsia" w:ascii="楷体" w:hAnsi="楷体" w:eastAsia="楷体" w:cs="仿宋"/>
                <w:szCs w:val="21"/>
                <w:lang w:eastAsia="zh-Hans"/>
              </w:rPr>
              <w:t>个人承诺书</w:t>
            </w:r>
            <w:r>
              <w:rPr>
                <w:rFonts w:hint="eastAsia" w:ascii="楷体" w:hAnsi="楷体" w:eastAsia="楷体" w:cs="仿宋"/>
                <w:szCs w:val="21"/>
              </w:rPr>
              <w:t>等作为得分依据,</w:t>
            </w:r>
            <w:r>
              <w:rPr>
                <w:rFonts w:ascii="楷体" w:hAnsi="楷体" w:eastAsia="楷体" w:cs="仿宋"/>
                <w:szCs w:val="21"/>
              </w:rPr>
              <w:t xml:space="preserve"> </w:t>
            </w:r>
            <w:r>
              <w:rPr>
                <w:rFonts w:hint="eastAsia" w:ascii="楷体" w:hAnsi="楷体" w:eastAsia="楷体" w:cs="仿宋"/>
                <w:szCs w:val="21"/>
              </w:rPr>
              <w:t>原件备查。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7" w:hRule="atLeast"/>
          <w:jc w:val="center"/>
        </w:trPr>
        <w:tc>
          <w:tcPr>
            <w:tcW w:w="561" w:type="dxa"/>
            <w:vMerge w:val="continue"/>
            <w:tcBorders>
              <w:left w:val="single" w:color="auto" w:sz="4" w:space="0"/>
              <w:right w:val="single" w:color="auto" w:sz="4" w:space="0"/>
            </w:tcBorders>
            <w:vAlign w:val="center"/>
          </w:tcPr>
          <w:p>
            <w:pPr>
              <w:widowControl/>
              <w:jc w:val="left"/>
              <w:rPr>
                <w:rFonts w:ascii="宋体" w:hAnsi="宋体" w:cs="仿宋"/>
                <w:szCs w:val="21"/>
              </w:rPr>
            </w:pPr>
          </w:p>
        </w:tc>
        <w:tc>
          <w:tcPr>
            <w:tcW w:w="42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
                <w:szCs w:val="21"/>
              </w:rPr>
            </w:pPr>
            <w:r>
              <w:rPr>
                <w:rFonts w:hint="eastAsia" w:ascii="宋体" w:hAnsi="宋体" w:cs="仿宋"/>
                <w:szCs w:val="21"/>
              </w:rPr>
              <w:t>3</w:t>
            </w:r>
          </w:p>
        </w:tc>
        <w:tc>
          <w:tcPr>
            <w:tcW w:w="24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
                <w:szCs w:val="21"/>
              </w:rPr>
            </w:pPr>
            <w:r>
              <w:rPr>
                <w:rFonts w:hint="eastAsia" w:ascii="宋体" w:hAnsi="宋体" w:cs="仿宋"/>
                <w:szCs w:val="21"/>
              </w:rPr>
              <w:t>拟投入项目组成员情况（项目负责人除外）</w:t>
            </w:r>
          </w:p>
        </w:tc>
        <w:tc>
          <w:tcPr>
            <w:tcW w:w="431" w:type="dxa"/>
            <w:tcBorders>
              <w:top w:val="single" w:color="auto" w:sz="4" w:space="0"/>
              <w:left w:val="single" w:color="auto" w:sz="4" w:space="0"/>
              <w:bottom w:val="single" w:color="auto" w:sz="4" w:space="0"/>
              <w:right w:val="single" w:color="auto" w:sz="4" w:space="0"/>
            </w:tcBorders>
          </w:tcPr>
          <w:p>
            <w:pPr>
              <w:jc w:val="center"/>
              <w:rPr>
                <w:rFonts w:ascii="宋体" w:hAnsi="宋体" w:cs="仿宋"/>
                <w:szCs w:val="21"/>
              </w:rPr>
            </w:pPr>
            <w:r>
              <w:rPr>
                <w:rFonts w:ascii="宋体" w:hAnsi="宋体" w:cs="仿宋"/>
                <w:szCs w:val="21"/>
              </w:rPr>
              <w:t>10</w:t>
            </w:r>
          </w:p>
        </w:tc>
        <w:tc>
          <w:tcPr>
            <w:tcW w:w="545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64" w:lineRule="auto"/>
              <w:rPr>
                <w:rFonts w:ascii="宋体" w:hAnsi="宋体" w:cs="仿宋"/>
                <w:szCs w:val="21"/>
              </w:rPr>
            </w:pPr>
            <w:r>
              <w:rPr>
                <w:rFonts w:hint="eastAsia" w:ascii="宋体" w:hAnsi="宋体" w:cs="仿宋"/>
                <w:szCs w:val="21"/>
              </w:rPr>
              <w:t>项目团队成员至少有3</w:t>
            </w:r>
            <w:r>
              <w:rPr>
                <w:rFonts w:ascii="宋体" w:hAnsi="宋体" w:cs="仿宋"/>
                <w:szCs w:val="21"/>
              </w:rPr>
              <w:t>人，否则此项不得分；</w:t>
            </w:r>
          </w:p>
          <w:p>
            <w:pPr>
              <w:adjustRightInd w:val="0"/>
              <w:snapToGrid w:val="0"/>
              <w:spacing w:line="264" w:lineRule="auto"/>
              <w:rPr>
                <w:rFonts w:ascii="宋体" w:hAnsi="宋体" w:cs="仿宋"/>
                <w:szCs w:val="21"/>
              </w:rPr>
            </w:pPr>
            <w:r>
              <w:rPr>
                <w:rFonts w:hint="eastAsia" w:ascii="宋体" w:hAnsi="宋体" w:cs="仿宋"/>
                <w:szCs w:val="21"/>
              </w:rPr>
              <w:t>评分</w:t>
            </w:r>
            <w:r>
              <w:rPr>
                <w:rFonts w:hint="eastAsia" w:ascii="宋体" w:hAnsi="宋体"/>
                <w:szCs w:val="21"/>
              </w:rPr>
              <w:t>内容</w:t>
            </w:r>
            <w:r>
              <w:rPr>
                <w:rFonts w:hint="eastAsia" w:ascii="宋体" w:hAnsi="宋体" w:cs="仿宋"/>
                <w:szCs w:val="21"/>
              </w:rPr>
              <w:t>：</w:t>
            </w:r>
          </w:p>
          <w:p>
            <w:pPr>
              <w:numPr>
                <w:ilvl w:val="0"/>
                <w:numId w:val="6"/>
              </w:numPr>
              <w:adjustRightInd w:val="0"/>
              <w:snapToGrid w:val="0"/>
              <w:spacing w:line="264" w:lineRule="auto"/>
              <w:rPr>
                <w:rFonts w:ascii="宋体" w:hAnsi="宋体" w:cs="宋体"/>
                <w:spacing w:val="2"/>
                <w:szCs w:val="21"/>
              </w:rPr>
            </w:pPr>
            <w:r>
              <w:rPr>
                <w:rFonts w:ascii="宋体" w:hAnsi="宋体" w:cs="宋体"/>
                <w:spacing w:val="3"/>
                <w:szCs w:val="21"/>
              </w:rPr>
              <w:t>项</w:t>
            </w:r>
            <w:r>
              <w:rPr>
                <w:rFonts w:ascii="宋体" w:hAnsi="宋体" w:cs="宋体"/>
                <w:spacing w:val="2"/>
                <w:szCs w:val="21"/>
              </w:rPr>
              <w:t>目团队</w:t>
            </w:r>
            <w:r>
              <w:rPr>
                <w:rFonts w:hint="eastAsia" w:ascii="宋体" w:hAnsi="宋体" w:cs="宋体"/>
                <w:spacing w:val="2"/>
                <w:szCs w:val="21"/>
                <w:lang w:eastAsia="zh-Hans"/>
              </w:rPr>
              <w:t>中有</w:t>
            </w:r>
            <w:r>
              <w:rPr>
                <w:rFonts w:ascii="宋体" w:hAnsi="宋体" w:cs="宋体"/>
                <w:spacing w:val="2"/>
                <w:szCs w:val="21"/>
              </w:rPr>
              <w:t>具备中级职称</w:t>
            </w:r>
            <w:r>
              <w:rPr>
                <w:rFonts w:hint="eastAsia" w:ascii="宋体" w:hAnsi="宋体" w:cs="宋体"/>
                <w:spacing w:val="2"/>
                <w:szCs w:val="21"/>
              </w:rPr>
              <w:t>及以上</w:t>
            </w:r>
            <w:r>
              <w:rPr>
                <w:rFonts w:ascii="宋体" w:hAnsi="宋体" w:cs="宋体"/>
                <w:spacing w:val="2"/>
                <w:szCs w:val="21"/>
              </w:rPr>
              <w:t>证书</w:t>
            </w:r>
            <w:r>
              <w:rPr>
                <w:rFonts w:hint="eastAsia" w:ascii="宋体" w:hAnsi="宋体" w:cs="宋体"/>
                <w:spacing w:val="2"/>
                <w:szCs w:val="21"/>
                <w:lang w:eastAsia="zh-Hans"/>
              </w:rPr>
              <w:t>的成员</w:t>
            </w:r>
            <w:r>
              <w:rPr>
                <w:rFonts w:hint="eastAsia" w:ascii="宋体" w:hAnsi="宋体" w:cs="宋体"/>
                <w:spacing w:val="2"/>
                <w:szCs w:val="21"/>
              </w:rPr>
              <w:t>得</w:t>
            </w:r>
            <w:r>
              <w:rPr>
                <w:rFonts w:ascii="宋体" w:hAnsi="宋体" w:cs="宋体"/>
                <w:spacing w:val="2"/>
                <w:szCs w:val="21"/>
              </w:rPr>
              <w:t>100分。</w:t>
            </w:r>
          </w:p>
          <w:p>
            <w:pPr>
              <w:adjustRightInd w:val="0"/>
              <w:snapToGrid w:val="0"/>
              <w:spacing w:line="264" w:lineRule="auto"/>
              <w:rPr>
                <w:rFonts w:ascii="宋体" w:hAnsi="宋体" w:cs="仿宋"/>
                <w:szCs w:val="21"/>
              </w:rPr>
            </w:pPr>
            <w:r>
              <w:rPr>
                <w:rFonts w:hint="eastAsia" w:ascii="宋体" w:hAnsi="宋体" w:cs="仿宋"/>
                <w:szCs w:val="21"/>
              </w:rPr>
              <w:t>评分依据：</w:t>
            </w:r>
          </w:p>
          <w:p>
            <w:pPr>
              <w:adjustRightInd w:val="0"/>
              <w:snapToGrid w:val="0"/>
              <w:spacing w:line="264" w:lineRule="auto"/>
              <w:rPr>
                <w:rFonts w:ascii="宋体" w:hAnsi="宋体" w:cs="仿宋"/>
                <w:szCs w:val="21"/>
              </w:rPr>
            </w:pPr>
            <w:r>
              <w:rPr>
                <w:rFonts w:hint="eastAsia" w:ascii="楷体" w:hAnsi="楷体" w:eastAsia="楷体" w:cs="仿宋"/>
                <w:szCs w:val="21"/>
              </w:rPr>
              <w:t>提供团队成员职称证书、</w:t>
            </w:r>
            <w:r>
              <w:rPr>
                <w:rFonts w:hint="eastAsia" w:ascii="楷体" w:hAnsi="楷体" w:eastAsia="楷体" w:cs="仿宋"/>
                <w:szCs w:val="21"/>
                <w:lang w:eastAsia="zh-Hans"/>
              </w:rPr>
              <w:t>个人承诺书</w:t>
            </w:r>
            <w:r>
              <w:rPr>
                <w:rFonts w:hint="eastAsia" w:ascii="楷体" w:hAnsi="楷体" w:eastAsia="楷体" w:cs="仿宋"/>
                <w:szCs w:val="21"/>
              </w:rPr>
              <w:t>等作为得分依据,</w:t>
            </w:r>
            <w:r>
              <w:rPr>
                <w:rFonts w:ascii="楷体" w:hAnsi="楷体" w:eastAsia="楷体" w:cs="仿宋"/>
                <w:szCs w:val="21"/>
              </w:rPr>
              <w:t xml:space="preserve"> </w:t>
            </w:r>
            <w:r>
              <w:rPr>
                <w:rFonts w:hint="eastAsia" w:ascii="楷体" w:hAnsi="楷体" w:eastAsia="楷体" w:cs="仿宋"/>
                <w:szCs w:val="21"/>
              </w:rPr>
              <w:t>原件备查。</w:t>
            </w:r>
          </w:p>
        </w:tc>
      </w:tr>
    </w:tbl>
    <w:p>
      <w:pPr>
        <w:ind w:firstLine="600" w:firstLineChars="200"/>
        <w:jc w:val="left"/>
        <w:rPr>
          <w:rFonts w:ascii="仿宋_GB2312" w:eastAsia="仿宋_GB2312"/>
          <w:bCs/>
          <w:sz w:val="30"/>
          <w:szCs w:val="30"/>
        </w:rPr>
      </w:pPr>
    </w:p>
    <w:p>
      <w:pPr>
        <w:pStyle w:val="4"/>
        <w:ind w:firstLine="0"/>
        <w:rPr>
          <w:rFonts w:ascii="仿宋_GB2312" w:hAnsi="宋体" w:eastAsia="仿宋_GB2312"/>
          <w:b/>
          <w:sz w:val="30"/>
          <w:szCs w:val="30"/>
        </w:rPr>
      </w:pPr>
      <w:r>
        <w:rPr>
          <w:rFonts w:ascii="仿宋_GB2312" w:hAnsi="宋体" w:eastAsia="仿宋_GB2312"/>
          <w:b/>
          <w:sz w:val="30"/>
          <w:szCs w:val="30"/>
        </w:rPr>
        <w:t>2</w:t>
      </w:r>
      <w:r>
        <w:rPr>
          <w:rFonts w:hint="eastAsia" w:ascii="仿宋_GB2312" w:hAnsi="宋体" w:eastAsia="仿宋_GB2312"/>
          <w:b/>
          <w:sz w:val="30"/>
          <w:szCs w:val="30"/>
        </w:rPr>
        <w:t>、已投参评材料的参评单位，原则上不得退出。私自退出的，将不得参与我中心其它项目投标。</w:t>
      </w:r>
    </w:p>
    <w:p>
      <w:pPr>
        <w:pStyle w:val="4"/>
        <w:ind w:firstLine="0"/>
        <w:rPr>
          <w:rFonts w:ascii="仿宋_GB2312" w:hAnsi="宋体" w:eastAsia="仿宋_GB2312"/>
          <w:b/>
          <w:sz w:val="30"/>
          <w:szCs w:val="30"/>
        </w:rPr>
      </w:pPr>
      <w:r>
        <w:rPr>
          <w:rFonts w:ascii="仿宋_GB2312" w:hAnsi="宋体" w:eastAsia="仿宋_GB2312"/>
          <w:b/>
          <w:sz w:val="30"/>
          <w:szCs w:val="30"/>
        </w:rPr>
        <w:t>3</w:t>
      </w:r>
      <w:r>
        <w:rPr>
          <w:rFonts w:hint="eastAsia" w:ascii="仿宋_GB2312" w:hAnsi="宋体" w:eastAsia="仿宋_GB2312"/>
          <w:b/>
          <w:sz w:val="30"/>
          <w:szCs w:val="30"/>
        </w:rPr>
        <w:t>、所有投标单位参加投标所发生的一切费用均自行承担。</w:t>
      </w:r>
    </w:p>
    <w:p>
      <w:pPr>
        <w:pStyle w:val="4"/>
        <w:ind w:firstLine="0"/>
        <w:rPr>
          <w:rFonts w:ascii="仿宋_GB2312" w:hAnsi="宋体" w:eastAsia="仿宋_GB2312"/>
          <w:b/>
          <w:sz w:val="30"/>
          <w:szCs w:val="30"/>
        </w:rPr>
      </w:pPr>
      <w:r>
        <w:rPr>
          <w:rFonts w:ascii="仿宋_GB2312" w:hAnsi="宋体" w:eastAsia="仿宋_GB2312"/>
          <w:b/>
          <w:sz w:val="30"/>
          <w:szCs w:val="30"/>
        </w:rPr>
        <w:t>4</w:t>
      </w:r>
      <w:r>
        <w:rPr>
          <w:rFonts w:hint="eastAsia" w:ascii="仿宋_GB2312" w:hAnsi="宋体" w:eastAsia="仿宋_GB2312"/>
          <w:b/>
          <w:sz w:val="30"/>
          <w:szCs w:val="30"/>
        </w:rPr>
        <w:t>、本活动解释权归深圳市规划国土发展研究中心。</w:t>
      </w:r>
    </w:p>
    <w:p>
      <w:pPr>
        <w:rPr>
          <w:rFonts w:ascii="楷体_GB2312" w:eastAsia="楷体_GB2312"/>
          <w:sz w:val="28"/>
          <w:szCs w:val="28"/>
        </w:rPr>
        <w:sectPr>
          <w:headerReference r:id="rId3" w:type="default"/>
          <w:footerReference r:id="rId4" w:type="default"/>
          <w:footerReference r:id="rId5" w:type="even"/>
          <w:pgSz w:w="11906" w:h="16838"/>
          <w:pgMar w:top="1440" w:right="1286" w:bottom="1440" w:left="1440" w:header="851" w:footer="992" w:gutter="0"/>
          <w:cols w:space="425" w:num="1"/>
          <w:docGrid w:type="lines" w:linePitch="312" w:charSpace="0"/>
        </w:sectPr>
      </w:pPr>
    </w:p>
    <w:p>
      <w:pPr>
        <w:pStyle w:val="4"/>
        <w:ind w:firstLine="0"/>
        <w:rPr>
          <w:rFonts w:ascii="宋体" w:hAnsi="宋体"/>
          <w:b/>
          <w:sz w:val="28"/>
          <w:szCs w:val="28"/>
        </w:rPr>
      </w:pPr>
      <w:r>
        <w:rPr>
          <w:rFonts w:hint="eastAsia" w:ascii="宋体" w:hAnsi="宋体"/>
          <w:b/>
          <w:sz w:val="28"/>
          <w:szCs w:val="28"/>
        </w:rPr>
        <w:t>密封袋封面</w:t>
      </w:r>
    </w:p>
    <w:p>
      <w:pPr>
        <w:pStyle w:val="4"/>
        <w:ind w:firstLine="0"/>
        <w:rPr>
          <w:rFonts w:ascii="宋体" w:hAnsi="宋体"/>
          <w:b/>
          <w:sz w:val="36"/>
          <w:szCs w:val="36"/>
        </w:rPr>
      </w:pPr>
    </w:p>
    <w:p>
      <w:pPr>
        <w:pStyle w:val="4"/>
        <w:ind w:firstLine="0"/>
        <w:rPr>
          <w:rFonts w:ascii="宋体" w:hAnsi="宋体"/>
          <w:b/>
          <w:sz w:val="36"/>
          <w:szCs w:val="36"/>
        </w:rPr>
      </w:pPr>
      <w:r>
        <w:rPr>
          <w:rFonts w:hint="eastAsia" w:ascii="宋体" w:hAnsi="宋体"/>
          <w:b/>
          <w:sz w:val="36"/>
          <w:szCs w:val="36"/>
        </w:rPr>
        <w:t>委托单位：深圳市规划国土发展研究中心</w:t>
      </w:r>
    </w:p>
    <w:p>
      <w:pPr>
        <w:pStyle w:val="4"/>
        <w:ind w:firstLine="720" w:firstLineChars="200"/>
        <w:rPr>
          <w:rFonts w:ascii="宋体" w:hAnsi="宋体"/>
          <w:b/>
          <w:sz w:val="36"/>
          <w:szCs w:val="36"/>
        </w:rPr>
      </w:pPr>
    </w:p>
    <w:p>
      <w:pPr>
        <w:pStyle w:val="4"/>
        <w:ind w:firstLine="1017" w:firstLineChars="212"/>
        <w:rPr>
          <w:rFonts w:ascii="宋体" w:hAnsi="宋体"/>
          <w:b/>
          <w:sz w:val="48"/>
          <w:szCs w:val="48"/>
        </w:rPr>
      </w:pPr>
    </w:p>
    <w:p>
      <w:pPr>
        <w:pStyle w:val="4"/>
        <w:ind w:firstLine="1017" w:firstLineChars="212"/>
        <w:rPr>
          <w:rFonts w:ascii="宋体" w:hAnsi="宋体"/>
          <w:b/>
          <w:sz w:val="48"/>
          <w:szCs w:val="48"/>
        </w:rPr>
      </w:pPr>
    </w:p>
    <w:p>
      <w:pPr>
        <w:pStyle w:val="4"/>
        <w:ind w:firstLine="0"/>
        <w:jc w:val="center"/>
        <w:rPr>
          <w:rFonts w:ascii="宋体" w:hAnsi="宋体"/>
          <w:b/>
          <w:sz w:val="36"/>
          <w:szCs w:val="36"/>
        </w:rPr>
      </w:pPr>
      <w:r>
        <w:rPr>
          <w:rFonts w:hint="eastAsia" w:ascii="宋体" w:hAnsi="宋体"/>
          <w:b/>
          <w:sz w:val="48"/>
          <w:szCs w:val="48"/>
        </w:rPr>
        <w:t>项目名称：国土空间规划视野下的城市更新单元容积传导理论及政策研究</w:t>
      </w:r>
    </w:p>
    <w:p>
      <w:pPr>
        <w:pStyle w:val="4"/>
        <w:ind w:firstLine="536" w:firstLineChars="149"/>
        <w:rPr>
          <w:rFonts w:ascii="宋体" w:hAnsi="宋体"/>
          <w:b/>
          <w:sz w:val="36"/>
          <w:szCs w:val="36"/>
          <w:u w:val="single"/>
        </w:rPr>
      </w:pPr>
    </w:p>
    <w:p>
      <w:pPr>
        <w:pStyle w:val="4"/>
        <w:ind w:firstLine="536" w:firstLineChars="149"/>
        <w:rPr>
          <w:rFonts w:ascii="宋体" w:hAnsi="宋体"/>
          <w:b/>
          <w:sz w:val="36"/>
          <w:szCs w:val="36"/>
          <w:u w:val="single"/>
        </w:rPr>
      </w:pPr>
    </w:p>
    <w:p>
      <w:pPr>
        <w:pStyle w:val="4"/>
        <w:ind w:firstLine="536" w:firstLineChars="149"/>
        <w:rPr>
          <w:rFonts w:ascii="宋体" w:hAnsi="宋体"/>
          <w:b/>
          <w:sz w:val="36"/>
          <w:szCs w:val="36"/>
          <w:u w:val="single"/>
        </w:rPr>
      </w:pPr>
    </w:p>
    <w:p>
      <w:pPr>
        <w:pStyle w:val="4"/>
        <w:ind w:firstLine="536" w:firstLineChars="149"/>
        <w:rPr>
          <w:rFonts w:ascii="宋体" w:hAnsi="宋体"/>
          <w:b/>
          <w:sz w:val="36"/>
          <w:szCs w:val="36"/>
          <w:u w:val="single"/>
        </w:rPr>
      </w:pPr>
    </w:p>
    <w:p>
      <w:pPr>
        <w:pStyle w:val="4"/>
        <w:ind w:right="1444" w:firstLine="9720" w:firstLineChars="2700"/>
        <w:rPr>
          <w:rFonts w:ascii="宋体" w:hAnsi="宋体"/>
          <w:b/>
          <w:sz w:val="36"/>
          <w:szCs w:val="36"/>
        </w:rPr>
      </w:pPr>
      <w:r>
        <w:rPr>
          <w:rFonts w:hint="eastAsia" w:ascii="宋体" w:hAnsi="宋体"/>
          <w:b/>
          <w:sz w:val="36"/>
          <w:szCs w:val="36"/>
        </w:rPr>
        <w:t>参评单位：</w:t>
      </w:r>
      <w:r>
        <w:rPr>
          <w:rFonts w:hint="eastAsia" w:ascii="宋体" w:hAnsi="宋体"/>
          <w:b/>
          <w:sz w:val="36"/>
          <w:szCs w:val="36"/>
          <w:u w:val="single"/>
        </w:rPr>
        <w:t xml:space="preserve"> </w:t>
      </w:r>
      <w:r>
        <w:rPr>
          <w:rFonts w:hint="eastAsia" w:ascii="宋体" w:hAnsi="宋体"/>
          <w:b/>
          <w:sz w:val="36"/>
          <w:szCs w:val="36"/>
        </w:rPr>
        <w:t xml:space="preserve">                                           </w:t>
      </w:r>
    </w:p>
    <w:sectPr>
      <w:headerReference r:id="rId6" w:type="default"/>
      <w:pgSz w:w="16838" w:h="11906" w:orient="landscape"/>
      <w:pgMar w:top="1440" w:right="1440" w:bottom="1287"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2"/>
      </w:rPr>
    </w:pPr>
    <w:r>
      <w:rPr>
        <w:rStyle w:val="12"/>
      </w:rPr>
      <w:fldChar w:fldCharType="begin"/>
    </w:r>
    <w:r>
      <w:rPr>
        <w:rStyle w:val="12"/>
      </w:rPr>
      <w:instrText xml:space="preserve">PAGE  </w:instrText>
    </w:r>
    <w:r>
      <w:rPr>
        <w:rStyle w:val="12"/>
      </w:rPr>
      <w:fldChar w:fldCharType="separate"/>
    </w:r>
    <w:r>
      <w:rPr>
        <w:rStyle w:val="12"/>
      </w:rPr>
      <w:t>4</w:t>
    </w:r>
    <w:r>
      <w:rPr>
        <w:rStyle w:val="12"/>
      </w:rPr>
      <w:fldChar w:fldCharType="end"/>
    </w:r>
  </w:p>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2"/>
      </w:rPr>
    </w:pPr>
    <w:r>
      <w:rPr>
        <w:rStyle w:val="12"/>
      </w:rPr>
      <w:fldChar w:fldCharType="begin"/>
    </w:r>
    <w:r>
      <w:rPr>
        <w:rStyle w:val="12"/>
      </w:rPr>
      <w:instrText xml:space="preserve">PAGE  </w:instrText>
    </w:r>
    <w:r>
      <w:rPr>
        <w:rStyle w:val="12"/>
      </w:rPr>
      <w:fldChar w:fldCharType="end"/>
    </w:r>
  </w:p>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jc w:val="both"/>
      <w:rPr>
        <w:rFonts w:eastAsia="黑体"/>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jc w:val="both"/>
      <w:rPr>
        <w:rFonts w:eastAsia="黑体"/>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BE2700"/>
    <w:multiLevelType w:val="singleLevel"/>
    <w:tmpl w:val="F2BE2700"/>
    <w:lvl w:ilvl="0" w:tentative="0">
      <w:start w:val="1"/>
      <w:numFmt w:val="decimal"/>
      <w:suff w:val="nothing"/>
      <w:lvlText w:val="（%1）"/>
      <w:lvlJc w:val="left"/>
    </w:lvl>
  </w:abstractNum>
  <w:abstractNum w:abstractNumId="1">
    <w:nsid w:val="FCF7753D"/>
    <w:multiLevelType w:val="singleLevel"/>
    <w:tmpl w:val="FCF7753D"/>
    <w:lvl w:ilvl="0" w:tentative="0">
      <w:start w:val="1"/>
      <w:numFmt w:val="decimal"/>
      <w:lvlText w:val="%1."/>
      <w:lvlJc w:val="left"/>
      <w:pPr>
        <w:tabs>
          <w:tab w:val="left" w:pos="312"/>
        </w:tabs>
      </w:pPr>
    </w:lvl>
  </w:abstractNum>
  <w:abstractNum w:abstractNumId="2">
    <w:nsid w:val="10F17B14"/>
    <w:multiLevelType w:val="singleLevel"/>
    <w:tmpl w:val="10F17B14"/>
    <w:lvl w:ilvl="0" w:tentative="0">
      <w:start w:val="1"/>
      <w:numFmt w:val="decimal"/>
      <w:lvlText w:val="(%1)"/>
      <w:lvlJc w:val="left"/>
      <w:pPr>
        <w:tabs>
          <w:tab w:val="left" w:pos="420"/>
        </w:tabs>
        <w:ind w:left="845" w:hanging="425"/>
      </w:pPr>
      <w:rPr>
        <w:rFonts w:hint="default"/>
      </w:rPr>
    </w:lvl>
  </w:abstractNum>
  <w:abstractNum w:abstractNumId="3">
    <w:nsid w:val="6D1F0DAE"/>
    <w:multiLevelType w:val="multilevel"/>
    <w:tmpl w:val="6D1F0DAE"/>
    <w:lvl w:ilvl="0" w:tentative="0">
      <w:start w:val="1"/>
      <w:numFmt w:val="decimal"/>
      <w:lvlText w:val="%1)"/>
      <w:lvlJc w:val="left"/>
      <w:pPr>
        <w:ind w:left="1060" w:hanging="420"/>
      </w:p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4">
    <w:nsid w:val="778156D9"/>
    <w:multiLevelType w:val="multilevel"/>
    <w:tmpl w:val="778156D9"/>
    <w:lvl w:ilvl="0" w:tentative="0">
      <w:start w:val="4"/>
      <w:numFmt w:val="japaneseCounting"/>
      <w:lvlText w:val="%1、"/>
      <w:lvlJc w:val="left"/>
      <w:pPr>
        <w:ind w:left="720" w:hanging="720"/>
      </w:pPr>
      <w:rPr>
        <w:rFonts w:hint="default" w:ascii="黑体" w:hAnsi="Times New Roman" w:eastAsia="黑体"/>
        <w:b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7B9E1B0B"/>
    <w:multiLevelType w:val="singleLevel"/>
    <w:tmpl w:val="7B9E1B0B"/>
    <w:lvl w:ilvl="0" w:tentative="0">
      <w:start w:val="1"/>
      <w:numFmt w:val="decimal"/>
      <w:suff w:val="nothing"/>
      <w:lvlText w:val="（%1）"/>
      <w:lvlJc w:val="left"/>
    </w:lvl>
  </w:abstractNum>
  <w:num w:numId="1">
    <w:abstractNumId w:val="2"/>
  </w:num>
  <w:num w:numId="2">
    <w:abstractNumId w:val="3"/>
  </w:num>
  <w:num w:numId="3">
    <w:abstractNumId w:val="4"/>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I4NzlkOTZhYjE4OTUwODRkNjQ5NDNiN2Y5ZDNmMjEifQ=="/>
  </w:docVars>
  <w:rsids>
    <w:rsidRoot w:val="0093494A"/>
    <w:rsid w:val="000003A7"/>
    <w:rsid w:val="00001022"/>
    <w:rsid w:val="00015D3E"/>
    <w:rsid w:val="00020952"/>
    <w:rsid w:val="0002766F"/>
    <w:rsid w:val="0003352B"/>
    <w:rsid w:val="000367E8"/>
    <w:rsid w:val="00037FF3"/>
    <w:rsid w:val="00040F11"/>
    <w:rsid w:val="00043087"/>
    <w:rsid w:val="00051149"/>
    <w:rsid w:val="0005216A"/>
    <w:rsid w:val="00056600"/>
    <w:rsid w:val="000576B1"/>
    <w:rsid w:val="0006330C"/>
    <w:rsid w:val="00065B30"/>
    <w:rsid w:val="00070825"/>
    <w:rsid w:val="00072A59"/>
    <w:rsid w:val="00082375"/>
    <w:rsid w:val="00085E75"/>
    <w:rsid w:val="00087BDC"/>
    <w:rsid w:val="0009510D"/>
    <w:rsid w:val="000954E4"/>
    <w:rsid w:val="000A0759"/>
    <w:rsid w:val="000A1A0F"/>
    <w:rsid w:val="000A39AD"/>
    <w:rsid w:val="000A706A"/>
    <w:rsid w:val="000B48AF"/>
    <w:rsid w:val="000C1EAE"/>
    <w:rsid w:val="000C2482"/>
    <w:rsid w:val="000C307D"/>
    <w:rsid w:val="000C54EE"/>
    <w:rsid w:val="000C776A"/>
    <w:rsid w:val="000D2CCD"/>
    <w:rsid w:val="000D3510"/>
    <w:rsid w:val="00110217"/>
    <w:rsid w:val="0011426D"/>
    <w:rsid w:val="00123FD0"/>
    <w:rsid w:val="00127F6D"/>
    <w:rsid w:val="00130ADA"/>
    <w:rsid w:val="00135261"/>
    <w:rsid w:val="00144459"/>
    <w:rsid w:val="00147D5F"/>
    <w:rsid w:val="00160A3B"/>
    <w:rsid w:val="00164113"/>
    <w:rsid w:val="00180BF2"/>
    <w:rsid w:val="001835A3"/>
    <w:rsid w:val="001861AB"/>
    <w:rsid w:val="00193738"/>
    <w:rsid w:val="00193AA3"/>
    <w:rsid w:val="00197BA4"/>
    <w:rsid w:val="001A16B4"/>
    <w:rsid w:val="001A19D5"/>
    <w:rsid w:val="001A6AF8"/>
    <w:rsid w:val="001A7525"/>
    <w:rsid w:val="001B27DC"/>
    <w:rsid w:val="001B5F85"/>
    <w:rsid w:val="001C089D"/>
    <w:rsid w:val="001C23D0"/>
    <w:rsid w:val="001C5758"/>
    <w:rsid w:val="001D4E33"/>
    <w:rsid w:val="001E0B84"/>
    <w:rsid w:val="001E5392"/>
    <w:rsid w:val="001E56A1"/>
    <w:rsid w:val="001F52C8"/>
    <w:rsid w:val="001F7DFD"/>
    <w:rsid w:val="00210DE7"/>
    <w:rsid w:val="00220D87"/>
    <w:rsid w:val="00226EAE"/>
    <w:rsid w:val="00233724"/>
    <w:rsid w:val="00237DF1"/>
    <w:rsid w:val="00251341"/>
    <w:rsid w:val="0026039B"/>
    <w:rsid w:val="00265224"/>
    <w:rsid w:val="0026677B"/>
    <w:rsid w:val="00270351"/>
    <w:rsid w:val="00273207"/>
    <w:rsid w:val="00273D17"/>
    <w:rsid w:val="00275DA9"/>
    <w:rsid w:val="0028740C"/>
    <w:rsid w:val="002879A7"/>
    <w:rsid w:val="00296278"/>
    <w:rsid w:val="00296984"/>
    <w:rsid w:val="002A2966"/>
    <w:rsid w:val="002A53A0"/>
    <w:rsid w:val="002A6952"/>
    <w:rsid w:val="002A6DF9"/>
    <w:rsid w:val="002D5B95"/>
    <w:rsid w:val="002D7866"/>
    <w:rsid w:val="002E4E8A"/>
    <w:rsid w:val="003005B0"/>
    <w:rsid w:val="00310C00"/>
    <w:rsid w:val="00320D02"/>
    <w:rsid w:val="003222F5"/>
    <w:rsid w:val="00326A71"/>
    <w:rsid w:val="00337382"/>
    <w:rsid w:val="0034352B"/>
    <w:rsid w:val="00346D15"/>
    <w:rsid w:val="0035263B"/>
    <w:rsid w:val="00354DA0"/>
    <w:rsid w:val="00355653"/>
    <w:rsid w:val="003559E8"/>
    <w:rsid w:val="00356DF2"/>
    <w:rsid w:val="0037345B"/>
    <w:rsid w:val="00373596"/>
    <w:rsid w:val="003745CE"/>
    <w:rsid w:val="00375992"/>
    <w:rsid w:val="00375D44"/>
    <w:rsid w:val="0038124F"/>
    <w:rsid w:val="00382E8D"/>
    <w:rsid w:val="0039058B"/>
    <w:rsid w:val="00391F5A"/>
    <w:rsid w:val="0039652A"/>
    <w:rsid w:val="00396B82"/>
    <w:rsid w:val="003A1630"/>
    <w:rsid w:val="003B6E3C"/>
    <w:rsid w:val="003C0301"/>
    <w:rsid w:val="003C2C18"/>
    <w:rsid w:val="003C51C0"/>
    <w:rsid w:val="003D1CC3"/>
    <w:rsid w:val="003D7DB1"/>
    <w:rsid w:val="003E248E"/>
    <w:rsid w:val="003F0CCD"/>
    <w:rsid w:val="003F0D9C"/>
    <w:rsid w:val="003F1343"/>
    <w:rsid w:val="003F6CEC"/>
    <w:rsid w:val="003F6E63"/>
    <w:rsid w:val="003F70C0"/>
    <w:rsid w:val="0040367E"/>
    <w:rsid w:val="0040406B"/>
    <w:rsid w:val="00407256"/>
    <w:rsid w:val="00407F90"/>
    <w:rsid w:val="00412BF0"/>
    <w:rsid w:val="004149F0"/>
    <w:rsid w:val="00415152"/>
    <w:rsid w:val="004219BF"/>
    <w:rsid w:val="00426463"/>
    <w:rsid w:val="00426ED8"/>
    <w:rsid w:val="00433284"/>
    <w:rsid w:val="00434077"/>
    <w:rsid w:val="00454037"/>
    <w:rsid w:val="0045463B"/>
    <w:rsid w:val="004654D6"/>
    <w:rsid w:val="004654E6"/>
    <w:rsid w:val="004739CE"/>
    <w:rsid w:val="00482406"/>
    <w:rsid w:val="00483ECF"/>
    <w:rsid w:val="00492551"/>
    <w:rsid w:val="00497ED0"/>
    <w:rsid w:val="004A2166"/>
    <w:rsid w:val="004A638E"/>
    <w:rsid w:val="004A6D3C"/>
    <w:rsid w:val="004B010C"/>
    <w:rsid w:val="004B75E5"/>
    <w:rsid w:val="004C410F"/>
    <w:rsid w:val="004D03D7"/>
    <w:rsid w:val="004F01C8"/>
    <w:rsid w:val="004F035D"/>
    <w:rsid w:val="004F0DA6"/>
    <w:rsid w:val="004F27D4"/>
    <w:rsid w:val="00501D78"/>
    <w:rsid w:val="005055A4"/>
    <w:rsid w:val="005072E2"/>
    <w:rsid w:val="00512D8E"/>
    <w:rsid w:val="00513977"/>
    <w:rsid w:val="00513C5E"/>
    <w:rsid w:val="005217CA"/>
    <w:rsid w:val="00521C4A"/>
    <w:rsid w:val="005236A5"/>
    <w:rsid w:val="00531300"/>
    <w:rsid w:val="00540AC4"/>
    <w:rsid w:val="0054348E"/>
    <w:rsid w:val="0055255D"/>
    <w:rsid w:val="00552C66"/>
    <w:rsid w:val="00560C63"/>
    <w:rsid w:val="00561691"/>
    <w:rsid w:val="005641B5"/>
    <w:rsid w:val="005665AF"/>
    <w:rsid w:val="00567405"/>
    <w:rsid w:val="00571D4C"/>
    <w:rsid w:val="005744C5"/>
    <w:rsid w:val="00575FF2"/>
    <w:rsid w:val="0058741C"/>
    <w:rsid w:val="0059282F"/>
    <w:rsid w:val="005A33D2"/>
    <w:rsid w:val="005B2E6A"/>
    <w:rsid w:val="005B5EF6"/>
    <w:rsid w:val="005C1ED2"/>
    <w:rsid w:val="005C3E8A"/>
    <w:rsid w:val="005C4A0E"/>
    <w:rsid w:val="005C638D"/>
    <w:rsid w:val="005D0EEB"/>
    <w:rsid w:val="005D2576"/>
    <w:rsid w:val="005D265C"/>
    <w:rsid w:val="005D3F7B"/>
    <w:rsid w:val="005E11FC"/>
    <w:rsid w:val="005E36BF"/>
    <w:rsid w:val="005F71E6"/>
    <w:rsid w:val="00600CD5"/>
    <w:rsid w:val="00604271"/>
    <w:rsid w:val="006059D1"/>
    <w:rsid w:val="00606413"/>
    <w:rsid w:val="006068F8"/>
    <w:rsid w:val="00614874"/>
    <w:rsid w:val="00616819"/>
    <w:rsid w:val="00621BE4"/>
    <w:rsid w:val="006318D4"/>
    <w:rsid w:val="00631B82"/>
    <w:rsid w:val="0063317F"/>
    <w:rsid w:val="0063654C"/>
    <w:rsid w:val="006373B0"/>
    <w:rsid w:val="006425EA"/>
    <w:rsid w:val="0065003D"/>
    <w:rsid w:val="00653960"/>
    <w:rsid w:val="0065581A"/>
    <w:rsid w:val="00655C54"/>
    <w:rsid w:val="0065646E"/>
    <w:rsid w:val="00662E46"/>
    <w:rsid w:val="00664912"/>
    <w:rsid w:val="006672AC"/>
    <w:rsid w:val="00667543"/>
    <w:rsid w:val="00673FAC"/>
    <w:rsid w:val="006809E5"/>
    <w:rsid w:val="006838FE"/>
    <w:rsid w:val="00684BD0"/>
    <w:rsid w:val="006A55BE"/>
    <w:rsid w:val="006A5D5A"/>
    <w:rsid w:val="006A5D93"/>
    <w:rsid w:val="006A7706"/>
    <w:rsid w:val="006B1C74"/>
    <w:rsid w:val="006B56CB"/>
    <w:rsid w:val="006C1D81"/>
    <w:rsid w:val="006C1E32"/>
    <w:rsid w:val="006D3E49"/>
    <w:rsid w:val="006D3FB7"/>
    <w:rsid w:val="006D6758"/>
    <w:rsid w:val="006E09BB"/>
    <w:rsid w:val="006E21BF"/>
    <w:rsid w:val="006E5045"/>
    <w:rsid w:val="006E589D"/>
    <w:rsid w:val="007006E3"/>
    <w:rsid w:val="00700EE2"/>
    <w:rsid w:val="0070366E"/>
    <w:rsid w:val="007061D0"/>
    <w:rsid w:val="00715861"/>
    <w:rsid w:val="0071630F"/>
    <w:rsid w:val="00716EAA"/>
    <w:rsid w:val="007171E4"/>
    <w:rsid w:val="0072013D"/>
    <w:rsid w:val="00721D00"/>
    <w:rsid w:val="00722881"/>
    <w:rsid w:val="007264BE"/>
    <w:rsid w:val="0072787E"/>
    <w:rsid w:val="00731BC7"/>
    <w:rsid w:val="007323AB"/>
    <w:rsid w:val="00733803"/>
    <w:rsid w:val="00737029"/>
    <w:rsid w:val="007523AC"/>
    <w:rsid w:val="00765D02"/>
    <w:rsid w:val="007771B9"/>
    <w:rsid w:val="00781661"/>
    <w:rsid w:val="007828EA"/>
    <w:rsid w:val="007940B8"/>
    <w:rsid w:val="0079516E"/>
    <w:rsid w:val="00797A84"/>
    <w:rsid w:val="007A13BC"/>
    <w:rsid w:val="007A2659"/>
    <w:rsid w:val="007B2E79"/>
    <w:rsid w:val="007B3494"/>
    <w:rsid w:val="007B6D4E"/>
    <w:rsid w:val="007D1850"/>
    <w:rsid w:val="007D4305"/>
    <w:rsid w:val="007D4670"/>
    <w:rsid w:val="007D47AC"/>
    <w:rsid w:val="007D7BE1"/>
    <w:rsid w:val="007E00A6"/>
    <w:rsid w:val="007E5198"/>
    <w:rsid w:val="007E57FC"/>
    <w:rsid w:val="007E5FB1"/>
    <w:rsid w:val="007E6C55"/>
    <w:rsid w:val="007F2A8E"/>
    <w:rsid w:val="007F788D"/>
    <w:rsid w:val="008050EE"/>
    <w:rsid w:val="008069FE"/>
    <w:rsid w:val="008104D2"/>
    <w:rsid w:val="00812467"/>
    <w:rsid w:val="00824FC7"/>
    <w:rsid w:val="00825EA8"/>
    <w:rsid w:val="00827F93"/>
    <w:rsid w:val="008436BB"/>
    <w:rsid w:val="008511B5"/>
    <w:rsid w:val="008542FE"/>
    <w:rsid w:val="00855800"/>
    <w:rsid w:val="00857846"/>
    <w:rsid w:val="008823E8"/>
    <w:rsid w:val="00883BD0"/>
    <w:rsid w:val="00890375"/>
    <w:rsid w:val="00893714"/>
    <w:rsid w:val="008A2B04"/>
    <w:rsid w:val="008A52F5"/>
    <w:rsid w:val="008A5440"/>
    <w:rsid w:val="008B3618"/>
    <w:rsid w:val="008C726B"/>
    <w:rsid w:val="008D133B"/>
    <w:rsid w:val="008E2890"/>
    <w:rsid w:val="008E4627"/>
    <w:rsid w:val="008E592B"/>
    <w:rsid w:val="008E799D"/>
    <w:rsid w:val="008F1C98"/>
    <w:rsid w:val="00912364"/>
    <w:rsid w:val="00922773"/>
    <w:rsid w:val="0092710A"/>
    <w:rsid w:val="009345F3"/>
    <w:rsid w:val="0093494A"/>
    <w:rsid w:val="00934EA0"/>
    <w:rsid w:val="009368D9"/>
    <w:rsid w:val="0094072C"/>
    <w:rsid w:val="009432FD"/>
    <w:rsid w:val="00945E2E"/>
    <w:rsid w:val="00950845"/>
    <w:rsid w:val="00951A97"/>
    <w:rsid w:val="00955DEC"/>
    <w:rsid w:val="00957AF1"/>
    <w:rsid w:val="0096570A"/>
    <w:rsid w:val="00977605"/>
    <w:rsid w:val="00977C73"/>
    <w:rsid w:val="00980F29"/>
    <w:rsid w:val="0098211F"/>
    <w:rsid w:val="00983107"/>
    <w:rsid w:val="00992F43"/>
    <w:rsid w:val="00995DD5"/>
    <w:rsid w:val="009C67FE"/>
    <w:rsid w:val="009C6DC6"/>
    <w:rsid w:val="009C7204"/>
    <w:rsid w:val="009D73C0"/>
    <w:rsid w:val="009F0E99"/>
    <w:rsid w:val="009F0F2D"/>
    <w:rsid w:val="009F242A"/>
    <w:rsid w:val="009F3E15"/>
    <w:rsid w:val="009F5C76"/>
    <w:rsid w:val="009F63E7"/>
    <w:rsid w:val="00A02427"/>
    <w:rsid w:val="00A051D4"/>
    <w:rsid w:val="00A10578"/>
    <w:rsid w:val="00A10D6A"/>
    <w:rsid w:val="00A11C23"/>
    <w:rsid w:val="00A12F98"/>
    <w:rsid w:val="00A15E37"/>
    <w:rsid w:val="00A22CEA"/>
    <w:rsid w:val="00A26B51"/>
    <w:rsid w:val="00A32FD0"/>
    <w:rsid w:val="00A35EAD"/>
    <w:rsid w:val="00A41643"/>
    <w:rsid w:val="00A44499"/>
    <w:rsid w:val="00A455B0"/>
    <w:rsid w:val="00A551B5"/>
    <w:rsid w:val="00A60345"/>
    <w:rsid w:val="00A64241"/>
    <w:rsid w:val="00A64DB3"/>
    <w:rsid w:val="00A7317E"/>
    <w:rsid w:val="00A801EA"/>
    <w:rsid w:val="00A80733"/>
    <w:rsid w:val="00A82312"/>
    <w:rsid w:val="00A83C6B"/>
    <w:rsid w:val="00A8563C"/>
    <w:rsid w:val="00AA22D7"/>
    <w:rsid w:val="00AA6A83"/>
    <w:rsid w:val="00AA6C04"/>
    <w:rsid w:val="00AB6FC5"/>
    <w:rsid w:val="00AC6613"/>
    <w:rsid w:val="00AD1D72"/>
    <w:rsid w:val="00AD2501"/>
    <w:rsid w:val="00AD4FDB"/>
    <w:rsid w:val="00AD510C"/>
    <w:rsid w:val="00AE2A2F"/>
    <w:rsid w:val="00AE3C8C"/>
    <w:rsid w:val="00AE6A32"/>
    <w:rsid w:val="00AF1423"/>
    <w:rsid w:val="00AF3921"/>
    <w:rsid w:val="00AF7B2D"/>
    <w:rsid w:val="00B03FF0"/>
    <w:rsid w:val="00B04D54"/>
    <w:rsid w:val="00B17B86"/>
    <w:rsid w:val="00B30A5B"/>
    <w:rsid w:val="00B3556E"/>
    <w:rsid w:val="00B410AE"/>
    <w:rsid w:val="00B45B0E"/>
    <w:rsid w:val="00B5459A"/>
    <w:rsid w:val="00B545F3"/>
    <w:rsid w:val="00B6360B"/>
    <w:rsid w:val="00B70BAC"/>
    <w:rsid w:val="00B71DBE"/>
    <w:rsid w:val="00B72F4C"/>
    <w:rsid w:val="00B76830"/>
    <w:rsid w:val="00B80295"/>
    <w:rsid w:val="00B80BBA"/>
    <w:rsid w:val="00B832ED"/>
    <w:rsid w:val="00B93A7D"/>
    <w:rsid w:val="00B93ED2"/>
    <w:rsid w:val="00B9540D"/>
    <w:rsid w:val="00BA6F19"/>
    <w:rsid w:val="00BB7E27"/>
    <w:rsid w:val="00BC3D8C"/>
    <w:rsid w:val="00BC4A24"/>
    <w:rsid w:val="00BD543C"/>
    <w:rsid w:val="00BE173B"/>
    <w:rsid w:val="00BF30A2"/>
    <w:rsid w:val="00C02D78"/>
    <w:rsid w:val="00C15656"/>
    <w:rsid w:val="00C15FCB"/>
    <w:rsid w:val="00C20775"/>
    <w:rsid w:val="00C25971"/>
    <w:rsid w:val="00C26FA6"/>
    <w:rsid w:val="00C27487"/>
    <w:rsid w:val="00C335B9"/>
    <w:rsid w:val="00C37881"/>
    <w:rsid w:val="00C50411"/>
    <w:rsid w:val="00C50D2C"/>
    <w:rsid w:val="00C63794"/>
    <w:rsid w:val="00C638E6"/>
    <w:rsid w:val="00C66CF9"/>
    <w:rsid w:val="00C73AA1"/>
    <w:rsid w:val="00C74331"/>
    <w:rsid w:val="00C81CE4"/>
    <w:rsid w:val="00C9264B"/>
    <w:rsid w:val="00C95193"/>
    <w:rsid w:val="00CA0B2F"/>
    <w:rsid w:val="00CB1DB7"/>
    <w:rsid w:val="00CB256E"/>
    <w:rsid w:val="00CB3216"/>
    <w:rsid w:val="00CD39E3"/>
    <w:rsid w:val="00CD4129"/>
    <w:rsid w:val="00CD551F"/>
    <w:rsid w:val="00CD710E"/>
    <w:rsid w:val="00CD7766"/>
    <w:rsid w:val="00CF37BC"/>
    <w:rsid w:val="00D02AC3"/>
    <w:rsid w:val="00D06E7B"/>
    <w:rsid w:val="00D130C4"/>
    <w:rsid w:val="00D15B9B"/>
    <w:rsid w:val="00D23139"/>
    <w:rsid w:val="00D32B95"/>
    <w:rsid w:val="00D345A4"/>
    <w:rsid w:val="00D42815"/>
    <w:rsid w:val="00D4353D"/>
    <w:rsid w:val="00D51758"/>
    <w:rsid w:val="00D64039"/>
    <w:rsid w:val="00D67B94"/>
    <w:rsid w:val="00D7026E"/>
    <w:rsid w:val="00D70290"/>
    <w:rsid w:val="00D71207"/>
    <w:rsid w:val="00D774E6"/>
    <w:rsid w:val="00D80856"/>
    <w:rsid w:val="00D815CE"/>
    <w:rsid w:val="00D85A3B"/>
    <w:rsid w:val="00D906A6"/>
    <w:rsid w:val="00D948E2"/>
    <w:rsid w:val="00D94D03"/>
    <w:rsid w:val="00D958EA"/>
    <w:rsid w:val="00D96E2F"/>
    <w:rsid w:val="00D975AF"/>
    <w:rsid w:val="00DA6337"/>
    <w:rsid w:val="00DB4A3F"/>
    <w:rsid w:val="00DB4F3E"/>
    <w:rsid w:val="00DB66FC"/>
    <w:rsid w:val="00DB7215"/>
    <w:rsid w:val="00DB7C88"/>
    <w:rsid w:val="00DC2593"/>
    <w:rsid w:val="00DC39C9"/>
    <w:rsid w:val="00DC589D"/>
    <w:rsid w:val="00DD66BB"/>
    <w:rsid w:val="00E0150E"/>
    <w:rsid w:val="00E10BEF"/>
    <w:rsid w:val="00E142E1"/>
    <w:rsid w:val="00E14446"/>
    <w:rsid w:val="00E17F88"/>
    <w:rsid w:val="00E23B0B"/>
    <w:rsid w:val="00E3133C"/>
    <w:rsid w:val="00E32591"/>
    <w:rsid w:val="00E41B91"/>
    <w:rsid w:val="00E4661D"/>
    <w:rsid w:val="00E46633"/>
    <w:rsid w:val="00E473B2"/>
    <w:rsid w:val="00E47EAB"/>
    <w:rsid w:val="00E5073B"/>
    <w:rsid w:val="00E50E16"/>
    <w:rsid w:val="00E51058"/>
    <w:rsid w:val="00E5365D"/>
    <w:rsid w:val="00E576C2"/>
    <w:rsid w:val="00E61122"/>
    <w:rsid w:val="00E66E27"/>
    <w:rsid w:val="00E715A5"/>
    <w:rsid w:val="00E96A9C"/>
    <w:rsid w:val="00E96DDE"/>
    <w:rsid w:val="00EB1AFC"/>
    <w:rsid w:val="00EB1ED3"/>
    <w:rsid w:val="00EB6C8D"/>
    <w:rsid w:val="00EC2D4C"/>
    <w:rsid w:val="00ED3F7F"/>
    <w:rsid w:val="00EE5958"/>
    <w:rsid w:val="00EE642C"/>
    <w:rsid w:val="00EF6CDC"/>
    <w:rsid w:val="00F017C6"/>
    <w:rsid w:val="00F157B2"/>
    <w:rsid w:val="00F160C5"/>
    <w:rsid w:val="00F23C18"/>
    <w:rsid w:val="00F24629"/>
    <w:rsid w:val="00F369C8"/>
    <w:rsid w:val="00F3728A"/>
    <w:rsid w:val="00F71617"/>
    <w:rsid w:val="00F71BFF"/>
    <w:rsid w:val="00F82F2C"/>
    <w:rsid w:val="00F83F64"/>
    <w:rsid w:val="00F850A6"/>
    <w:rsid w:val="00F95E9D"/>
    <w:rsid w:val="00FA03B7"/>
    <w:rsid w:val="00FB47B2"/>
    <w:rsid w:val="00FC6A75"/>
    <w:rsid w:val="00FD7258"/>
    <w:rsid w:val="00FF5C1E"/>
    <w:rsid w:val="09A87552"/>
    <w:rsid w:val="2612450E"/>
    <w:rsid w:val="5B9D18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qFormat="1" w:unhideWhenUsed="0" w:uiPriority="0" w:name="footnote text"/>
    <w:lsdException w:uiPriority="0" w:name="annotation text"/>
    <w:lsdException w:qFormat="1" w:unhideWhenUsed="0" w:uiPriority="0" w:semiHidden="0" w:name="header"/>
    <w:lsdException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nhideWhenUsed="0" w:uiPriority="0" w:name="footnote reference"/>
    <w:lsdException w:uiPriority="0" w:name="annotation reference"/>
    <w:lsdException w:uiPriority="0" w:name="line number"/>
    <w:lsdException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nhideWhenUsed="0" w:uiPriority="0" w:semiHidden="0" w:name="Body Text"/>
    <w:lsdException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1">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2">
    <w:name w:val="Document Map"/>
    <w:basedOn w:val="1"/>
    <w:semiHidden/>
    <w:qFormat/>
    <w:uiPriority w:val="0"/>
    <w:pPr>
      <w:shd w:val="clear" w:color="auto" w:fill="000080"/>
    </w:pPr>
  </w:style>
  <w:style w:type="paragraph" w:styleId="3">
    <w:name w:val="Body Text"/>
    <w:basedOn w:val="1"/>
    <w:uiPriority w:val="0"/>
    <w:pPr>
      <w:spacing w:after="120"/>
    </w:pPr>
  </w:style>
  <w:style w:type="paragraph" w:styleId="4">
    <w:name w:val="Body Text Indent"/>
    <w:basedOn w:val="1"/>
    <w:uiPriority w:val="0"/>
    <w:pPr>
      <w:ind w:firstLine="540"/>
    </w:pPr>
  </w:style>
  <w:style w:type="paragraph" w:styleId="5">
    <w:name w:val="Balloon Text"/>
    <w:basedOn w:val="1"/>
    <w:semiHidden/>
    <w:uiPriority w:val="0"/>
    <w:rPr>
      <w:sz w:val="18"/>
      <w:szCs w:val="18"/>
    </w:rPr>
  </w:style>
  <w:style w:type="paragraph" w:styleId="6">
    <w:name w:val="footer"/>
    <w:basedOn w:val="1"/>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footnote text"/>
    <w:basedOn w:val="1"/>
    <w:semiHidden/>
    <w:qFormat/>
    <w:uiPriority w:val="0"/>
    <w:pPr>
      <w:snapToGrid w:val="0"/>
      <w:jc w:val="left"/>
    </w:pPr>
    <w:rPr>
      <w:sz w:val="18"/>
      <w:szCs w:val="18"/>
    </w:rPr>
  </w:style>
  <w:style w:type="paragraph" w:styleId="9">
    <w:name w:val="Normal (Web)"/>
    <w:basedOn w:val="1"/>
    <w:qFormat/>
    <w:uiPriority w:val="0"/>
    <w:pPr>
      <w:widowControl/>
      <w:spacing w:before="100" w:beforeAutospacing="1" w:after="100" w:afterAutospacing="1"/>
      <w:jc w:val="left"/>
    </w:pPr>
    <w:rPr>
      <w:rFonts w:ascii="宋体" w:hAnsi="宋体" w:cs="宋体"/>
      <w:kern w:val="0"/>
      <w:sz w:val="18"/>
      <w:szCs w:val="18"/>
    </w:rPr>
  </w:style>
  <w:style w:type="character" w:styleId="12">
    <w:name w:val="page number"/>
    <w:basedOn w:val="11"/>
    <w:uiPriority w:val="0"/>
  </w:style>
  <w:style w:type="character" w:styleId="13">
    <w:name w:val="footnote reference"/>
    <w:semiHidden/>
    <w:uiPriority w:val="0"/>
    <w:rPr>
      <w:vertAlign w:val="superscript"/>
    </w:rPr>
  </w:style>
  <w:style w:type="paragraph" w:customStyle="1" w:styleId="14">
    <w:name w:val="默认段落字体 Para Char Char Char Char Char Char Char"/>
    <w:basedOn w:val="2"/>
    <w:qFormat/>
    <w:uiPriority w:val="0"/>
    <w:pPr>
      <w:adjustRightInd w:val="0"/>
      <w:spacing w:line="436" w:lineRule="exact"/>
      <w:ind w:left="357"/>
      <w:jc w:val="left"/>
      <w:outlineLvl w:val="3"/>
    </w:pPr>
    <w:rPr>
      <w:rFonts w:ascii="Tahoma" w:hAnsi="Tahoma"/>
      <w:b/>
      <w:sz w:val="24"/>
      <w:szCs w:val="24"/>
    </w:rPr>
  </w:style>
  <w:style w:type="paragraph" w:styleId="15">
    <w:name w:val="List Paragraph"/>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4599F0-3471-49AE-BDC1-0A58754C28E0}">
  <ds:schemaRefs/>
</ds:datastoreItem>
</file>

<file path=docProps/app.xml><?xml version="1.0" encoding="utf-8"?>
<Properties xmlns="http://schemas.openxmlformats.org/officeDocument/2006/extended-properties" xmlns:vt="http://schemas.openxmlformats.org/officeDocument/2006/docPropsVTypes">
  <Template>Normal</Template>
  <Company>Legend (Beijing) Limited</Company>
  <Pages>11</Pages>
  <Words>3880</Words>
  <Characters>3957</Characters>
  <Lines>30</Lines>
  <Paragraphs>8</Paragraphs>
  <TotalTime>10</TotalTime>
  <ScaleCrop>false</ScaleCrop>
  <LinksUpToDate>false</LinksUpToDate>
  <CharactersWithSpaces>4028</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2020-10-23T01:41:00Z</dcterms:created>
  <dc:creator>张照辉</dc:creator>
  <cp:lastModifiedBy>Administrator</cp:lastModifiedBy>
  <cp:lastPrinted>2021-02-26T09:18:00Z</cp:lastPrinted>
  <dcterms:modified xsi:type="dcterms:W3CDTF">2023-01-04T07:53:52Z</dcterms:modified>
  <dc:title>GSM十一期塔基、机房及相关土建</dc:title>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AF1E6EDB4DE241AEA2F9140F7D8E76AE</vt:lpwstr>
  </property>
</Properties>
</file>