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28"/>
          <w:szCs w:val="36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eastAsia="zh-CN"/>
        </w:rPr>
        <w:t>调整前：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8970" cy="2551430"/>
            <wp:effectExtent l="0" t="0" r="11430" b="1270"/>
            <wp:docPr id="3" name="图片 3" descr="调整前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调整前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调整后：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6750" cy="2565400"/>
            <wp:effectExtent l="0" t="0" r="12700" b="6350"/>
            <wp:docPr id="4" name="图片 4" descr="调整后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调整后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margin" w:tblpY="80"/>
        <w:tblOverlap w:val="never"/>
        <w:tblW w:w="910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01"/>
        <w:gridCol w:w="765"/>
        <w:gridCol w:w="1110"/>
        <w:gridCol w:w="900"/>
        <w:gridCol w:w="675"/>
        <w:gridCol w:w="1695"/>
        <w:gridCol w:w="24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</w:tcPr>
          <w:p>
            <w:pPr>
              <w:rPr>
                <w:rFonts w:ascii="仿宋_GB2312" w:hAnsi="宋体" w:eastAsia="仿宋_GB2312"/>
                <w:sz w:val="16"/>
                <w:szCs w:val="16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地块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编号</w:t>
            </w:r>
          </w:p>
        </w:tc>
        <w:tc>
          <w:tcPr>
            <w:tcW w:w="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用地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代码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用地性质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用地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面积</w:t>
            </w: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  <w:lang w:eastAsia="zh-CN"/>
              </w:rPr>
              <w:t>（㎡）</w:t>
            </w: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容积率</w:t>
            </w:r>
          </w:p>
        </w:tc>
        <w:tc>
          <w:tcPr>
            <w:tcW w:w="16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配套设施项目名称</w:t>
            </w:r>
          </w:p>
        </w:tc>
        <w:tc>
          <w:tcPr>
            <w:tcW w:w="2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0E0E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2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</w:rPr>
              <w:t>调整前</w:t>
            </w: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02-02</w:t>
            </w:r>
          </w:p>
        </w:tc>
        <w:tc>
          <w:tcPr>
            <w:tcW w:w="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U12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供电用地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12272</w:t>
            </w: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-</w:t>
            </w:r>
          </w:p>
        </w:tc>
        <w:tc>
          <w:tcPr>
            <w:tcW w:w="16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</w:rPr>
              <w:t>变电站（110kV）</w:t>
            </w:r>
          </w:p>
        </w:tc>
        <w:tc>
          <w:tcPr>
            <w:tcW w:w="2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现状保留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20" w:type="dxa"/>
            <w:tcBorders>
              <w:left w:val="single" w:color="auto" w:sz="2" w:space="0"/>
              <w:right w:val="single" w:color="auto" w:sz="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Times New Roman"/>
                <w:kern w:val="0"/>
                <w:sz w:val="16"/>
                <w:szCs w:val="16"/>
              </w:rPr>
              <w:t>调整后</w:t>
            </w: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02-02</w:t>
            </w:r>
          </w:p>
        </w:tc>
        <w:tc>
          <w:tcPr>
            <w:tcW w:w="7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U1+R2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供应设施用地+二类居住用地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12272</w:t>
            </w:r>
            <w:bookmarkStart w:id="0" w:name="_GoBack"/>
            <w:bookmarkEnd w:id="0"/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4.05</w:t>
            </w:r>
          </w:p>
        </w:tc>
        <w:tc>
          <w:tcPr>
            <w:tcW w:w="169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highlight w:val="none"/>
                <w:lang w:val="en-US" w:eastAsia="zh-CN" w:bidi="ar-SA"/>
              </w:rPr>
              <w:t>110千伏变电站及业务技术用房、</w:t>
            </w: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3班幼儿园、3班婴幼儿服务设施、社区管理用房、社区警务室、社区健康服务中心、再生资源回收站</w:t>
            </w:r>
          </w:p>
        </w:tc>
        <w:tc>
          <w:tcPr>
            <w:tcW w:w="2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6"/>
                <w:szCs w:val="16"/>
                <w:lang w:val="en-US" w:eastAsia="zh-CN" w:bidi="ar-SA"/>
              </w:rPr>
              <w:t>规划；本地块为保障房与变电站复合建设的项目，项目设计及建设应切实保障居住安全，变电站与各类建筑的间距应符合相关要求，后续管理应落实安全防范责任；本地块住宅建筑容积不超过33200平方米；本地块3班幼儿园及3班婴幼儿服务设施原则上以服务本地块居民为主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2AB5"/>
    <w:rsid w:val="45FF08A6"/>
    <w:rsid w:val="5DDB80F3"/>
    <w:rsid w:val="A8BE8883"/>
    <w:rsid w:val="BE791ED6"/>
    <w:rsid w:val="F45F55AD"/>
    <w:rsid w:val="FFC7F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2022-10-27T23:01:00Z</dcterms:created>
  <dc:creator>majr</dc:creator>
  <cp:lastModifiedBy>majr</cp:lastModifiedBy>
  <cp:lastPrinted>2022-10-27T15:57:00Z</cp:lastPrinted>
  <dcterms:modified xsi:type="dcterms:W3CDTF">2022-10-27T09:42:55Z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8A1C9028F011433391AC280270968300</vt:lpwstr>
  </property>
</Properties>
</file>