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宋体" w:hAnsi="宋体"/>
          <w:szCs w:val="21"/>
        </w:rPr>
      </w:pPr>
      <w:r>
        <w:rPr>
          <w:rFonts w:hint="eastAsia" w:ascii="宋体" w:hAnsi="宋体"/>
          <w:szCs w:val="21"/>
        </w:rPr>
        <w:t xml:space="preserve"> </w:t>
      </w:r>
      <w:r>
        <w:rPr>
          <w:rFonts w:ascii="宋体" w:hAnsi="宋体"/>
          <w:szCs w:val="21"/>
        </w:rPr>
        <w:t xml:space="preserve">                                                                           </w:t>
      </w:r>
    </w:p>
    <w:p>
      <w:pPr>
        <w:jc w:val="left"/>
        <w:rPr>
          <w:rFonts w:ascii="宋体" w:hAnsi="宋体"/>
          <w:szCs w:val="21"/>
        </w:rPr>
      </w:pPr>
    </w:p>
    <w:p>
      <w:pPr>
        <w:jc w:val="left"/>
        <w:rPr>
          <w:rFonts w:ascii="宋体" w:hAnsi="宋体"/>
          <w:b/>
          <w:sz w:val="36"/>
          <w:szCs w:val="36"/>
        </w:rPr>
      </w:pPr>
    </w:p>
    <w:p>
      <w:pPr>
        <w:jc w:val="center"/>
        <w:rPr>
          <w:rFonts w:ascii="宋体" w:hAnsi="宋体"/>
          <w:b/>
          <w:sz w:val="36"/>
          <w:szCs w:val="36"/>
        </w:rPr>
      </w:pPr>
      <w:r>
        <w:rPr>
          <w:rFonts w:hint="eastAsia" w:ascii="宋体" w:hAnsi="宋体"/>
          <w:b/>
          <w:sz w:val="36"/>
          <w:szCs w:val="36"/>
        </w:rPr>
        <w:t>《规划大厦二楼203、204、205、206会议室修缮》项目</w:t>
      </w:r>
    </w:p>
    <w:p>
      <w:pPr>
        <w:jc w:val="center"/>
        <w:rPr>
          <w:rFonts w:ascii="宋体" w:hAnsi="宋体"/>
          <w:b/>
          <w:sz w:val="36"/>
          <w:szCs w:val="36"/>
        </w:rPr>
      </w:pPr>
      <w:r>
        <w:rPr>
          <w:rFonts w:hint="eastAsia" w:ascii="宋体" w:hAnsi="宋体"/>
          <w:b/>
          <w:sz w:val="36"/>
          <w:szCs w:val="36"/>
        </w:rPr>
        <w:t>采购招标文件</w:t>
      </w:r>
    </w:p>
    <w:p>
      <w:pPr>
        <w:jc w:val="center"/>
        <w:rPr>
          <w:rFonts w:ascii="宋体" w:hAnsi="宋体"/>
          <w:sz w:val="36"/>
          <w:szCs w:val="36"/>
        </w:rPr>
      </w:pPr>
      <w:r>
        <w:rPr>
          <w:rFonts w:hint="eastAsia" w:ascii="宋体" w:hAnsi="宋体"/>
          <w:sz w:val="36"/>
          <w:szCs w:val="36"/>
        </w:rPr>
        <w:t>（</w:t>
      </w:r>
      <w:r>
        <w:rPr>
          <w:rFonts w:ascii="宋体" w:hAnsi="宋体"/>
          <w:sz w:val="36"/>
          <w:szCs w:val="36"/>
        </w:rPr>
        <w:t>EPC</w:t>
      </w:r>
      <w:r>
        <w:rPr>
          <w:rFonts w:hint="eastAsia" w:ascii="宋体" w:hAnsi="宋体"/>
          <w:sz w:val="36"/>
          <w:szCs w:val="36"/>
        </w:rPr>
        <w:t>工程类）</w:t>
      </w: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 w:val="32"/>
          <w:szCs w:val="32"/>
        </w:rPr>
      </w:pPr>
    </w:p>
    <w:p>
      <w:pPr>
        <w:jc w:val="left"/>
        <w:rPr>
          <w:rFonts w:ascii="宋体" w:hAnsi="宋体"/>
          <w:sz w:val="32"/>
          <w:szCs w:val="32"/>
        </w:rPr>
      </w:pPr>
    </w:p>
    <w:p>
      <w:pPr>
        <w:jc w:val="center"/>
        <w:rPr>
          <w:rFonts w:ascii="宋体" w:hAnsi="宋体"/>
          <w:sz w:val="32"/>
          <w:szCs w:val="32"/>
        </w:rPr>
      </w:pPr>
      <w:r>
        <w:rPr>
          <w:rFonts w:hint="eastAsia" w:ascii="宋体" w:hAnsi="宋体"/>
          <w:sz w:val="32"/>
          <w:szCs w:val="32"/>
        </w:rPr>
        <w:t>深圳市规划国土发展研究中心</w:t>
      </w:r>
    </w:p>
    <w:p>
      <w:pPr>
        <w:jc w:val="center"/>
        <w:rPr>
          <w:rFonts w:ascii="宋体" w:hAnsi="宋体"/>
          <w:sz w:val="32"/>
          <w:szCs w:val="32"/>
        </w:rPr>
      </w:pPr>
      <w:r>
        <w:rPr>
          <w:rFonts w:hint="eastAsia" w:ascii="宋体" w:hAnsi="宋体"/>
          <w:sz w:val="32"/>
          <w:szCs w:val="32"/>
        </w:rPr>
        <w:t>202</w:t>
      </w:r>
      <w:r>
        <w:rPr>
          <w:rFonts w:ascii="宋体" w:hAnsi="宋体"/>
          <w:sz w:val="32"/>
          <w:szCs w:val="32"/>
        </w:rPr>
        <w:t>2</w:t>
      </w:r>
      <w:r>
        <w:rPr>
          <w:rFonts w:hint="eastAsia" w:ascii="宋体" w:hAnsi="宋体"/>
          <w:sz w:val="32"/>
          <w:szCs w:val="32"/>
        </w:rPr>
        <w:t>年</w:t>
      </w:r>
      <w:r>
        <w:rPr>
          <w:rFonts w:ascii="宋体" w:hAnsi="宋体"/>
          <w:sz w:val="32"/>
          <w:szCs w:val="32"/>
        </w:rPr>
        <w:t>09</w:t>
      </w:r>
      <w:r>
        <w:rPr>
          <w:rFonts w:hint="eastAsia" w:ascii="宋体" w:hAnsi="宋体"/>
          <w:sz w:val="32"/>
          <w:szCs w:val="32"/>
        </w:rPr>
        <w:t>月</w:t>
      </w:r>
      <w:r>
        <w:rPr>
          <w:rFonts w:ascii="宋体" w:hAnsi="宋体"/>
          <w:sz w:val="32"/>
          <w:szCs w:val="32"/>
        </w:rPr>
        <w:t>13</w:t>
      </w:r>
      <w:r>
        <w:rPr>
          <w:rFonts w:hint="eastAsia" w:ascii="宋体" w:hAnsi="宋体"/>
          <w:sz w:val="32"/>
          <w:szCs w:val="32"/>
        </w:rPr>
        <w:t>日</w:t>
      </w:r>
    </w:p>
    <w:p>
      <w:pPr>
        <w:pStyle w:val="3"/>
        <w:jc w:val="center"/>
        <w:rPr>
          <w:sz w:val="21"/>
          <w:szCs w:val="21"/>
        </w:rPr>
      </w:pPr>
      <w:r>
        <w:rPr>
          <w:sz w:val="21"/>
          <w:szCs w:val="21"/>
        </w:rPr>
        <w:br w:type="page"/>
      </w:r>
    </w:p>
    <w:p>
      <w:pPr>
        <w:jc w:val="left"/>
        <w:rPr>
          <w:rFonts w:ascii="宋体" w:hAnsi="宋体"/>
          <w:szCs w:val="21"/>
        </w:rPr>
      </w:pPr>
    </w:p>
    <w:p>
      <w:pPr>
        <w:jc w:val="center"/>
        <w:rPr>
          <w:rFonts w:ascii="宋体" w:hAnsi="宋体"/>
          <w:b/>
          <w:sz w:val="36"/>
          <w:szCs w:val="36"/>
        </w:rPr>
      </w:pPr>
      <w:r>
        <w:rPr>
          <w:rFonts w:hint="eastAsia" w:ascii="宋体" w:hAnsi="宋体"/>
          <w:b/>
          <w:sz w:val="36"/>
          <w:szCs w:val="36"/>
        </w:rPr>
        <w:t>项目信息</w:t>
      </w:r>
    </w:p>
    <w:tbl>
      <w:tblPr>
        <w:tblStyle w:val="54"/>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6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093" w:type="dxa"/>
            <w:vAlign w:val="center"/>
          </w:tcPr>
          <w:p>
            <w:pPr>
              <w:jc w:val="left"/>
              <w:rPr>
                <w:rFonts w:ascii="宋体" w:hAnsi="宋体"/>
                <w:szCs w:val="21"/>
              </w:rPr>
            </w:pPr>
            <w:r>
              <w:rPr>
                <w:rFonts w:ascii="宋体" w:hAnsi="宋体"/>
                <w:szCs w:val="21"/>
              </w:rPr>
              <w:t>项目名称</w:t>
            </w:r>
          </w:p>
        </w:tc>
        <w:tc>
          <w:tcPr>
            <w:tcW w:w="6237" w:type="dxa"/>
          </w:tcPr>
          <w:p>
            <w:pPr>
              <w:jc w:val="left"/>
              <w:rPr>
                <w:rFonts w:ascii="宋体" w:hAnsi="宋体"/>
                <w:color w:val="000000"/>
                <w:szCs w:val="21"/>
              </w:rPr>
            </w:pPr>
            <w:r>
              <w:rPr>
                <w:rFonts w:hint="eastAsia" w:ascii="宋体" w:hAnsi="宋体"/>
                <w:color w:val="000000"/>
                <w:szCs w:val="21"/>
              </w:rPr>
              <w:t>规划大厦二楼203、204、205、206会议室修缮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pPr>
              <w:jc w:val="left"/>
              <w:rPr>
                <w:rFonts w:ascii="宋体" w:hAnsi="宋体"/>
                <w:szCs w:val="21"/>
              </w:rPr>
            </w:pPr>
            <w:r>
              <w:rPr>
                <w:rFonts w:ascii="宋体" w:hAnsi="宋体"/>
                <w:szCs w:val="21"/>
              </w:rPr>
              <w:t>项目类型</w:t>
            </w:r>
          </w:p>
        </w:tc>
        <w:tc>
          <w:tcPr>
            <w:tcW w:w="6237" w:type="dxa"/>
          </w:tcPr>
          <w:p>
            <w:pPr>
              <w:jc w:val="left"/>
              <w:rPr>
                <w:rFonts w:ascii="宋体" w:hAnsi="宋体"/>
                <w:szCs w:val="21"/>
              </w:rPr>
            </w:pPr>
            <w:r>
              <w:rPr>
                <w:rFonts w:hint="eastAsia" w:ascii="宋体" w:hAnsi="宋体"/>
                <w:szCs w:val="21"/>
              </w:rPr>
              <w:t>设计施工（</w:t>
            </w:r>
            <w:r>
              <w:rPr>
                <w:rFonts w:ascii="宋体" w:hAnsi="宋体"/>
                <w:szCs w:val="21"/>
              </w:rPr>
              <w:t>EPC</w:t>
            </w:r>
            <w:r>
              <w:rPr>
                <w:rFonts w:hint="eastAsia" w:ascii="宋体" w:hAnsi="宋体"/>
                <w:szCs w:val="21"/>
              </w:rPr>
              <w:t>）</w:t>
            </w:r>
            <w:r>
              <w:rPr>
                <w:rFonts w:ascii="宋体" w:hAnsi="宋体"/>
                <w:szCs w:val="21"/>
              </w:rPr>
              <w:t>工程类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pPr>
              <w:jc w:val="left"/>
              <w:rPr>
                <w:rFonts w:ascii="宋体" w:hAnsi="宋体"/>
                <w:szCs w:val="21"/>
              </w:rPr>
            </w:pPr>
            <w:r>
              <w:rPr>
                <w:rFonts w:ascii="宋体" w:hAnsi="宋体"/>
                <w:szCs w:val="21"/>
              </w:rPr>
              <w:t>采购方式</w:t>
            </w:r>
          </w:p>
        </w:tc>
        <w:tc>
          <w:tcPr>
            <w:tcW w:w="6237" w:type="dxa"/>
          </w:tcPr>
          <w:p>
            <w:pPr>
              <w:jc w:val="left"/>
              <w:rPr>
                <w:rFonts w:ascii="宋体" w:hAnsi="宋体"/>
                <w:szCs w:val="21"/>
              </w:rPr>
            </w:pPr>
            <w:r>
              <w:rPr>
                <w:rFonts w:ascii="宋体" w:hAnsi="宋体"/>
                <w:szCs w:val="21"/>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pPr>
              <w:jc w:val="left"/>
              <w:rPr>
                <w:rFonts w:ascii="宋体" w:hAnsi="宋体"/>
                <w:szCs w:val="21"/>
              </w:rPr>
            </w:pPr>
            <w:r>
              <w:rPr>
                <w:rFonts w:ascii="宋体" w:hAnsi="宋体"/>
                <w:szCs w:val="21"/>
              </w:rPr>
              <w:t>货币类型</w:t>
            </w:r>
          </w:p>
        </w:tc>
        <w:tc>
          <w:tcPr>
            <w:tcW w:w="6237" w:type="dxa"/>
          </w:tcPr>
          <w:p>
            <w:pPr>
              <w:jc w:val="left"/>
              <w:rPr>
                <w:rFonts w:ascii="宋体" w:hAnsi="宋体"/>
                <w:szCs w:val="21"/>
              </w:rPr>
            </w:pPr>
            <w:r>
              <w:rPr>
                <w:rFonts w:ascii="宋体" w:hAnsi="宋体"/>
                <w:szCs w:val="21"/>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pPr>
              <w:jc w:val="left"/>
              <w:rPr>
                <w:rFonts w:ascii="宋体" w:hAnsi="宋体"/>
                <w:szCs w:val="21"/>
              </w:rPr>
            </w:pPr>
            <w:r>
              <w:rPr>
                <w:rFonts w:ascii="宋体" w:hAnsi="宋体"/>
                <w:szCs w:val="21"/>
              </w:rPr>
              <w:t>投标文件份数</w:t>
            </w:r>
          </w:p>
        </w:tc>
        <w:tc>
          <w:tcPr>
            <w:tcW w:w="6237" w:type="dxa"/>
          </w:tcPr>
          <w:p>
            <w:pPr>
              <w:jc w:val="left"/>
              <w:rPr>
                <w:rFonts w:ascii="宋体" w:hAnsi="宋体"/>
                <w:szCs w:val="21"/>
              </w:rPr>
            </w:pPr>
            <w:r>
              <w:rPr>
                <w:rFonts w:ascii="宋体" w:hAnsi="宋体"/>
                <w:szCs w:val="21"/>
              </w:rPr>
              <w:t>正本1份</w:t>
            </w:r>
            <w:r>
              <w:rPr>
                <w:rFonts w:hint="eastAsia" w:ascii="宋体" w:hAnsi="宋体"/>
                <w:szCs w:val="21"/>
              </w:rPr>
              <w:t>、副本6份</w:t>
            </w:r>
          </w:p>
        </w:tc>
      </w:tr>
    </w:tbl>
    <w:p>
      <w:pPr>
        <w:jc w:val="left"/>
        <w:rPr>
          <w:rFonts w:ascii="宋体" w:hAnsi="宋体"/>
          <w:szCs w:val="21"/>
        </w:rPr>
      </w:pPr>
    </w:p>
    <w:p>
      <w:pPr>
        <w:pStyle w:val="4"/>
        <w:jc w:val="left"/>
        <w:rPr>
          <w:rFonts w:ascii="宋体" w:hAnsi="宋体" w:eastAsia="宋体"/>
          <w:b w:val="0"/>
          <w:sz w:val="21"/>
          <w:szCs w:val="21"/>
        </w:rPr>
      </w:pPr>
      <w:r>
        <w:rPr>
          <w:rFonts w:ascii="宋体" w:hAnsi="宋体" w:eastAsia="宋体"/>
          <w:sz w:val="21"/>
          <w:szCs w:val="21"/>
        </w:rPr>
        <w:br w:type="page"/>
      </w:r>
    </w:p>
    <w:p>
      <w:pPr>
        <w:jc w:val="center"/>
        <w:rPr>
          <w:rFonts w:ascii="宋体" w:hAnsi="宋体"/>
          <w:b/>
          <w:sz w:val="36"/>
          <w:szCs w:val="36"/>
        </w:rPr>
      </w:pPr>
      <w:r>
        <w:rPr>
          <w:rFonts w:ascii="宋体" w:hAnsi="宋体"/>
          <w:b/>
          <w:sz w:val="36"/>
          <w:szCs w:val="36"/>
        </w:rPr>
        <w:t>评标信息</w:t>
      </w:r>
    </w:p>
    <w:p>
      <w:pPr>
        <w:spacing w:line="360" w:lineRule="auto"/>
        <w:jc w:val="left"/>
        <w:rPr>
          <w:rFonts w:ascii="宋体" w:hAnsi="宋体"/>
          <w:szCs w:val="21"/>
        </w:rPr>
      </w:pPr>
      <w:r>
        <w:rPr>
          <w:rFonts w:hint="eastAsia" w:ascii="宋体" w:hAnsi="宋体"/>
          <w:szCs w:val="21"/>
        </w:rPr>
        <w:t xml:space="preserve">评标方法：综合评分法                                      </w:t>
      </w:r>
    </w:p>
    <w:p>
      <w:pPr>
        <w:spacing w:line="360" w:lineRule="auto"/>
        <w:jc w:val="left"/>
        <w:rPr>
          <w:rFonts w:ascii="宋体" w:hAnsi="宋体"/>
          <w:szCs w:val="21"/>
        </w:rPr>
      </w:pPr>
      <w:r>
        <w:rPr>
          <w:rFonts w:ascii="宋体" w:hAnsi="宋体"/>
          <w:szCs w:val="21"/>
        </w:rPr>
        <w:t xml:space="preserve">综合评分法，是指投标文件满足招标文件全部实质性要求，且按照评审因素的量化指标评审得分最高的投标人为中标候选人的评标方法。 </w:t>
      </w:r>
    </w:p>
    <w:p>
      <w:pPr>
        <w:jc w:val="left"/>
        <w:rPr>
          <w:rFonts w:ascii="宋体" w:hAnsi="宋体"/>
          <w:szCs w:val="21"/>
        </w:rPr>
      </w:pPr>
    </w:p>
    <w:p>
      <w:pPr>
        <w:adjustRightInd w:val="0"/>
        <w:snapToGrid w:val="0"/>
        <w:jc w:val="left"/>
        <w:rPr>
          <w:rFonts w:ascii="宋体" w:hAnsi="宋体" w:cs="宋体"/>
          <w:b/>
          <w:bCs/>
          <w:szCs w:val="21"/>
        </w:rPr>
      </w:pPr>
      <w:r>
        <w:rPr>
          <w:rFonts w:hint="eastAsia" w:ascii="宋体" w:hAnsi="宋体" w:cs="宋体"/>
          <w:b/>
          <w:bCs/>
          <w:szCs w:val="21"/>
        </w:rPr>
        <w:t>附表：评标项目的分值分配表</w:t>
      </w:r>
    </w:p>
    <w:tbl>
      <w:tblPr>
        <w:tblStyle w:val="54"/>
        <w:tblW w:w="89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1567"/>
        <w:gridCol w:w="1566"/>
        <w:gridCol w:w="1567"/>
        <w:gridCol w:w="2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left"/>
              <w:rPr>
                <w:rFonts w:ascii="宋体" w:hAnsi="宋体" w:cs="宋体"/>
                <w:b/>
                <w:bCs/>
                <w:szCs w:val="21"/>
              </w:rPr>
            </w:pPr>
            <w:r>
              <w:rPr>
                <w:rFonts w:hint="eastAsia" w:ascii="宋体" w:hAnsi="宋体" w:cs="宋体"/>
                <w:b/>
                <w:bCs/>
                <w:szCs w:val="21"/>
              </w:rPr>
              <w:t>评审项目</w:t>
            </w:r>
          </w:p>
        </w:tc>
        <w:tc>
          <w:tcPr>
            <w:tcW w:w="1567"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jc w:val="left"/>
              <w:rPr>
                <w:rFonts w:ascii="宋体" w:hAnsi="宋体" w:cs="宋体"/>
                <w:b/>
                <w:bCs/>
                <w:szCs w:val="21"/>
              </w:rPr>
            </w:pPr>
            <w:r>
              <w:rPr>
                <w:rFonts w:hint="eastAsia" w:ascii="宋体" w:hAnsi="宋体" w:cs="宋体"/>
                <w:b/>
                <w:bCs/>
                <w:szCs w:val="21"/>
              </w:rPr>
              <w:t>商务部分</w:t>
            </w:r>
          </w:p>
        </w:tc>
        <w:tc>
          <w:tcPr>
            <w:tcW w:w="1566"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jc w:val="left"/>
              <w:rPr>
                <w:rFonts w:ascii="宋体" w:hAnsi="宋体" w:cs="宋体"/>
                <w:b/>
                <w:bCs/>
                <w:szCs w:val="21"/>
              </w:rPr>
            </w:pPr>
            <w:r>
              <w:rPr>
                <w:rFonts w:hint="eastAsia" w:ascii="宋体" w:hAnsi="宋体" w:cs="宋体"/>
                <w:b/>
                <w:bCs/>
                <w:szCs w:val="21"/>
              </w:rPr>
              <w:t>技术部分</w:t>
            </w:r>
          </w:p>
        </w:tc>
        <w:tc>
          <w:tcPr>
            <w:tcW w:w="1567"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jc w:val="left"/>
              <w:rPr>
                <w:rFonts w:ascii="宋体" w:hAnsi="宋体" w:cs="宋体"/>
                <w:b/>
                <w:bCs/>
                <w:szCs w:val="21"/>
              </w:rPr>
            </w:pPr>
            <w:r>
              <w:rPr>
                <w:rFonts w:hint="eastAsia" w:ascii="宋体" w:hAnsi="宋体" w:cs="宋体"/>
                <w:b/>
                <w:bCs/>
                <w:szCs w:val="21"/>
              </w:rPr>
              <w:t>价格部分</w:t>
            </w:r>
          </w:p>
        </w:tc>
        <w:tc>
          <w:tcPr>
            <w:tcW w:w="2234"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jc w:val="left"/>
              <w:rPr>
                <w:rFonts w:ascii="宋体" w:hAnsi="宋体" w:cs="宋体"/>
                <w:b/>
                <w:bCs/>
                <w:szCs w:val="21"/>
              </w:rPr>
            </w:pPr>
            <w:r>
              <w:rPr>
                <w:rFonts w:hint="eastAsia" w:ascii="宋体" w:hAnsi="宋体" w:cs="宋体"/>
                <w:b/>
                <w:bCs/>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97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宋体" w:hAnsi="宋体" w:cs="宋体"/>
                <w:szCs w:val="21"/>
              </w:rPr>
            </w:pPr>
            <w:r>
              <w:rPr>
                <w:rFonts w:hint="eastAsia" w:ascii="宋体" w:hAnsi="宋体" w:cs="宋体"/>
                <w:szCs w:val="21"/>
              </w:rPr>
              <w:t>权重</w:t>
            </w:r>
          </w:p>
        </w:tc>
        <w:tc>
          <w:tcPr>
            <w:tcW w:w="1567"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2</w:t>
            </w:r>
            <w:r>
              <w:rPr>
                <w:rFonts w:hint="eastAsia" w:ascii="宋体" w:hAnsi="宋体" w:cs="宋体"/>
                <w:szCs w:val="21"/>
              </w:rPr>
              <w:t>0%</w:t>
            </w:r>
          </w:p>
        </w:tc>
        <w:tc>
          <w:tcPr>
            <w:tcW w:w="1566"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4</w:t>
            </w:r>
            <w:r>
              <w:rPr>
                <w:rFonts w:hint="eastAsia" w:ascii="宋体" w:hAnsi="宋体" w:cs="宋体"/>
                <w:szCs w:val="21"/>
              </w:rPr>
              <w:t>0%</w:t>
            </w:r>
          </w:p>
        </w:tc>
        <w:tc>
          <w:tcPr>
            <w:tcW w:w="1567"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4</w:t>
            </w:r>
            <w:r>
              <w:rPr>
                <w:rFonts w:hint="eastAsia" w:ascii="宋体" w:hAnsi="宋体" w:cs="宋体"/>
                <w:szCs w:val="21"/>
              </w:rPr>
              <w:t>0%</w:t>
            </w:r>
          </w:p>
        </w:tc>
        <w:tc>
          <w:tcPr>
            <w:tcW w:w="2234"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hint="eastAsia" w:ascii="宋体" w:hAnsi="宋体" w:cs="宋体"/>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97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宋体" w:hAnsi="宋体" w:cs="宋体"/>
                <w:szCs w:val="21"/>
              </w:rPr>
            </w:pPr>
            <w:r>
              <w:rPr>
                <w:rFonts w:hint="eastAsia" w:ascii="宋体" w:hAnsi="宋体" w:cs="宋体"/>
                <w:szCs w:val="21"/>
              </w:rPr>
              <w:t>分值</w:t>
            </w:r>
          </w:p>
        </w:tc>
        <w:tc>
          <w:tcPr>
            <w:tcW w:w="1567"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2</w:t>
            </w:r>
            <w:r>
              <w:rPr>
                <w:rFonts w:hint="eastAsia" w:ascii="宋体" w:hAnsi="宋体" w:cs="宋体"/>
                <w:szCs w:val="21"/>
              </w:rPr>
              <w:t>0分</w:t>
            </w:r>
          </w:p>
        </w:tc>
        <w:tc>
          <w:tcPr>
            <w:tcW w:w="1566"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4</w:t>
            </w:r>
            <w:r>
              <w:rPr>
                <w:rFonts w:hint="eastAsia" w:ascii="宋体" w:hAnsi="宋体" w:cs="宋体"/>
                <w:szCs w:val="21"/>
              </w:rPr>
              <w:t>0分</w:t>
            </w:r>
          </w:p>
        </w:tc>
        <w:tc>
          <w:tcPr>
            <w:tcW w:w="1567"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4</w:t>
            </w:r>
            <w:r>
              <w:rPr>
                <w:rFonts w:hint="eastAsia" w:ascii="宋体" w:hAnsi="宋体" w:cs="宋体"/>
                <w:szCs w:val="21"/>
              </w:rPr>
              <w:t>0分</w:t>
            </w:r>
          </w:p>
        </w:tc>
        <w:tc>
          <w:tcPr>
            <w:tcW w:w="2234"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hint="eastAsia" w:ascii="宋体" w:hAnsi="宋体" w:cs="宋体"/>
                <w:szCs w:val="21"/>
              </w:rPr>
              <w:t>100分</w:t>
            </w:r>
          </w:p>
        </w:tc>
      </w:tr>
    </w:tbl>
    <w:p>
      <w:pPr>
        <w:adjustRightInd w:val="0"/>
        <w:snapToGrid w:val="0"/>
        <w:jc w:val="left"/>
        <w:rPr>
          <w:rFonts w:ascii="宋体" w:hAnsi="宋体" w:cs="宋体"/>
          <w:b/>
          <w:bCs/>
          <w:szCs w:val="21"/>
        </w:rPr>
      </w:pPr>
    </w:p>
    <w:p>
      <w:pPr>
        <w:adjustRightInd w:val="0"/>
        <w:snapToGrid w:val="0"/>
        <w:jc w:val="left"/>
        <w:rPr>
          <w:rFonts w:ascii="宋体" w:hAnsi="宋体" w:cs="宋体"/>
          <w:b/>
          <w:bCs/>
          <w:szCs w:val="21"/>
        </w:rPr>
      </w:pPr>
      <w:r>
        <w:rPr>
          <w:rFonts w:hint="eastAsia" w:ascii="宋体" w:hAnsi="宋体" w:cs="宋体"/>
          <w:b/>
          <w:bCs/>
          <w:szCs w:val="21"/>
        </w:rPr>
        <w:t>商务评审表</w:t>
      </w:r>
    </w:p>
    <w:tbl>
      <w:tblPr>
        <w:tblStyle w:val="54"/>
        <w:tblW w:w="9027"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57" w:type="dxa"/>
          <w:bottom w:w="0" w:type="dxa"/>
          <w:right w:w="57" w:type="dxa"/>
        </w:tblCellMar>
      </w:tblPr>
      <w:tblGrid>
        <w:gridCol w:w="996"/>
        <w:gridCol w:w="1537"/>
        <w:gridCol w:w="797"/>
        <w:gridCol w:w="569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465" w:hRule="atLeast"/>
          <w:jc w:val="center"/>
        </w:trPr>
        <w:tc>
          <w:tcPr>
            <w:tcW w:w="996" w:type="dxa"/>
            <w:tcBorders>
              <w:top w:val="single" w:color="auto" w:sz="2" w:space="0"/>
              <w:left w:val="single" w:color="auto" w:sz="2" w:space="0"/>
              <w:bottom w:val="single" w:color="auto" w:sz="2" w:space="0"/>
              <w:right w:val="single" w:color="auto" w:sz="4" w:space="0"/>
            </w:tcBorders>
            <w:shd w:val="clear" w:color="auto" w:fill="auto"/>
            <w:vAlign w:val="center"/>
          </w:tcPr>
          <w:p>
            <w:pPr>
              <w:pStyle w:val="190"/>
              <w:adjustRightInd w:val="0"/>
              <w:snapToGrid w:val="0"/>
              <w:jc w:val="left"/>
              <w:rPr>
                <w:rFonts w:ascii="宋体" w:hAnsi="宋体" w:cs="宋体"/>
                <w:b/>
                <w:bCs/>
                <w:szCs w:val="21"/>
              </w:rPr>
            </w:pPr>
            <w:r>
              <w:rPr>
                <w:rFonts w:hint="eastAsia" w:ascii="宋体" w:hAnsi="宋体" w:cs="宋体"/>
                <w:b/>
                <w:bCs/>
                <w:szCs w:val="21"/>
              </w:rPr>
              <w:t>序号</w:t>
            </w:r>
          </w:p>
        </w:tc>
        <w:tc>
          <w:tcPr>
            <w:tcW w:w="1537" w:type="dxa"/>
            <w:tcBorders>
              <w:top w:val="single" w:color="auto" w:sz="2" w:space="0"/>
              <w:left w:val="nil"/>
              <w:bottom w:val="single" w:color="auto" w:sz="2" w:space="0"/>
              <w:right w:val="single" w:color="auto" w:sz="2" w:space="0"/>
            </w:tcBorders>
            <w:shd w:val="clear" w:color="auto" w:fill="auto"/>
            <w:vAlign w:val="center"/>
          </w:tcPr>
          <w:p>
            <w:pPr>
              <w:pStyle w:val="190"/>
              <w:adjustRightInd w:val="0"/>
              <w:snapToGrid w:val="0"/>
              <w:jc w:val="left"/>
              <w:rPr>
                <w:rFonts w:ascii="宋体" w:hAnsi="宋体" w:cs="宋体"/>
                <w:b/>
                <w:bCs/>
                <w:szCs w:val="21"/>
              </w:rPr>
            </w:pPr>
            <w:r>
              <w:rPr>
                <w:rFonts w:hint="eastAsia" w:ascii="宋体" w:hAnsi="宋体" w:cs="宋体"/>
                <w:b/>
                <w:bCs/>
                <w:szCs w:val="21"/>
              </w:rPr>
              <w:t>评审内容</w:t>
            </w:r>
          </w:p>
        </w:tc>
        <w:tc>
          <w:tcPr>
            <w:tcW w:w="797" w:type="dxa"/>
            <w:tcBorders>
              <w:top w:val="single" w:color="auto" w:sz="4" w:space="0"/>
              <w:left w:val="single" w:color="auto" w:sz="4" w:space="0"/>
              <w:bottom w:val="single" w:color="auto" w:sz="2" w:space="0"/>
              <w:right w:val="single" w:color="auto" w:sz="2" w:space="0"/>
            </w:tcBorders>
            <w:shd w:val="clear" w:color="auto" w:fill="auto"/>
            <w:vAlign w:val="center"/>
          </w:tcPr>
          <w:p>
            <w:pPr>
              <w:pStyle w:val="190"/>
              <w:adjustRightInd w:val="0"/>
              <w:snapToGrid w:val="0"/>
              <w:jc w:val="left"/>
              <w:rPr>
                <w:rFonts w:ascii="宋体" w:hAnsi="宋体" w:cs="宋体"/>
                <w:b/>
                <w:bCs/>
                <w:szCs w:val="21"/>
              </w:rPr>
            </w:pPr>
            <w:r>
              <w:rPr>
                <w:rFonts w:hint="eastAsia" w:ascii="宋体" w:hAnsi="宋体" w:cs="宋体"/>
                <w:b/>
                <w:bCs/>
                <w:szCs w:val="21"/>
              </w:rPr>
              <w:t>分值</w:t>
            </w:r>
          </w:p>
        </w:tc>
        <w:tc>
          <w:tcPr>
            <w:tcW w:w="5697" w:type="dxa"/>
            <w:tcBorders>
              <w:top w:val="single" w:color="auto" w:sz="4" w:space="0"/>
              <w:left w:val="single" w:color="auto" w:sz="4" w:space="0"/>
              <w:bottom w:val="single" w:color="auto" w:sz="2" w:space="0"/>
              <w:right w:val="single" w:color="auto" w:sz="2" w:space="0"/>
            </w:tcBorders>
            <w:shd w:val="clear" w:color="auto" w:fill="auto"/>
            <w:vAlign w:val="center"/>
          </w:tcPr>
          <w:p>
            <w:pPr>
              <w:pStyle w:val="190"/>
              <w:adjustRightInd w:val="0"/>
              <w:snapToGrid w:val="0"/>
              <w:jc w:val="left"/>
              <w:rPr>
                <w:rFonts w:ascii="宋体" w:hAnsi="宋体" w:cs="宋体"/>
                <w:b/>
                <w:bCs/>
                <w:szCs w:val="21"/>
              </w:rPr>
            </w:pPr>
            <w:r>
              <w:rPr>
                <w:rFonts w:hint="eastAsia" w:ascii="宋体" w:hAnsi="宋体" w:cs="宋体"/>
                <w:b/>
                <w:bCs/>
                <w:szCs w:val="21"/>
              </w:rPr>
              <w:t>评审标准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1621" w:hRule="atLeast"/>
          <w:jc w:val="center"/>
        </w:trPr>
        <w:tc>
          <w:tcPr>
            <w:tcW w:w="996" w:type="dxa"/>
            <w:tcBorders>
              <w:top w:val="single" w:color="auto" w:sz="2" w:space="0"/>
              <w:left w:val="single" w:color="auto" w:sz="2" w:space="0"/>
              <w:bottom w:val="single" w:color="auto" w:sz="2" w:space="0"/>
              <w:right w:val="single" w:color="auto" w:sz="4" w:space="0"/>
            </w:tcBorders>
            <w:vAlign w:val="center"/>
          </w:tcPr>
          <w:p>
            <w:pPr>
              <w:pStyle w:val="190"/>
              <w:adjustRightInd w:val="0"/>
              <w:snapToGrid w:val="0"/>
              <w:jc w:val="left"/>
              <w:rPr>
                <w:rFonts w:ascii="宋体" w:hAnsi="宋体" w:cs="宋体"/>
                <w:szCs w:val="21"/>
              </w:rPr>
            </w:pPr>
            <w:r>
              <w:rPr>
                <w:rFonts w:hint="eastAsia" w:ascii="宋体" w:hAnsi="宋体" w:cs="宋体"/>
                <w:szCs w:val="21"/>
              </w:rPr>
              <w:t>2</w:t>
            </w:r>
          </w:p>
        </w:tc>
        <w:tc>
          <w:tcPr>
            <w:tcW w:w="1537" w:type="dxa"/>
            <w:tcBorders>
              <w:top w:val="single" w:color="auto" w:sz="2" w:space="0"/>
              <w:left w:val="nil"/>
              <w:bottom w:val="single" w:color="auto" w:sz="2" w:space="0"/>
              <w:right w:val="single" w:color="auto" w:sz="2" w:space="0"/>
            </w:tcBorders>
            <w:vAlign w:val="center"/>
          </w:tcPr>
          <w:p>
            <w:pPr>
              <w:adjustRightInd w:val="0"/>
              <w:snapToGrid w:val="0"/>
              <w:jc w:val="left"/>
              <w:rPr>
                <w:rFonts w:ascii="宋体" w:hAnsi="宋体" w:cs="宋体"/>
                <w:szCs w:val="21"/>
              </w:rPr>
            </w:pPr>
            <w:r>
              <w:rPr>
                <w:rFonts w:ascii="宋体" w:hAnsi="宋体"/>
                <w:szCs w:val="21"/>
              </w:rPr>
              <w:t>投标人通过相关 认证情况</w:t>
            </w:r>
          </w:p>
        </w:tc>
        <w:tc>
          <w:tcPr>
            <w:tcW w:w="797" w:type="dxa"/>
            <w:tcBorders>
              <w:top w:val="single" w:color="auto" w:sz="4" w:space="0"/>
              <w:left w:val="single" w:color="auto" w:sz="4" w:space="0"/>
              <w:bottom w:val="single" w:color="auto" w:sz="2" w:space="0"/>
              <w:right w:val="single" w:color="auto" w:sz="2" w:space="0"/>
            </w:tcBorders>
            <w:vAlign w:val="center"/>
          </w:tcPr>
          <w:p>
            <w:pPr>
              <w:adjustRightInd w:val="0"/>
              <w:snapToGrid w:val="0"/>
              <w:jc w:val="left"/>
              <w:rPr>
                <w:rFonts w:ascii="宋体" w:hAnsi="宋体" w:cs="宋体"/>
                <w:szCs w:val="21"/>
              </w:rPr>
            </w:pPr>
            <w:r>
              <w:rPr>
                <w:rFonts w:ascii="宋体" w:hAnsi="宋体" w:cs="宋体"/>
                <w:szCs w:val="21"/>
              </w:rPr>
              <w:t>2</w:t>
            </w:r>
            <w:r>
              <w:rPr>
                <w:rFonts w:hint="eastAsia" w:ascii="宋体" w:hAnsi="宋体" w:cs="宋体"/>
                <w:szCs w:val="21"/>
              </w:rPr>
              <w:t>分</w:t>
            </w:r>
          </w:p>
        </w:tc>
        <w:tc>
          <w:tcPr>
            <w:tcW w:w="5697" w:type="dxa"/>
            <w:tcBorders>
              <w:top w:val="single" w:color="auto" w:sz="4" w:space="0"/>
              <w:left w:val="single" w:color="auto" w:sz="4" w:space="0"/>
              <w:bottom w:val="single" w:color="auto" w:sz="2" w:space="0"/>
              <w:right w:val="single" w:color="auto" w:sz="2" w:space="0"/>
            </w:tcBorders>
            <w:vAlign w:val="center"/>
          </w:tcPr>
          <w:p>
            <w:pPr>
              <w:pStyle w:val="5"/>
              <w:adjustRightInd/>
              <w:spacing w:before="0" w:after="0"/>
              <w:jc w:val="left"/>
              <w:rPr>
                <w:b w:val="0"/>
                <w:bCs w:val="0"/>
                <w:sz w:val="21"/>
                <w:szCs w:val="21"/>
              </w:rPr>
            </w:pPr>
            <w:r>
              <w:rPr>
                <w:b w:val="0"/>
                <w:bCs w:val="0"/>
                <w:sz w:val="21"/>
                <w:szCs w:val="21"/>
              </w:rPr>
              <w:t xml:space="preserve">（一）评分内容： 1.具有国家认证认可监督管理委员会批准的认证机构颁发的质量体系认证证书、环境管理体系认证证书、职业健康安全管理体系认证证书情况，本项最高得 2分。 具有三项认证证书得2分。 具有二项认证证书得 1.5分。 具有一项认证证书得 1分。 </w:t>
            </w:r>
          </w:p>
          <w:p>
            <w:pPr>
              <w:pStyle w:val="5"/>
              <w:adjustRightInd/>
              <w:spacing w:before="0" w:after="0"/>
              <w:jc w:val="left"/>
              <w:rPr>
                <w:rFonts w:cs="宋体"/>
                <w:b w:val="0"/>
                <w:bCs w:val="0"/>
                <w:sz w:val="21"/>
                <w:szCs w:val="21"/>
              </w:rPr>
            </w:pPr>
            <w:r>
              <w:rPr>
                <w:b w:val="0"/>
                <w:bCs w:val="0"/>
                <w:sz w:val="21"/>
                <w:szCs w:val="21"/>
              </w:rPr>
              <w:t>（二）评分依据： 1.要求提供有效的认证证书作为得分依据。 2.以上资料均要求提供扫描件（或官方网站截图），原件备查。评分中出现无证明资料或专家无法凭所提供资料判断是否得分的情况，一律作不得分处理。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1621" w:hRule="atLeast"/>
          <w:jc w:val="center"/>
        </w:trPr>
        <w:tc>
          <w:tcPr>
            <w:tcW w:w="996" w:type="dxa"/>
            <w:tcBorders>
              <w:top w:val="single" w:color="auto" w:sz="2" w:space="0"/>
              <w:left w:val="single" w:color="auto" w:sz="2" w:space="0"/>
              <w:bottom w:val="single" w:color="auto" w:sz="2" w:space="0"/>
              <w:right w:val="single" w:color="auto" w:sz="4" w:space="0"/>
            </w:tcBorders>
            <w:vAlign w:val="center"/>
          </w:tcPr>
          <w:p>
            <w:pPr>
              <w:pStyle w:val="190"/>
              <w:adjustRightInd w:val="0"/>
              <w:snapToGrid w:val="0"/>
              <w:jc w:val="left"/>
              <w:rPr>
                <w:rFonts w:ascii="宋体" w:hAnsi="宋体" w:cs="宋体"/>
                <w:szCs w:val="21"/>
              </w:rPr>
            </w:pPr>
            <w:r>
              <w:rPr>
                <w:rFonts w:hint="eastAsia" w:ascii="宋体" w:hAnsi="宋体" w:cs="宋体"/>
                <w:szCs w:val="21"/>
              </w:rPr>
              <w:t>3</w:t>
            </w:r>
          </w:p>
        </w:tc>
        <w:tc>
          <w:tcPr>
            <w:tcW w:w="1537" w:type="dxa"/>
            <w:tcBorders>
              <w:top w:val="single" w:color="auto" w:sz="2" w:space="0"/>
              <w:left w:val="nil"/>
              <w:bottom w:val="single" w:color="auto" w:sz="2" w:space="0"/>
              <w:right w:val="single" w:color="auto" w:sz="2" w:space="0"/>
            </w:tcBorders>
            <w:vAlign w:val="center"/>
          </w:tcPr>
          <w:p>
            <w:pPr>
              <w:adjustRightInd w:val="0"/>
              <w:snapToGrid w:val="0"/>
              <w:jc w:val="left"/>
              <w:rPr>
                <w:rFonts w:ascii="宋体" w:hAnsi="宋体" w:cs="宋体"/>
                <w:szCs w:val="21"/>
              </w:rPr>
            </w:pPr>
            <w:r>
              <w:rPr>
                <w:rFonts w:ascii="宋体" w:hAnsi="宋体"/>
                <w:szCs w:val="21"/>
              </w:rPr>
              <w:t>投标人奖项（荣 誉、表彰）情况</w:t>
            </w:r>
          </w:p>
        </w:tc>
        <w:tc>
          <w:tcPr>
            <w:tcW w:w="797" w:type="dxa"/>
            <w:tcBorders>
              <w:top w:val="single" w:color="auto" w:sz="4" w:space="0"/>
              <w:left w:val="single" w:color="auto" w:sz="4" w:space="0"/>
              <w:bottom w:val="single" w:color="auto" w:sz="2" w:space="0"/>
              <w:right w:val="single" w:color="auto" w:sz="2" w:space="0"/>
            </w:tcBorders>
            <w:vAlign w:val="center"/>
          </w:tcPr>
          <w:p>
            <w:pPr>
              <w:adjustRightInd w:val="0"/>
              <w:snapToGrid w:val="0"/>
              <w:jc w:val="left"/>
              <w:rPr>
                <w:rFonts w:ascii="宋体" w:hAnsi="宋体" w:cs="宋体"/>
                <w:szCs w:val="21"/>
              </w:rPr>
            </w:pPr>
            <w:r>
              <w:rPr>
                <w:rFonts w:ascii="宋体" w:hAnsi="宋体" w:cs="宋体"/>
                <w:szCs w:val="21"/>
              </w:rPr>
              <w:t>2</w:t>
            </w:r>
            <w:r>
              <w:rPr>
                <w:rFonts w:hint="eastAsia" w:ascii="宋体" w:hAnsi="宋体" w:cs="宋体"/>
                <w:szCs w:val="21"/>
              </w:rPr>
              <w:t>分</w:t>
            </w:r>
          </w:p>
        </w:tc>
        <w:tc>
          <w:tcPr>
            <w:tcW w:w="5697" w:type="dxa"/>
            <w:tcBorders>
              <w:top w:val="single" w:color="auto" w:sz="4" w:space="0"/>
              <w:left w:val="single" w:color="auto" w:sz="4" w:space="0"/>
              <w:bottom w:val="single" w:color="auto" w:sz="2" w:space="0"/>
              <w:right w:val="single" w:color="auto" w:sz="2" w:space="0"/>
            </w:tcBorders>
            <w:vAlign w:val="center"/>
          </w:tcPr>
          <w:p>
            <w:pPr>
              <w:pStyle w:val="5"/>
              <w:adjustRightInd/>
              <w:spacing w:before="0" w:after="0"/>
              <w:jc w:val="left"/>
              <w:rPr>
                <w:b w:val="0"/>
                <w:bCs w:val="0"/>
                <w:sz w:val="21"/>
                <w:szCs w:val="21"/>
              </w:rPr>
            </w:pPr>
            <w:r>
              <w:rPr>
                <w:b w:val="0"/>
                <w:bCs w:val="0"/>
                <w:sz w:val="21"/>
                <w:szCs w:val="21"/>
              </w:rPr>
              <w:t>（一）评分内容： 上三年度（2019 年1月1日至投标截止之日）获得与本工程相关奖项情况：</w:t>
            </w:r>
          </w:p>
          <w:p>
            <w:pPr>
              <w:pStyle w:val="5"/>
              <w:adjustRightInd/>
              <w:spacing w:before="0" w:after="0"/>
              <w:jc w:val="left"/>
              <w:rPr>
                <w:b w:val="0"/>
                <w:bCs w:val="0"/>
                <w:sz w:val="21"/>
                <w:szCs w:val="21"/>
              </w:rPr>
            </w:pPr>
            <w:r>
              <w:rPr>
                <w:b w:val="0"/>
                <w:bCs w:val="0"/>
                <w:sz w:val="21"/>
                <w:szCs w:val="21"/>
              </w:rPr>
              <w:t xml:space="preserve">1.具有国家级奖项得 2分。 </w:t>
            </w:r>
          </w:p>
          <w:p>
            <w:pPr>
              <w:pStyle w:val="5"/>
              <w:adjustRightInd/>
              <w:spacing w:before="0" w:after="0"/>
              <w:jc w:val="left"/>
              <w:rPr>
                <w:b w:val="0"/>
                <w:bCs w:val="0"/>
                <w:sz w:val="21"/>
                <w:szCs w:val="21"/>
              </w:rPr>
            </w:pPr>
            <w:r>
              <w:rPr>
                <w:b w:val="0"/>
                <w:bCs w:val="0"/>
                <w:sz w:val="21"/>
                <w:szCs w:val="21"/>
              </w:rPr>
              <w:t xml:space="preserve">2.具有省级奖项得 1 分。 </w:t>
            </w:r>
          </w:p>
          <w:p>
            <w:pPr>
              <w:pStyle w:val="5"/>
              <w:adjustRightInd/>
              <w:spacing w:before="0" w:after="0"/>
              <w:jc w:val="left"/>
              <w:rPr>
                <w:b w:val="0"/>
                <w:bCs w:val="0"/>
                <w:sz w:val="21"/>
                <w:szCs w:val="21"/>
              </w:rPr>
            </w:pPr>
            <w:r>
              <w:rPr>
                <w:b w:val="0"/>
                <w:bCs w:val="0"/>
                <w:sz w:val="21"/>
                <w:szCs w:val="21"/>
              </w:rPr>
              <w:t>3.具有市级奖项得 0</w:t>
            </w:r>
            <w:r>
              <w:rPr>
                <w:rFonts w:hint="eastAsia"/>
                <w:b w:val="0"/>
                <w:bCs w:val="0"/>
                <w:sz w:val="21"/>
                <w:szCs w:val="21"/>
              </w:rPr>
              <w:t>.5</w:t>
            </w:r>
            <w:r>
              <w:rPr>
                <w:b w:val="0"/>
                <w:bCs w:val="0"/>
                <w:sz w:val="21"/>
                <w:szCs w:val="21"/>
              </w:rPr>
              <w:t xml:space="preserve"> 分。 以上 3项不累加计分，只计最高分。 </w:t>
            </w:r>
          </w:p>
          <w:p>
            <w:pPr>
              <w:pStyle w:val="5"/>
              <w:adjustRightInd/>
              <w:spacing w:before="0" w:after="0"/>
              <w:jc w:val="left"/>
              <w:rPr>
                <w:b w:val="0"/>
                <w:bCs w:val="0"/>
                <w:sz w:val="21"/>
                <w:szCs w:val="21"/>
              </w:rPr>
            </w:pPr>
            <w:r>
              <w:rPr>
                <w:b w:val="0"/>
                <w:bCs w:val="0"/>
                <w:sz w:val="21"/>
                <w:szCs w:val="21"/>
              </w:rPr>
              <w:t xml:space="preserve">（二）评分依据： </w:t>
            </w:r>
          </w:p>
          <w:p>
            <w:pPr>
              <w:pStyle w:val="5"/>
              <w:adjustRightInd/>
              <w:spacing w:before="0" w:after="0"/>
              <w:jc w:val="left"/>
              <w:rPr>
                <w:b w:val="0"/>
                <w:bCs w:val="0"/>
                <w:sz w:val="21"/>
                <w:szCs w:val="21"/>
              </w:rPr>
            </w:pPr>
            <w:r>
              <w:rPr>
                <w:b w:val="0"/>
                <w:bCs w:val="0"/>
                <w:sz w:val="21"/>
                <w:szCs w:val="21"/>
              </w:rPr>
              <w:t xml:space="preserve">1.要求提供奖项照片或获奖（荣誉）证书等证明材料作为得分依据。 </w:t>
            </w:r>
          </w:p>
          <w:p>
            <w:pPr>
              <w:pStyle w:val="5"/>
              <w:adjustRightInd/>
              <w:spacing w:before="0" w:after="0"/>
              <w:jc w:val="left"/>
              <w:rPr>
                <w:b w:val="0"/>
                <w:bCs w:val="0"/>
                <w:sz w:val="21"/>
                <w:szCs w:val="21"/>
              </w:rPr>
            </w:pPr>
            <w:r>
              <w:rPr>
                <w:b w:val="0"/>
                <w:bCs w:val="0"/>
                <w:sz w:val="21"/>
                <w:szCs w:val="21"/>
              </w:rPr>
              <w:t xml:space="preserve">2.以上资料均要求提供扫描件（或官方网站截图），原件备查。评分中出现无证明资料或专 家无法凭所提供资料判断是否得分的情况，一律作不得分处理。 </w:t>
            </w:r>
          </w:p>
          <w:p>
            <w:pPr>
              <w:pStyle w:val="5"/>
              <w:adjustRightInd/>
              <w:spacing w:before="0" w:after="0"/>
              <w:jc w:val="left"/>
              <w:rPr>
                <w:rFonts w:cs="宋体"/>
                <w:b w:val="0"/>
                <w:bCs w:val="0"/>
                <w:sz w:val="21"/>
                <w:szCs w:val="21"/>
              </w:rPr>
            </w:pPr>
            <w:r>
              <w:rPr>
                <w:b w:val="0"/>
                <w:bCs w:val="0"/>
                <w:sz w:val="21"/>
                <w:szCs w:val="21"/>
              </w:rPr>
              <w:t>3.国家级要求颁发单位为国务院（或其直接所属的行政机关）或全国性行业协会（学会）； 省级要求颁发单位为省（自治区、直辖市）人民政府（或其直接所属的行政机关）或行业协 会（学会）：市级要求颁发单位为市（地级或以上级别）人民政府（或其直接所属的行政 机关）或行业协会（学会）</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1007" w:hRule="atLeast"/>
          <w:jc w:val="center"/>
        </w:trPr>
        <w:tc>
          <w:tcPr>
            <w:tcW w:w="996" w:type="dxa"/>
            <w:tcBorders>
              <w:top w:val="single" w:color="auto" w:sz="2" w:space="0"/>
              <w:left w:val="single" w:color="auto" w:sz="2" w:space="0"/>
              <w:bottom w:val="single" w:color="auto" w:sz="2" w:space="0"/>
              <w:right w:val="single" w:color="auto" w:sz="4" w:space="0"/>
            </w:tcBorders>
            <w:vAlign w:val="center"/>
          </w:tcPr>
          <w:p>
            <w:pPr>
              <w:pStyle w:val="190"/>
              <w:adjustRightInd w:val="0"/>
              <w:snapToGrid w:val="0"/>
              <w:jc w:val="left"/>
              <w:rPr>
                <w:rFonts w:ascii="宋体" w:hAnsi="宋体" w:cs="宋体"/>
                <w:szCs w:val="21"/>
              </w:rPr>
            </w:pPr>
            <w:r>
              <w:rPr>
                <w:rFonts w:ascii="宋体" w:hAnsi="宋体" w:cs="宋体"/>
                <w:szCs w:val="21"/>
              </w:rPr>
              <w:t>4</w:t>
            </w:r>
          </w:p>
        </w:tc>
        <w:tc>
          <w:tcPr>
            <w:tcW w:w="1537" w:type="dxa"/>
            <w:tcBorders>
              <w:top w:val="single" w:color="auto" w:sz="2" w:space="0"/>
              <w:left w:val="nil"/>
              <w:bottom w:val="single" w:color="auto" w:sz="2" w:space="0"/>
              <w:right w:val="single" w:color="auto" w:sz="2" w:space="0"/>
            </w:tcBorders>
            <w:vAlign w:val="center"/>
          </w:tcPr>
          <w:p>
            <w:pPr>
              <w:adjustRightInd w:val="0"/>
              <w:snapToGrid w:val="0"/>
              <w:jc w:val="left"/>
              <w:rPr>
                <w:rFonts w:ascii="宋体" w:hAnsi="宋体" w:cs="宋体"/>
                <w:szCs w:val="21"/>
              </w:rPr>
            </w:pPr>
            <w:r>
              <w:rPr>
                <w:rFonts w:hint="eastAsia" w:ascii="宋体" w:hAnsi="宋体" w:cs="宋体"/>
                <w:szCs w:val="21"/>
              </w:rPr>
              <w:t>同类项目</w:t>
            </w:r>
          </w:p>
          <w:p>
            <w:pPr>
              <w:adjustRightInd w:val="0"/>
              <w:snapToGrid w:val="0"/>
              <w:jc w:val="left"/>
              <w:rPr>
                <w:rFonts w:ascii="宋体" w:hAnsi="宋体" w:cs="宋体"/>
                <w:szCs w:val="21"/>
              </w:rPr>
            </w:pPr>
            <w:r>
              <w:rPr>
                <w:rFonts w:hint="eastAsia" w:ascii="宋体" w:hAnsi="宋体" w:cs="宋体"/>
                <w:szCs w:val="21"/>
              </w:rPr>
              <w:t>业绩</w:t>
            </w:r>
          </w:p>
        </w:tc>
        <w:tc>
          <w:tcPr>
            <w:tcW w:w="797" w:type="dxa"/>
            <w:tcBorders>
              <w:top w:val="single" w:color="auto" w:sz="4" w:space="0"/>
              <w:left w:val="single" w:color="auto" w:sz="4" w:space="0"/>
              <w:bottom w:val="single" w:color="auto" w:sz="2" w:space="0"/>
              <w:right w:val="single" w:color="auto" w:sz="2" w:space="0"/>
            </w:tcBorders>
            <w:vAlign w:val="center"/>
          </w:tcPr>
          <w:p>
            <w:pPr>
              <w:adjustRightInd w:val="0"/>
              <w:snapToGrid w:val="0"/>
              <w:jc w:val="left"/>
              <w:rPr>
                <w:rFonts w:ascii="宋体" w:hAnsi="宋体" w:cs="宋体"/>
                <w:szCs w:val="21"/>
              </w:rPr>
            </w:pPr>
            <w:r>
              <w:rPr>
                <w:rFonts w:ascii="宋体" w:hAnsi="宋体" w:cs="宋体"/>
                <w:szCs w:val="21"/>
              </w:rPr>
              <w:t>6</w:t>
            </w:r>
            <w:r>
              <w:rPr>
                <w:rFonts w:hint="eastAsia" w:ascii="宋体" w:hAnsi="宋体" w:cs="宋体"/>
                <w:szCs w:val="21"/>
              </w:rPr>
              <w:t>分</w:t>
            </w:r>
          </w:p>
        </w:tc>
        <w:tc>
          <w:tcPr>
            <w:tcW w:w="5697" w:type="dxa"/>
            <w:tcBorders>
              <w:top w:val="single" w:color="auto" w:sz="4" w:space="0"/>
              <w:left w:val="single" w:color="auto" w:sz="4" w:space="0"/>
              <w:bottom w:val="single" w:color="auto" w:sz="2" w:space="0"/>
              <w:right w:val="single" w:color="auto" w:sz="2" w:space="0"/>
            </w:tcBorders>
            <w:vAlign w:val="center"/>
          </w:tcPr>
          <w:p>
            <w:pPr>
              <w:pStyle w:val="190"/>
              <w:adjustRightInd w:val="0"/>
              <w:snapToGrid w:val="0"/>
              <w:jc w:val="left"/>
              <w:rPr>
                <w:rFonts w:ascii="宋体" w:hAnsi="宋体"/>
                <w:szCs w:val="21"/>
              </w:rPr>
            </w:pPr>
            <w:r>
              <w:rPr>
                <w:rFonts w:ascii="宋体" w:hAnsi="宋体"/>
                <w:szCs w:val="21"/>
              </w:rPr>
              <w:t>近三年（2019 年 1 月 1 日至投标截止之日） 具有 EPC（设计施工一体化）同类项目的业绩 情况: 具有 3 项（或以上）有效业绩得 6分； 具有 2 项有效业绩得4分；具有 1 项有效业绩得 2分；</w:t>
            </w:r>
          </w:p>
          <w:p>
            <w:pPr>
              <w:pStyle w:val="190"/>
              <w:adjustRightInd w:val="0"/>
              <w:snapToGrid w:val="0"/>
              <w:jc w:val="left"/>
              <w:rPr>
                <w:rFonts w:ascii="宋体" w:hAnsi="宋体" w:cs="宋体"/>
                <w:kern w:val="0"/>
                <w:szCs w:val="21"/>
              </w:rPr>
            </w:pPr>
            <w:r>
              <w:rPr>
                <w:rFonts w:hint="eastAsia" w:ascii="宋体" w:hAnsi="宋体" w:cs="宋体"/>
                <w:szCs w:val="21"/>
              </w:rPr>
              <w:t>证明文件：同时提供合同关键页（包括但不限于：合同名称页、合同主要内容页、合同签订日期页、合同双方签字盖章页）原件备查。如未按要求提供证明材料，或所提供的证明材料未能体现上述内容的，视为该证明材料无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1007" w:hRule="atLeast"/>
          <w:jc w:val="center"/>
        </w:trPr>
        <w:tc>
          <w:tcPr>
            <w:tcW w:w="996" w:type="dxa"/>
            <w:tcBorders>
              <w:top w:val="single" w:color="auto" w:sz="2" w:space="0"/>
              <w:left w:val="single" w:color="auto" w:sz="2" w:space="0"/>
              <w:bottom w:val="single" w:color="auto" w:sz="2" w:space="0"/>
              <w:right w:val="single" w:color="auto" w:sz="4" w:space="0"/>
            </w:tcBorders>
            <w:vAlign w:val="center"/>
          </w:tcPr>
          <w:p>
            <w:pPr>
              <w:pStyle w:val="190"/>
              <w:adjustRightInd w:val="0"/>
              <w:snapToGrid w:val="0"/>
              <w:jc w:val="left"/>
              <w:rPr>
                <w:rFonts w:ascii="宋体" w:hAnsi="宋体" w:cs="宋体"/>
                <w:szCs w:val="21"/>
              </w:rPr>
            </w:pPr>
            <w:r>
              <w:rPr>
                <w:rFonts w:hint="eastAsia" w:ascii="宋体" w:hAnsi="宋体" w:cs="宋体"/>
                <w:szCs w:val="21"/>
              </w:rPr>
              <w:t>5</w:t>
            </w:r>
          </w:p>
        </w:tc>
        <w:tc>
          <w:tcPr>
            <w:tcW w:w="1537" w:type="dxa"/>
            <w:tcBorders>
              <w:top w:val="single" w:color="auto" w:sz="2" w:space="0"/>
              <w:left w:val="nil"/>
              <w:bottom w:val="single" w:color="auto" w:sz="2" w:space="0"/>
              <w:right w:val="single" w:color="auto" w:sz="2" w:space="0"/>
            </w:tcBorders>
            <w:vAlign w:val="center"/>
          </w:tcPr>
          <w:p>
            <w:pPr>
              <w:adjustRightInd w:val="0"/>
              <w:snapToGrid w:val="0"/>
              <w:jc w:val="left"/>
              <w:rPr>
                <w:rFonts w:ascii="宋体" w:hAnsi="宋体" w:cs="宋体"/>
                <w:szCs w:val="21"/>
              </w:rPr>
            </w:pPr>
            <w:r>
              <w:rPr>
                <w:rFonts w:ascii="宋体" w:hAnsi="宋体"/>
                <w:szCs w:val="21"/>
              </w:rPr>
              <w:t>拟投入劳动力 （项目经理、技 术人员、管理班 子）情况</w:t>
            </w:r>
          </w:p>
        </w:tc>
        <w:tc>
          <w:tcPr>
            <w:tcW w:w="797" w:type="dxa"/>
            <w:tcBorders>
              <w:top w:val="single" w:color="auto" w:sz="4" w:space="0"/>
              <w:left w:val="single" w:color="auto" w:sz="4" w:space="0"/>
              <w:bottom w:val="single" w:color="auto" w:sz="2" w:space="0"/>
              <w:right w:val="single" w:color="auto" w:sz="2" w:space="0"/>
            </w:tcBorders>
            <w:vAlign w:val="center"/>
          </w:tcPr>
          <w:p>
            <w:pPr>
              <w:adjustRightInd w:val="0"/>
              <w:snapToGrid w:val="0"/>
              <w:jc w:val="left"/>
              <w:rPr>
                <w:rFonts w:ascii="宋体" w:hAnsi="宋体" w:cs="宋体"/>
                <w:szCs w:val="21"/>
              </w:rPr>
            </w:pPr>
            <w:r>
              <w:rPr>
                <w:rFonts w:hint="eastAsia" w:ascii="宋体" w:hAnsi="宋体" w:cs="宋体"/>
                <w:szCs w:val="21"/>
              </w:rPr>
              <w:t>8分</w:t>
            </w:r>
          </w:p>
        </w:tc>
        <w:tc>
          <w:tcPr>
            <w:tcW w:w="5697" w:type="dxa"/>
            <w:tcBorders>
              <w:top w:val="single" w:color="auto" w:sz="4" w:space="0"/>
              <w:left w:val="single" w:color="auto" w:sz="4" w:space="0"/>
              <w:bottom w:val="single" w:color="auto" w:sz="2" w:space="0"/>
              <w:right w:val="single" w:color="auto" w:sz="2" w:space="0"/>
            </w:tcBorders>
            <w:vAlign w:val="center"/>
          </w:tcPr>
          <w:p>
            <w:pPr>
              <w:adjustRightInd w:val="0"/>
              <w:snapToGrid w:val="0"/>
              <w:jc w:val="left"/>
              <w:rPr>
                <w:rFonts w:ascii="宋体" w:hAnsi="宋体"/>
                <w:szCs w:val="21"/>
              </w:rPr>
            </w:pPr>
            <w:r>
              <w:rPr>
                <w:rFonts w:ascii="宋体" w:hAnsi="宋体"/>
                <w:szCs w:val="21"/>
              </w:rPr>
              <w:t>（一）评分内容： 拟安排的项目主要团队成员的考察人数不少 于 4 人,否则本项不得分：</w:t>
            </w:r>
          </w:p>
          <w:p>
            <w:pPr>
              <w:adjustRightInd w:val="0"/>
              <w:snapToGrid w:val="0"/>
              <w:jc w:val="left"/>
              <w:rPr>
                <w:rFonts w:ascii="宋体" w:hAnsi="宋体"/>
                <w:szCs w:val="21"/>
              </w:rPr>
            </w:pPr>
            <w:r>
              <w:rPr>
                <w:rFonts w:ascii="宋体" w:hAnsi="宋体"/>
                <w:szCs w:val="21"/>
              </w:rPr>
              <w:t xml:space="preserve"> 1.室内设计项目负责人情况（1 人），本项最高得 3 分：</w:t>
            </w:r>
          </w:p>
          <w:p>
            <w:pPr>
              <w:adjustRightInd w:val="0"/>
              <w:snapToGrid w:val="0"/>
              <w:jc w:val="left"/>
              <w:rPr>
                <w:rFonts w:ascii="宋体" w:hAnsi="宋体"/>
                <w:szCs w:val="21"/>
              </w:rPr>
            </w:pPr>
            <w:r>
              <w:rPr>
                <w:rFonts w:ascii="宋体" w:hAnsi="宋体"/>
                <w:szCs w:val="21"/>
              </w:rPr>
              <w:t xml:space="preserve"> （1）中级工程师及以上职称得 1 分。 </w:t>
            </w:r>
          </w:p>
          <w:p>
            <w:pPr>
              <w:adjustRightInd w:val="0"/>
              <w:snapToGrid w:val="0"/>
              <w:jc w:val="left"/>
              <w:rPr>
                <w:rFonts w:ascii="宋体" w:hAnsi="宋体"/>
                <w:szCs w:val="21"/>
              </w:rPr>
            </w:pPr>
            <w:r>
              <w:rPr>
                <w:rFonts w:ascii="宋体" w:hAnsi="宋体"/>
                <w:szCs w:val="21"/>
              </w:rPr>
              <w:t>（2）具有（2 个同类型项目经验）担任设计负责人工作经验业绩得 2 分。</w:t>
            </w:r>
          </w:p>
          <w:p>
            <w:pPr>
              <w:adjustRightInd w:val="0"/>
              <w:snapToGrid w:val="0"/>
              <w:jc w:val="left"/>
              <w:rPr>
                <w:rFonts w:ascii="宋体" w:hAnsi="宋体"/>
                <w:szCs w:val="21"/>
              </w:rPr>
            </w:pPr>
            <w:r>
              <w:rPr>
                <w:rFonts w:ascii="宋体" w:hAnsi="宋体"/>
                <w:szCs w:val="21"/>
              </w:rPr>
              <w:t xml:space="preserve"> 2.施工项目经理情况（1 人），本项最高得 3 分: </w:t>
            </w:r>
          </w:p>
          <w:p>
            <w:pPr>
              <w:adjustRightInd w:val="0"/>
              <w:snapToGrid w:val="0"/>
              <w:jc w:val="left"/>
              <w:rPr>
                <w:rFonts w:ascii="宋体" w:hAnsi="宋体"/>
                <w:szCs w:val="21"/>
              </w:rPr>
            </w:pPr>
            <w:r>
              <w:rPr>
                <w:rFonts w:ascii="宋体" w:hAnsi="宋体"/>
                <w:szCs w:val="21"/>
              </w:rPr>
              <w:t xml:space="preserve">（1）具有以下注册专业之一：建筑工程：一级注册建造师证得 2 分；二级得 1 分，本小项最高得 2分。 </w:t>
            </w:r>
          </w:p>
          <w:p>
            <w:pPr>
              <w:adjustRightInd w:val="0"/>
              <w:snapToGrid w:val="0"/>
              <w:jc w:val="left"/>
              <w:rPr>
                <w:rFonts w:ascii="宋体" w:hAnsi="宋体"/>
                <w:szCs w:val="21"/>
              </w:rPr>
            </w:pPr>
            <w:r>
              <w:rPr>
                <w:rFonts w:ascii="宋体" w:hAnsi="宋体"/>
                <w:szCs w:val="21"/>
              </w:rPr>
              <w:t xml:space="preserve">（2）具有（2 个同类型项目经验）担任项目经理工作经验业绩得 1 分。 </w:t>
            </w:r>
          </w:p>
          <w:p>
            <w:pPr>
              <w:adjustRightInd w:val="0"/>
              <w:snapToGrid w:val="0"/>
              <w:jc w:val="left"/>
              <w:rPr>
                <w:rFonts w:ascii="宋体" w:hAnsi="宋体"/>
                <w:szCs w:val="21"/>
              </w:rPr>
            </w:pPr>
            <w:r>
              <w:rPr>
                <w:rFonts w:ascii="宋体" w:hAnsi="宋体"/>
                <w:szCs w:val="21"/>
              </w:rPr>
              <w:t xml:space="preserve">3.造价负责人（1 人），本项最高得 1 分： </w:t>
            </w:r>
          </w:p>
          <w:p>
            <w:pPr>
              <w:adjustRightInd w:val="0"/>
              <w:snapToGrid w:val="0"/>
              <w:jc w:val="left"/>
              <w:rPr>
                <w:rFonts w:ascii="宋体" w:hAnsi="宋体"/>
                <w:szCs w:val="21"/>
              </w:rPr>
            </w:pPr>
            <w:r>
              <w:rPr>
                <w:rFonts w:ascii="宋体" w:hAnsi="宋体"/>
                <w:szCs w:val="21"/>
              </w:rPr>
              <w:t xml:space="preserve">（1）具有一级造价工程师执业资格得 1 分； </w:t>
            </w:r>
          </w:p>
          <w:p>
            <w:pPr>
              <w:adjustRightInd w:val="0"/>
              <w:snapToGrid w:val="0"/>
              <w:jc w:val="left"/>
              <w:rPr>
                <w:rFonts w:ascii="宋体" w:hAnsi="宋体"/>
                <w:szCs w:val="21"/>
              </w:rPr>
            </w:pPr>
            <w:r>
              <w:rPr>
                <w:rFonts w:ascii="宋体" w:hAnsi="宋体"/>
                <w:szCs w:val="21"/>
              </w:rPr>
              <w:t>（2）二级造价工程师执业资格得 0.5 分。</w:t>
            </w:r>
          </w:p>
          <w:p>
            <w:pPr>
              <w:adjustRightInd w:val="0"/>
              <w:snapToGrid w:val="0"/>
              <w:jc w:val="left"/>
              <w:rPr>
                <w:rFonts w:ascii="宋体" w:hAnsi="宋体"/>
                <w:szCs w:val="21"/>
              </w:rPr>
            </w:pPr>
            <w:r>
              <w:rPr>
                <w:rFonts w:ascii="宋体" w:hAnsi="宋体"/>
                <w:szCs w:val="21"/>
              </w:rPr>
              <w:t xml:space="preserve"> 4.项目团队其他成员情况，本项最高得 1 分：</w:t>
            </w:r>
          </w:p>
          <w:p>
            <w:pPr>
              <w:adjustRightInd w:val="0"/>
              <w:snapToGrid w:val="0"/>
              <w:jc w:val="left"/>
              <w:rPr>
                <w:rFonts w:ascii="宋体" w:hAnsi="宋体"/>
                <w:szCs w:val="21"/>
              </w:rPr>
            </w:pPr>
            <w:r>
              <w:rPr>
                <w:rFonts w:ascii="宋体" w:hAnsi="宋体"/>
                <w:szCs w:val="21"/>
              </w:rPr>
              <w:t xml:space="preserve">（1）具有施工员、安全员、资料员、材料员、 质检员具备齐全得 1 分，其余不得分。 以上人员不可重复得分。 </w:t>
            </w:r>
          </w:p>
          <w:p>
            <w:pPr>
              <w:adjustRightInd w:val="0"/>
              <w:snapToGrid w:val="0"/>
              <w:jc w:val="left"/>
              <w:rPr>
                <w:rFonts w:ascii="宋体" w:hAnsi="宋体"/>
                <w:szCs w:val="21"/>
              </w:rPr>
            </w:pPr>
            <w:r>
              <w:rPr>
                <w:rFonts w:ascii="宋体" w:hAnsi="宋体"/>
                <w:szCs w:val="21"/>
              </w:rPr>
              <w:t xml:space="preserve">（二）评分依据： </w:t>
            </w:r>
          </w:p>
          <w:p>
            <w:pPr>
              <w:adjustRightInd w:val="0"/>
              <w:snapToGrid w:val="0"/>
              <w:jc w:val="left"/>
              <w:rPr>
                <w:rFonts w:ascii="宋体" w:hAnsi="宋体"/>
                <w:szCs w:val="21"/>
              </w:rPr>
            </w:pPr>
            <w:r>
              <w:rPr>
                <w:rFonts w:ascii="宋体" w:hAnsi="宋体"/>
                <w:szCs w:val="21"/>
              </w:rPr>
              <w:t xml:space="preserve">1.要求投标人主要团队成员须为投标人自有 员工，须提供社保部门出具的项目负责人所在 单位缴纳的 2022年 </w:t>
            </w:r>
            <w:r>
              <w:rPr>
                <w:rFonts w:hint="eastAsia" w:ascii="宋体" w:hAnsi="宋体"/>
                <w:szCs w:val="21"/>
                <w:lang w:val="en-US" w:eastAsia="zh-CN"/>
              </w:rPr>
              <w:t>5</w:t>
            </w:r>
            <w:r>
              <w:rPr>
                <w:rFonts w:ascii="宋体" w:hAnsi="宋体"/>
                <w:szCs w:val="21"/>
              </w:rPr>
              <w:t>月至 2022 年 7月社保证明文件原件扫描件加盖公章，原件备查。如 投标单位所在地由于社保局原因无法开出近一月社保，则社保提供时间可向前顺延 1 月。</w:t>
            </w:r>
            <w:r>
              <w:rPr>
                <w:rFonts w:ascii="宋体" w:hAnsi="宋体"/>
                <w:szCs w:val="21"/>
              </w:rPr>
              <w:br w:type="textWrapping"/>
            </w:r>
            <w:r>
              <w:rPr>
                <w:rFonts w:ascii="宋体" w:hAnsi="宋体"/>
                <w:szCs w:val="21"/>
              </w:rPr>
              <w:t xml:space="preserve"> 2.提供资质证书、职称证书扫描件（资质在有 效期内）。</w:t>
            </w:r>
          </w:p>
          <w:p>
            <w:pPr>
              <w:adjustRightInd w:val="0"/>
              <w:snapToGrid w:val="0"/>
              <w:jc w:val="left"/>
              <w:rPr>
                <w:rFonts w:ascii="宋体" w:hAnsi="宋体"/>
                <w:szCs w:val="21"/>
              </w:rPr>
            </w:pPr>
            <w:r>
              <w:rPr>
                <w:rFonts w:ascii="宋体" w:hAnsi="宋体"/>
                <w:szCs w:val="21"/>
              </w:rPr>
              <w:t xml:space="preserve"> 3.涉及同类型项目经验的提供合同关键页（体 现人员名称），如合同不能体现人员名称，还 需提供合同甲方出具的证明文件。</w:t>
            </w:r>
          </w:p>
          <w:p>
            <w:pPr>
              <w:adjustRightInd w:val="0"/>
              <w:snapToGrid w:val="0"/>
              <w:jc w:val="left"/>
              <w:rPr>
                <w:rFonts w:ascii="宋体" w:hAnsi="宋体"/>
                <w:szCs w:val="21"/>
              </w:rPr>
            </w:pPr>
            <w:r>
              <w:rPr>
                <w:rFonts w:ascii="宋体" w:hAnsi="宋体"/>
                <w:szCs w:val="21"/>
              </w:rPr>
              <w:t xml:space="preserve"> 4.以上资料均要求提供扫描件（或官方网站截 图），加盖投标人公章，原件备查。评分中出 现无证明资料或专家无法凭所提供资料判断 是否得分的情况，一律作不得分处理。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1007" w:hRule="atLeast"/>
          <w:jc w:val="center"/>
        </w:trPr>
        <w:tc>
          <w:tcPr>
            <w:tcW w:w="996" w:type="dxa"/>
            <w:tcBorders>
              <w:top w:val="single" w:color="auto" w:sz="2" w:space="0"/>
              <w:left w:val="single" w:color="auto" w:sz="2" w:space="0"/>
              <w:bottom w:val="single" w:color="auto" w:sz="2" w:space="0"/>
              <w:right w:val="single" w:color="auto" w:sz="4" w:space="0"/>
            </w:tcBorders>
            <w:vAlign w:val="center"/>
          </w:tcPr>
          <w:p>
            <w:pPr>
              <w:pStyle w:val="190"/>
              <w:adjustRightInd w:val="0"/>
              <w:snapToGrid w:val="0"/>
              <w:jc w:val="left"/>
              <w:rPr>
                <w:rFonts w:ascii="宋体" w:hAnsi="宋体" w:cs="宋体"/>
                <w:szCs w:val="21"/>
              </w:rPr>
            </w:pPr>
            <w:r>
              <w:rPr>
                <w:rFonts w:ascii="宋体" w:hAnsi="宋体" w:cs="宋体"/>
                <w:szCs w:val="21"/>
              </w:rPr>
              <w:t>6</w:t>
            </w:r>
          </w:p>
        </w:tc>
        <w:tc>
          <w:tcPr>
            <w:tcW w:w="1537" w:type="dxa"/>
            <w:tcBorders>
              <w:top w:val="single" w:color="auto" w:sz="2" w:space="0"/>
              <w:left w:val="nil"/>
              <w:bottom w:val="single" w:color="auto" w:sz="2" w:space="0"/>
              <w:right w:val="single" w:color="auto" w:sz="2" w:space="0"/>
            </w:tcBorders>
            <w:vAlign w:val="center"/>
          </w:tcPr>
          <w:p>
            <w:pPr>
              <w:adjustRightInd w:val="0"/>
              <w:snapToGrid w:val="0"/>
              <w:jc w:val="left"/>
              <w:rPr>
                <w:rFonts w:ascii="宋体" w:hAnsi="宋体" w:cs="宋体"/>
                <w:szCs w:val="21"/>
              </w:rPr>
            </w:pPr>
            <w:r>
              <w:rPr>
                <w:rFonts w:ascii="宋体" w:hAnsi="宋体"/>
                <w:szCs w:val="21"/>
              </w:rPr>
              <w:t>企业诚信</w:t>
            </w:r>
          </w:p>
        </w:tc>
        <w:tc>
          <w:tcPr>
            <w:tcW w:w="797" w:type="dxa"/>
            <w:tcBorders>
              <w:top w:val="single" w:color="auto" w:sz="4" w:space="0"/>
              <w:left w:val="single" w:color="auto" w:sz="4" w:space="0"/>
              <w:bottom w:val="single" w:color="auto" w:sz="2" w:space="0"/>
              <w:right w:val="single" w:color="auto" w:sz="2" w:space="0"/>
            </w:tcBorders>
            <w:vAlign w:val="center"/>
          </w:tcPr>
          <w:p>
            <w:pPr>
              <w:adjustRightInd w:val="0"/>
              <w:snapToGrid w:val="0"/>
              <w:jc w:val="left"/>
              <w:rPr>
                <w:rFonts w:ascii="宋体" w:hAnsi="宋体" w:cs="宋体"/>
                <w:szCs w:val="21"/>
              </w:rPr>
            </w:pPr>
            <w:r>
              <w:rPr>
                <w:rFonts w:ascii="宋体" w:hAnsi="宋体" w:cs="宋体"/>
                <w:szCs w:val="21"/>
              </w:rPr>
              <w:t>2</w:t>
            </w:r>
            <w:r>
              <w:rPr>
                <w:rFonts w:hint="eastAsia" w:ascii="宋体" w:hAnsi="宋体" w:cs="宋体"/>
                <w:szCs w:val="21"/>
              </w:rPr>
              <w:t>分</w:t>
            </w:r>
          </w:p>
        </w:tc>
        <w:tc>
          <w:tcPr>
            <w:tcW w:w="5697" w:type="dxa"/>
            <w:tcBorders>
              <w:top w:val="single" w:color="auto" w:sz="4" w:space="0"/>
              <w:left w:val="single" w:color="auto" w:sz="4" w:space="0"/>
              <w:bottom w:val="single" w:color="auto" w:sz="2" w:space="0"/>
              <w:right w:val="single" w:color="auto" w:sz="2" w:space="0"/>
            </w:tcBorders>
            <w:vAlign w:val="center"/>
          </w:tcPr>
          <w:p>
            <w:pPr>
              <w:pStyle w:val="18"/>
              <w:snapToGrid w:val="0"/>
              <w:rPr>
                <w:rFonts w:hAnsi="宋体" w:cs="宋体"/>
                <w:sz w:val="21"/>
                <w:szCs w:val="21"/>
              </w:rPr>
            </w:pPr>
            <w:r>
              <w:rPr>
                <w:rFonts w:hAnsi="宋体"/>
                <w:sz w:val="21"/>
                <w:szCs w:val="21"/>
              </w:rPr>
              <w:t>依据相关规定：投标人因违法违规被记入诚信 档案且在有效期内的，不得分；不存在此类情 况的，或虽受过行政处罚但修正行政处罚期已满，可参与政府采购投标活动的，得</w:t>
            </w:r>
            <w:r>
              <w:rPr>
                <w:rFonts w:hint="eastAsia" w:hAnsi="宋体"/>
                <w:sz w:val="21"/>
                <w:szCs w:val="21"/>
                <w:lang w:val="en-US" w:eastAsia="zh-CN"/>
              </w:rPr>
              <w:t xml:space="preserve"> </w:t>
            </w:r>
            <w:r>
              <w:rPr>
                <w:rFonts w:hAnsi="宋体"/>
                <w:sz w:val="21"/>
                <w:szCs w:val="21"/>
              </w:rPr>
              <w:t>2分。 （以企业诚信声明与承诺为准）。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470" w:hRule="atLeast"/>
          <w:jc w:val="center"/>
        </w:trPr>
        <w:tc>
          <w:tcPr>
            <w:tcW w:w="2533" w:type="dxa"/>
            <w:gridSpan w:val="2"/>
            <w:tcBorders>
              <w:top w:val="single" w:color="auto" w:sz="2" w:space="0"/>
              <w:left w:val="single" w:color="auto" w:sz="2" w:space="0"/>
              <w:bottom w:val="single" w:color="auto" w:sz="4" w:space="0"/>
              <w:right w:val="single" w:color="auto" w:sz="4" w:space="0"/>
            </w:tcBorders>
            <w:vAlign w:val="center"/>
          </w:tcPr>
          <w:p>
            <w:pPr>
              <w:pStyle w:val="190"/>
              <w:adjustRightInd w:val="0"/>
              <w:snapToGrid w:val="0"/>
              <w:jc w:val="left"/>
              <w:rPr>
                <w:rFonts w:ascii="宋体" w:hAnsi="宋体" w:cs="宋体"/>
                <w:b/>
                <w:bCs/>
                <w:szCs w:val="21"/>
              </w:rPr>
            </w:pPr>
            <w:r>
              <w:rPr>
                <w:rFonts w:hint="eastAsia" w:ascii="宋体" w:hAnsi="宋体" w:cs="宋体"/>
                <w:b/>
                <w:bCs/>
                <w:szCs w:val="21"/>
              </w:rPr>
              <w:t>合计</w:t>
            </w:r>
          </w:p>
        </w:tc>
        <w:tc>
          <w:tcPr>
            <w:tcW w:w="797" w:type="dxa"/>
            <w:tcBorders>
              <w:top w:val="single" w:color="auto" w:sz="2" w:space="0"/>
              <w:left w:val="nil"/>
              <w:bottom w:val="single" w:color="auto" w:sz="2" w:space="0"/>
              <w:right w:val="single" w:color="auto" w:sz="2" w:space="0"/>
            </w:tcBorders>
            <w:vAlign w:val="center"/>
          </w:tcPr>
          <w:p>
            <w:pPr>
              <w:pStyle w:val="190"/>
              <w:adjustRightInd w:val="0"/>
              <w:snapToGrid w:val="0"/>
              <w:jc w:val="left"/>
              <w:rPr>
                <w:rFonts w:ascii="宋体" w:hAnsi="宋体" w:cs="宋体"/>
                <w:b/>
                <w:bCs/>
                <w:szCs w:val="21"/>
              </w:rPr>
            </w:pPr>
            <w:r>
              <w:rPr>
                <w:rFonts w:ascii="宋体" w:hAnsi="宋体" w:cs="宋体"/>
                <w:b/>
                <w:bCs/>
                <w:szCs w:val="21"/>
              </w:rPr>
              <w:t>2</w:t>
            </w:r>
            <w:r>
              <w:rPr>
                <w:rFonts w:hint="eastAsia" w:ascii="宋体" w:hAnsi="宋体" w:cs="宋体"/>
                <w:b/>
                <w:bCs/>
                <w:szCs w:val="21"/>
              </w:rPr>
              <w:t>0分</w:t>
            </w:r>
          </w:p>
        </w:tc>
        <w:tc>
          <w:tcPr>
            <w:tcW w:w="5697" w:type="dxa"/>
            <w:tcBorders>
              <w:top w:val="single" w:color="auto" w:sz="2" w:space="0"/>
              <w:left w:val="single" w:color="auto" w:sz="4" w:space="0"/>
              <w:bottom w:val="single" w:color="auto" w:sz="2" w:space="0"/>
              <w:right w:val="single" w:color="auto" w:sz="2" w:space="0"/>
            </w:tcBorders>
            <w:vAlign w:val="center"/>
          </w:tcPr>
          <w:p>
            <w:pPr>
              <w:pStyle w:val="191"/>
              <w:adjustRightInd w:val="0"/>
              <w:snapToGrid w:val="0"/>
              <w:jc w:val="left"/>
              <w:rPr>
                <w:rFonts w:ascii="宋体" w:hAnsi="宋体" w:cs="宋体"/>
                <w:b/>
                <w:bCs/>
                <w:szCs w:val="21"/>
              </w:rPr>
            </w:pPr>
            <w:r>
              <w:rPr>
                <w:rFonts w:hint="eastAsia" w:ascii="宋体" w:hAnsi="宋体" w:cs="宋体"/>
                <w:szCs w:val="21"/>
              </w:rPr>
              <w:t>投标人提供虚假承诺的，将做无效投标处理，涉嫌存在违法违规行为的，依法报主管部门处理处罚。</w:t>
            </w:r>
          </w:p>
        </w:tc>
      </w:tr>
    </w:tbl>
    <w:p>
      <w:pPr>
        <w:jc w:val="left"/>
        <w:rPr>
          <w:rFonts w:ascii="宋体" w:hAnsi="宋体" w:cs="宋体"/>
          <w:b/>
          <w:bCs/>
          <w:szCs w:val="21"/>
        </w:rPr>
      </w:pPr>
    </w:p>
    <w:p>
      <w:pPr>
        <w:jc w:val="left"/>
        <w:rPr>
          <w:rFonts w:ascii="宋体" w:hAnsi="宋体" w:cs="宋体"/>
          <w:b/>
          <w:bCs/>
          <w:szCs w:val="21"/>
        </w:rPr>
      </w:pPr>
    </w:p>
    <w:p>
      <w:pPr>
        <w:jc w:val="left"/>
        <w:rPr>
          <w:rFonts w:ascii="宋体" w:hAnsi="宋体" w:cs="宋体"/>
          <w:b/>
          <w:bCs/>
          <w:szCs w:val="21"/>
        </w:rPr>
      </w:pPr>
    </w:p>
    <w:p>
      <w:pPr>
        <w:jc w:val="left"/>
        <w:rPr>
          <w:rFonts w:ascii="宋体" w:hAnsi="宋体" w:cs="宋体"/>
          <w:b/>
          <w:bCs/>
          <w:szCs w:val="21"/>
        </w:rPr>
      </w:pPr>
    </w:p>
    <w:p>
      <w:pPr>
        <w:jc w:val="left"/>
        <w:rPr>
          <w:rFonts w:ascii="宋体" w:hAnsi="宋体" w:cs="宋体"/>
          <w:b/>
          <w:bCs/>
          <w:szCs w:val="21"/>
        </w:rPr>
      </w:pPr>
    </w:p>
    <w:p>
      <w:pPr>
        <w:widowControl/>
        <w:jc w:val="left"/>
        <w:rPr>
          <w:rFonts w:ascii="宋体" w:hAnsi="宋体" w:cs="宋体"/>
          <w:b/>
          <w:bCs/>
          <w:szCs w:val="21"/>
        </w:rPr>
      </w:pPr>
      <w:r>
        <w:rPr>
          <w:rFonts w:ascii="宋体" w:hAnsi="宋体" w:cs="宋体"/>
          <w:b/>
          <w:bCs/>
          <w:szCs w:val="21"/>
        </w:rPr>
        <w:br w:type="page"/>
      </w:r>
    </w:p>
    <w:p>
      <w:pPr>
        <w:jc w:val="left"/>
        <w:rPr>
          <w:rFonts w:ascii="宋体" w:hAnsi="宋体" w:cs="宋体"/>
          <w:b/>
          <w:bCs/>
          <w:szCs w:val="21"/>
        </w:rPr>
      </w:pPr>
    </w:p>
    <w:p>
      <w:pPr>
        <w:spacing w:line="360" w:lineRule="auto"/>
        <w:jc w:val="left"/>
        <w:rPr>
          <w:rFonts w:ascii="宋体" w:hAnsi="宋体"/>
          <w:szCs w:val="21"/>
        </w:rPr>
      </w:pPr>
      <w:r>
        <w:rPr>
          <w:rFonts w:hint="eastAsia" w:ascii="宋体" w:hAnsi="宋体" w:cs="宋体"/>
          <w:b/>
          <w:bCs/>
          <w:szCs w:val="21"/>
        </w:rPr>
        <w:t>技术评审表</w:t>
      </w:r>
    </w:p>
    <w:tbl>
      <w:tblPr>
        <w:tblStyle w:val="54"/>
        <w:tblpPr w:leftFromText="180" w:rightFromText="180" w:vertAnchor="text" w:tblpXSpec="center" w:tblpY="1"/>
        <w:tblOverlap w:val="never"/>
        <w:tblW w:w="9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97"/>
        <w:gridCol w:w="1775"/>
        <w:gridCol w:w="571"/>
        <w:gridCol w:w="6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 w:hRule="atLeast"/>
          <w:tblHeader/>
        </w:trPr>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50" w:right="-51"/>
              <w:jc w:val="left"/>
              <w:rPr>
                <w:rFonts w:ascii="宋体" w:hAnsi="宋体" w:cs="宋体"/>
                <w:b/>
                <w:bCs/>
                <w:szCs w:val="21"/>
              </w:rPr>
            </w:pPr>
            <w:r>
              <w:rPr>
                <w:rFonts w:hint="eastAsia" w:ascii="宋体" w:hAnsi="宋体" w:cs="宋体"/>
                <w:b/>
                <w:bCs/>
                <w:szCs w:val="21"/>
              </w:rPr>
              <w:t>序号</w:t>
            </w:r>
          </w:p>
        </w:tc>
        <w:tc>
          <w:tcPr>
            <w:tcW w:w="1775" w:type="dxa"/>
            <w:tcBorders>
              <w:top w:val="single" w:color="auto" w:sz="4" w:space="0"/>
              <w:left w:val="nil"/>
              <w:bottom w:val="single" w:color="auto" w:sz="4" w:space="0"/>
              <w:right w:val="single" w:color="auto" w:sz="4" w:space="0"/>
            </w:tcBorders>
            <w:shd w:val="clear" w:color="auto" w:fill="auto"/>
            <w:vAlign w:val="center"/>
          </w:tcPr>
          <w:p>
            <w:pPr>
              <w:pStyle w:val="190"/>
              <w:adjustRightInd w:val="0"/>
              <w:snapToGrid w:val="0"/>
              <w:jc w:val="left"/>
              <w:rPr>
                <w:rFonts w:ascii="宋体" w:hAnsi="宋体" w:cs="宋体"/>
                <w:b/>
                <w:bCs/>
                <w:szCs w:val="21"/>
              </w:rPr>
            </w:pPr>
            <w:r>
              <w:rPr>
                <w:rFonts w:hint="eastAsia" w:ascii="宋体" w:hAnsi="宋体" w:cs="宋体"/>
                <w:b/>
                <w:bCs/>
                <w:szCs w:val="21"/>
              </w:rPr>
              <w:t>评审内容</w:t>
            </w:r>
          </w:p>
        </w:tc>
        <w:tc>
          <w:tcPr>
            <w:tcW w:w="571" w:type="dxa"/>
            <w:tcBorders>
              <w:top w:val="single" w:color="auto" w:sz="4" w:space="0"/>
              <w:left w:val="nil"/>
              <w:bottom w:val="single" w:color="auto" w:sz="4" w:space="0"/>
              <w:right w:val="single" w:color="auto" w:sz="4" w:space="0"/>
            </w:tcBorders>
            <w:shd w:val="clear" w:color="auto" w:fill="auto"/>
            <w:vAlign w:val="center"/>
          </w:tcPr>
          <w:p>
            <w:pPr>
              <w:pStyle w:val="190"/>
              <w:adjustRightInd w:val="0"/>
              <w:snapToGrid w:val="0"/>
              <w:jc w:val="left"/>
              <w:rPr>
                <w:rFonts w:ascii="宋体" w:hAnsi="宋体" w:cs="宋体"/>
                <w:b/>
                <w:bCs/>
                <w:szCs w:val="21"/>
              </w:rPr>
            </w:pPr>
            <w:r>
              <w:rPr>
                <w:rFonts w:hint="eastAsia" w:ascii="宋体" w:hAnsi="宋体" w:cs="宋体"/>
                <w:b/>
                <w:bCs/>
                <w:szCs w:val="21"/>
              </w:rPr>
              <w:t>分值</w:t>
            </w:r>
          </w:p>
        </w:tc>
        <w:tc>
          <w:tcPr>
            <w:tcW w:w="6186" w:type="dxa"/>
            <w:tcBorders>
              <w:top w:val="single" w:color="auto" w:sz="4" w:space="0"/>
              <w:left w:val="nil"/>
              <w:bottom w:val="single" w:color="auto" w:sz="4" w:space="0"/>
              <w:right w:val="single" w:color="auto" w:sz="4" w:space="0"/>
            </w:tcBorders>
            <w:shd w:val="clear" w:color="auto" w:fill="auto"/>
            <w:vAlign w:val="center"/>
          </w:tcPr>
          <w:p>
            <w:pPr>
              <w:pStyle w:val="190"/>
              <w:adjustRightInd w:val="0"/>
              <w:snapToGrid w:val="0"/>
              <w:jc w:val="left"/>
              <w:rPr>
                <w:rFonts w:ascii="宋体" w:hAnsi="宋体" w:cs="宋体"/>
                <w:b/>
                <w:bCs/>
                <w:szCs w:val="21"/>
              </w:rPr>
            </w:pPr>
            <w:r>
              <w:rPr>
                <w:rFonts w:hint="eastAsia" w:ascii="宋体" w:hAnsi="宋体" w:cs="宋体"/>
                <w:b/>
                <w:bCs/>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 w:hRule="atLeast"/>
        </w:trPr>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50" w:right="-51"/>
              <w:jc w:val="left"/>
              <w:rPr>
                <w:rFonts w:ascii="宋体" w:hAnsi="宋体" w:cs="宋体"/>
                <w:b/>
                <w:bCs/>
                <w:szCs w:val="21"/>
              </w:rPr>
            </w:pPr>
            <w:r>
              <w:rPr>
                <w:rFonts w:hint="eastAsia" w:ascii="宋体" w:hAnsi="宋体" w:cs="宋体"/>
                <w:b/>
                <w:bCs/>
                <w:szCs w:val="21"/>
              </w:rPr>
              <w:t>1</w:t>
            </w:r>
          </w:p>
        </w:tc>
        <w:tc>
          <w:tcPr>
            <w:tcW w:w="1775" w:type="dxa"/>
            <w:tcBorders>
              <w:top w:val="single" w:color="auto" w:sz="4" w:space="0"/>
              <w:left w:val="nil"/>
              <w:bottom w:val="single" w:color="auto" w:sz="4" w:space="0"/>
              <w:right w:val="single" w:color="auto" w:sz="4" w:space="0"/>
            </w:tcBorders>
            <w:shd w:val="clear" w:color="auto" w:fill="auto"/>
            <w:vAlign w:val="center"/>
          </w:tcPr>
          <w:p>
            <w:pPr>
              <w:pStyle w:val="190"/>
              <w:adjustRightInd w:val="0"/>
              <w:snapToGrid w:val="0"/>
              <w:jc w:val="left"/>
              <w:rPr>
                <w:rFonts w:ascii="宋体" w:hAnsi="宋体" w:cs="宋体"/>
                <w:b/>
                <w:bCs/>
                <w:szCs w:val="21"/>
              </w:rPr>
            </w:pPr>
            <w:r>
              <w:rPr>
                <w:rFonts w:ascii="宋体" w:hAnsi="宋体"/>
                <w:szCs w:val="21"/>
              </w:rPr>
              <w:t>项目总体概述</w:t>
            </w:r>
          </w:p>
        </w:tc>
        <w:tc>
          <w:tcPr>
            <w:tcW w:w="571" w:type="dxa"/>
            <w:tcBorders>
              <w:top w:val="single" w:color="auto" w:sz="4" w:space="0"/>
              <w:left w:val="nil"/>
              <w:bottom w:val="single" w:color="auto" w:sz="4" w:space="0"/>
              <w:right w:val="single" w:color="auto" w:sz="4" w:space="0"/>
            </w:tcBorders>
            <w:shd w:val="clear" w:color="auto" w:fill="auto"/>
            <w:vAlign w:val="center"/>
          </w:tcPr>
          <w:p>
            <w:pPr>
              <w:pStyle w:val="190"/>
              <w:adjustRightInd w:val="0"/>
              <w:snapToGrid w:val="0"/>
              <w:jc w:val="left"/>
              <w:rPr>
                <w:rFonts w:ascii="宋体" w:hAnsi="宋体" w:cs="宋体"/>
                <w:b/>
                <w:bCs/>
                <w:szCs w:val="21"/>
              </w:rPr>
            </w:pPr>
            <w:r>
              <w:rPr>
                <w:rFonts w:ascii="宋体" w:hAnsi="宋体" w:cs="宋体"/>
                <w:b/>
                <w:bCs/>
                <w:szCs w:val="21"/>
              </w:rPr>
              <w:t>4</w:t>
            </w:r>
            <w:r>
              <w:rPr>
                <w:rFonts w:hint="eastAsia" w:ascii="宋体" w:hAnsi="宋体" w:cs="宋体"/>
                <w:b/>
                <w:bCs/>
                <w:szCs w:val="21"/>
              </w:rPr>
              <w:t>分</w:t>
            </w:r>
          </w:p>
        </w:tc>
        <w:tc>
          <w:tcPr>
            <w:tcW w:w="6186" w:type="dxa"/>
            <w:tcBorders>
              <w:top w:val="single" w:color="auto" w:sz="4" w:space="0"/>
              <w:left w:val="nil"/>
              <w:bottom w:val="single" w:color="auto" w:sz="4" w:space="0"/>
              <w:right w:val="single" w:color="auto" w:sz="4" w:space="0"/>
            </w:tcBorders>
            <w:shd w:val="clear" w:color="auto" w:fill="auto"/>
            <w:vAlign w:val="center"/>
          </w:tcPr>
          <w:p>
            <w:pPr>
              <w:pStyle w:val="190"/>
              <w:adjustRightInd w:val="0"/>
              <w:snapToGrid w:val="0"/>
              <w:jc w:val="left"/>
              <w:rPr>
                <w:rFonts w:ascii="宋体" w:hAnsi="宋体"/>
                <w:szCs w:val="21"/>
              </w:rPr>
            </w:pPr>
            <w:r>
              <w:rPr>
                <w:rFonts w:ascii="宋体" w:hAnsi="宋体"/>
                <w:szCs w:val="21"/>
              </w:rPr>
              <w:t xml:space="preserve">评审内容： </w:t>
            </w:r>
          </w:p>
          <w:p>
            <w:pPr>
              <w:pStyle w:val="190"/>
              <w:adjustRightInd w:val="0"/>
              <w:snapToGrid w:val="0"/>
              <w:jc w:val="left"/>
              <w:rPr>
                <w:rFonts w:ascii="宋体" w:hAnsi="宋体"/>
                <w:szCs w:val="21"/>
              </w:rPr>
            </w:pPr>
            <w:r>
              <w:rPr>
                <w:rFonts w:ascii="宋体" w:hAnsi="宋体"/>
                <w:szCs w:val="21"/>
              </w:rPr>
              <w:t>1.项目基本情况和工作内容的理解。</w:t>
            </w:r>
          </w:p>
          <w:p>
            <w:pPr>
              <w:pStyle w:val="190"/>
              <w:adjustRightInd w:val="0"/>
              <w:snapToGrid w:val="0"/>
              <w:jc w:val="left"/>
              <w:rPr>
                <w:rFonts w:ascii="宋体" w:hAnsi="宋体"/>
                <w:szCs w:val="21"/>
              </w:rPr>
            </w:pPr>
            <w:r>
              <w:rPr>
                <w:rFonts w:ascii="宋体" w:hAnsi="宋体"/>
                <w:szCs w:val="21"/>
              </w:rPr>
              <w:t xml:space="preserve">2.项目组织实施的总体思路和综合措施。 </w:t>
            </w:r>
          </w:p>
          <w:p>
            <w:pPr>
              <w:pStyle w:val="190"/>
              <w:adjustRightInd w:val="0"/>
              <w:snapToGrid w:val="0"/>
              <w:jc w:val="left"/>
              <w:rPr>
                <w:rFonts w:ascii="宋体" w:hAnsi="宋体"/>
                <w:szCs w:val="21"/>
              </w:rPr>
            </w:pPr>
            <w:r>
              <w:rPr>
                <w:rFonts w:ascii="宋体" w:hAnsi="宋体"/>
                <w:szCs w:val="21"/>
              </w:rPr>
              <w:t xml:space="preserve">优良中差评分标准： </w:t>
            </w:r>
          </w:p>
          <w:p>
            <w:pPr>
              <w:pStyle w:val="190"/>
              <w:adjustRightInd w:val="0"/>
              <w:snapToGrid w:val="0"/>
              <w:jc w:val="left"/>
              <w:rPr>
                <w:rFonts w:ascii="宋体" w:hAnsi="宋体"/>
                <w:szCs w:val="21"/>
              </w:rPr>
            </w:pPr>
            <w:r>
              <w:rPr>
                <w:rFonts w:ascii="宋体" w:hAnsi="宋体"/>
                <w:szCs w:val="21"/>
              </w:rPr>
              <w:t xml:space="preserve">（1）投标文件响应全面； </w:t>
            </w:r>
          </w:p>
          <w:p>
            <w:pPr>
              <w:pStyle w:val="190"/>
              <w:adjustRightInd w:val="0"/>
              <w:snapToGrid w:val="0"/>
              <w:jc w:val="left"/>
              <w:rPr>
                <w:rFonts w:ascii="宋体" w:hAnsi="宋体"/>
                <w:szCs w:val="21"/>
              </w:rPr>
            </w:pPr>
            <w:r>
              <w:rPr>
                <w:rFonts w:ascii="宋体" w:hAnsi="宋体"/>
                <w:szCs w:val="21"/>
              </w:rPr>
              <w:t xml:space="preserve">（2）投标文件响应具体； </w:t>
            </w:r>
          </w:p>
          <w:p>
            <w:pPr>
              <w:pStyle w:val="190"/>
              <w:adjustRightInd w:val="0"/>
              <w:snapToGrid w:val="0"/>
              <w:jc w:val="left"/>
              <w:rPr>
                <w:rFonts w:ascii="宋体" w:hAnsi="宋体"/>
                <w:szCs w:val="21"/>
              </w:rPr>
            </w:pPr>
            <w:r>
              <w:rPr>
                <w:rFonts w:ascii="宋体" w:hAnsi="宋体"/>
                <w:szCs w:val="21"/>
              </w:rPr>
              <w:t xml:space="preserve">（3）投标文件响应详实； </w:t>
            </w:r>
          </w:p>
          <w:p>
            <w:pPr>
              <w:pStyle w:val="190"/>
              <w:adjustRightInd w:val="0"/>
              <w:snapToGrid w:val="0"/>
              <w:jc w:val="left"/>
              <w:rPr>
                <w:rFonts w:ascii="宋体" w:hAnsi="宋体"/>
                <w:szCs w:val="21"/>
              </w:rPr>
            </w:pPr>
            <w:r>
              <w:rPr>
                <w:rFonts w:ascii="宋体" w:hAnsi="宋体"/>
                <w:szCs w:val="21"/>
              </w:rPr>
              <w:t xml:space="preserve">（4）投标文件响应准确； </w:t>
            </w:r>
          </w:p>
          <w:p>
            <w:pPr>
              <w:pStyle w:val="190"/>
              <w:adjustRightInd w:val="0"/>
              <w:snapToGrid w:val="0"/>
              <w:jc w:val="left"/>
              <w:rPr>
                <w:rFonts w:ascii="宋体" w:hAnsi="宋体"/>
                <w:szCs w:val="21"/>
              </w:rPr>
            </w:pPr>
            <w:r>
              <w:rPr>
                <w:rFonts w:ascii="宋体" w:hAnsi="宋体"/>
                <w:szCs w:val="21"/>
              </w:rPr>
              <w:t xml:space="preserve">（5）投标文件响应透彻。 </w:t>
            </w:r>
          </w:p>
          <w:p>
            <w:pPr>
              <w:pStyle w:val="190"/>
              <w:adjustRightInd w:val="0"/>
              <w:snapToGrid w:val="0"/>
              <w:jc w:val="left"/>
              <w:rPr>
                <w:rFonts w:ascii="宋体" w:hAnsi="宋体"/>
                <w:szCs w:val="21"/>
              </w:rPr>
            </w:pPr>
            <w:r>
              <w:rPr>
                <w:rFonts w:ascii="宋体" w:hAnsi="宋体"/>
                <w:szCs w:val="21"/>
              </w:rPr>
              <w:t xml:space="preserve">满足以上五项要求的评价为优，得 4 分。 </w:t>
            </w:r>
          </w:p>
          <w:p>
            <w:pPr>
              <w:pStyle w:val="190"/>
              <w:adjustRightInd w:val="0"/>
              <w:snapToGrid w:val="0"/>
              <w:jc w:val="left"/>
              <w:rPr>
                <w:rFonts w:ascii="宋体" w:hAnsi="宋体"/>
                <w:szCs w:val="21"/>
              </w:rPr>
            </w:pPr>
            <w:r>
              <w:rPr>
                <w:rFonts w:ascii="宋体" w:hAnsi="宋体"/>
                <w:szCs w:val="21"/>
              </w:rPr>
              <w:t xml:space="preserve">满足以上四项要求的评价为良，得 2 分。 </w:t>
            </w:r>
          </w:p>
          <w:p>
            <w:pPr>
              <w:pStyle w:val="190"/>
              <w:adjustRightInd w:val="0"/>
              <w:snapToGrid w:val="0"/>
              <w:jc w:val="left"/>
              <w:rPr>
                <w:rFonts w:ascii="宋体" w:hAnsi="宋体"/>
                <w:szCs w:val="21"/>
              </w:rPr>
            </w:pPr>
            <w:r>
              <w:rPr>
                <w:rFonts w:ascii="宋体" w:hAnsi="宋体"/>
                <w:szCs w:val="21"/>
              </w:rPr>
              <w:t xml:space="preserve">满足以上三项要求的评价为中，得 1 分。 </w:t>
            </w:r>
          </w:p>
          <w:p>
            <w:pPr>
              <w:pStyle w:val="190"/>
              <w:adjustRightInd w:val="0"/>
              <w:snapToGrid w:val="0"/>
              <w:jc w:val="left"/>
              <w:rPr>
                <w:rFonts w:ascii="宋体" w:hAnsi="宋体" w:cs="宋体"/>
                <w:b/>
                <w:bCs/>
                <w:szCs w:val="21"/>
              </w:rPr>
            </w:pPr>
            <w:r>
              <w:rPr>
                <w:rFonts w:ascii="宋体" w:hAnsi="宋体"/>
                <w:szCs w:val="21"/>
              </w:rPr>
              <w:t>其它情况的评价为差，不得分。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0" w:hRule="atLeast"/>
        </w:trPr>
        <w:tc>
          <w:tcPr>
            <w:tcW w:w="597"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50" w:right="-51"/>
              <w:jc w:val="left"/>
              <w:rPr>
                <w:rFonts w:ascii="宋体" w:hAnsi="宋体" w:cs="宋体"/>
                <w:szCs w:val="21"/>
              </w:rPr>
            </w:pPr>
            <w:r>
              <w:rPr>
                <w:rFonts w:ascii="宋体" w:hAnsi="宋体" w:cs="宋体"/>
                <w:szCs w:val="21"/>
              </w:rPr>
              <w:t>2</w:t>
            </w:r>
          </w:p>
        </w:tc>
        <w:tc>
          <w:tcPr>
            <w:tcW w:w="1775"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szCs w:val="21"/>
              </w:rPr>
              <w:t>施工组织计划、 施工技术、施工 工艺及相关的合 理化建议</w:t>
            </w:r>
          </w:p>
        </w:tc>
        <w:tc>
          <w:tcPr>
            <w:tcW w:w="571"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3</w:t>
            </w:r>
            <w:r>
              <w:rPr>
                <w:rFonts w:hint="eastAsia" w:ascii="宋体" w:hAnsi="宋体" w:cs="宋体"/>
                <w:szCs w:val="21"/>
              </w:rPr>
              <w:t>分</w:t>
            </w:r>
          </w:p>
        </w:tc>
        <w:tc>
          <w:tcPr>
            <w:tcW w:w="6186" w:type="dxa"/>
            <w:tcBorders>
              <w:top w:val="single" w:color="auto" w:sz="4" w:space="0"/>
              <w:left w:val="nil"/>
              <w:bottom w:val="single" w:color="auto" w:sz="4" w:space="0"/>
              <w:right w:val="single" w:color="auto" w:sz="4" w:space="0"/>
            </w:tcBorders>
            <w:vAlign w:val="center"/>
          </w:tcPr>
          <w:p>
            <w:pPr>
              <w:topLinePunct/>
              <w:adjustRightInd w:val="0"/>
              <w:snapToGrid w:val="0"/>
              <w:jc w:val="left"/>
              <w:rPr>
                <w:rFonts w:ascii="宋体" w:hAnsi="宋体"/>
                <w:szCs w:val="21"/>
              </w:rPr>
            </w:pPr>
            <w:r>
              <w:rPr>
                <w:rFonts w:ascii="宋体" w:hAnsi="宋体"/>
                <w:szCs w:val="21"/>
              </w:rPr>
              <w:t xml:space="preserve">评审内容： </w:t>
            </w:r>
          </w:p>
          <w:p>
            <w:pPr>
              <w:topLinePunct/>
              <w:adjustRightInd w:val="0"/>
              <w:snapToGrid w:val="0"/>
              <w:jc w:val="left"/>
              <w:rPr>
                <w:rFonts w:ascii="宋体" w:hAnsi="宋体"/>
                <w:szCs w:val="21"/>
              </w:rPr>
            </w:pPr>
            <w:r>
              <w:rPr>
                <w:rFonts w:ascii="宋体" w:hAnsi="宋体"/>
                <w:szCs w:val="21"/>
              </w:rPr>
              <w:t xml:space="preserve">1.施工组织计划。 </w:t>
            </w:r>
          </w:p>
          <w:p>
            <w:pPr>
              <w:topLinePunct/>
              <w:adjustRightInd w:val="0"/>
              <w:snapToGrid w:val="0"/>
              <w:jc w:val="left"/>
              <w:rPr>
                <w:rFonts w:ascii="宋体" w:hAnsi="宋体"/>
                <w:szCs w:val="21"/>
              </w:rPr>
            </w:pPr>
            <w:r>
              <w:rPr>
                <w:rFonts w:ascii="宋体" w:hAnsi="宋体"/>
                <w:szCs w:val="21"/>
              </w:rPr>
              <w:t>2.施工技术、施工工艺。</w:t>
            </w:r>
          </w:p>
          <w:p>
            <w:pPr>
              <w:topLinePunct/>
              <w:adjustRightInd w:val="0"/>
              <w:snapToGrid w:val="0"/>
              <w:jc w:val="left"/>
              <w:rPr>
                <w:rFonts w:ascii="宋体" w:hAnsi="宋体"/>
                <w:szCs w:val="21"/>
              </w:rPr>
            </w:pPr>
            <w:r>
              <w:rPr>
                <w:rFonts w:ascii="宋体" w:hAnsi="宋体"/>
                <w:szCs w:val="21"/>
              </w:rPr>
              <w:t>3.提出具有建设性的合理化建议。</w:t>
            </w:r>
          </w:p>
          <w:p>
            <w:pPr>
              <w:topLinePunct/>
              <w:adjustRightInd w:val="0"/>
              <w:snapToGrid w:val="0"/>
              <w:jc w:val="left"/>
              <w:rPr>
                <w:rFonts w:ascii="宋体" w:hAnsi="宋体"/>
                <w:szCs w:val="21"/>
              </w:rPr>
            </w:pPr>
            <w:r>
              <w:rPr>
                <w:rFonts w:ascii="宋体" w:hAnsi="宋体"/>
                <w:szCs w:val="21"/>
              </w:rPr>
              <w:t xml:space="preserve"> 优良中差评分标准： </w:t>
            </w:r>
          </w:p>
          <w:p>
            <w:pPr>
              <w:topLinePunct/>
              <w:adjustRightInd w:val="0"/>
              <w:snapToGrid w:val="0"/>
              <w:jc w:val="left"/>
              <w:rPr>
                <w:rFonts w:ascii="宋体" w:hAnsi="宋体"/>
                <w:szCs w:val="21"/>
              </w:rPr>
            </w:pPr>
            <w:r>
              <w:rPr>
                <w:rFonts w:ascii="宋体" w:hAnsi="宋体"/>
                <w:szCs w:val="21"/>
              </w:rPr>
              <w:t xml:space="preserve">（1）投标文件响应全面； </w:t>
            </w:r>
          </w:p>
          <w:p>
            <w:pPr>
              <w:topLinePunct/>
              <w:adjustRightInd w:val="0"/>
              <w:snapToGrid w:val="0"/>
              <w:jc w:val="left"/>
              <w:rPr>
                <w:rFonts w:ascii="宋体" w:hAnsi="宋体"/>
                <w:szCs w:val="21"/>
              </w:rPr>
            </w:pPr>
            <w:r>
              <w:rPr>
                <w:rFonts w:ascii="宋体" w:hAnsi="宋体"/>
                <w:szCs w:val="21"/>
              </w:rPr>
              <w:t xml:space="preserve">（2）投标文件响应具体； </w:t>
            </w:r>
          </w:p>
          <w:p>
            <w:pPr>
              <w:topLinePunct/>
              <w:adjustRightInd w:val="0"/>
              <w:snapToGrid w:val="0"/>
              <w:jc w:val="left"/>
              <w:rPr>
                <w:rFonts w:ascii="宋体" w:hAnsi="宋体"/>
                <w:szCs w:val="21"/>
              </w:rPr>
            </w:pPr>
            <w:r>
              <w:rPr>
                <w:rFonts w:ascii="宋体" w:hAnsi="宋体"/>
                <w:szCs w:val="21"/>
              </w:rPr>
              <w:t xml:space="preserve">（3）投标文件响应详实； </w:t>
            </w:r>
          </w:p>
          <w:p>
            <w:pPr>
              <w:topLinePunct/>
              <w:adjustRightInd w:val="0"/>
              <w:snapToGrid w:val="0"/>
              <w:jc w:val="left"/>
              <w:rPr>
                <w:rFonts w:ascii="宋体" w:hAnsi="宋体"/>
                <w:szCs w:val="21"/>
              </w:rPr>
            </w:pPr>
            <w:r>
              <w:rPr>
                <w:rFonts w:ascii="宋体" w:hAnsi="宋体"/>
                <w:szCs w:val="21"/>
              </w:rPr>
              <w:t xml:space="preserve">（4）投标文件响应准确； </w:t>
            </w:r>
          </w:p>
          <w:p>
            <w:pPr>
              <w:topLinePunct/>
              <w:adjustRightInd w:val="0"/>
              <w:snapToGrid w:val="0"/>
              <w:jc w:val="left"/>
              <w:rPr>
                <w:rFonts w:ascii="宋体" w:hAnsi="宋体"/>
                <w:szCs w:val="21"/>
              </w:rPr>
            </w:pPr>
            <w:r>
              <w:rPr>
                <w:rFonts w:ascii="宋体" w:hAnsi="宋体"/>
                <w:szCs w:val="21"/>
              </w:rPr>
              <w:t xml:space="preserve">（5）投标文件响应透彻。 </w:t>
            </w:r>
          </w:p>
          <w:p>
            <w:pPr>
              <w:topLinePunct/>
              <w:adjustRightInd w:val="0"/>
              <w:snapToGrid w:val="0"/>
              <w:jc w:val="left"/>
              <w:rPr>
                <w:rFonts w:ascii="宋体" w:hAnsi="宋体"/>
                <w:szCs w:val="21"/>
              </w:rPr>
            </w:pPr>
            <w:r>
              <w:rPr>
                <w:rFonts w:ascii="宋体" w:hAnsi="宋体"/>
                <w:szCs w:val="21"/>
              </w:rPr>
              <w:t>满足以上五项要求的评价为优，得 3 分。</w:t>
            </w:r>
          </w:p>
          <w:p>
            <w:pPr>
              <w:topLinePunct/>
              <w:adjustRightInd w:val="0"/>
              <w:snapToGrid w:val="0"/>
              <w:jc w:val="left"/>
              <w:rPr>
                <w:rFonts w:ascii="宋体" w:hAnsi="宋体"/>
                <w:szCs w:val="21"/>
              </w:rPr>
            </w:pPr>
            <w:r>
              <w:rPr>
                <w:rFonts w:ascii="宋体" w:hAnsi="宋体"/>
                <w:szCs w:val="21"/>
              </w:rPr>
              <w:t xml:space="preserve"> 满足以上四项要求的评价为良，得 2 分。 </w:t>
            </w:r>
          </w:p>
          <w:p>
            <w:pPr>
              <w:topLinePunct/>
              <w:adjustRightInd w:val="0"/>
              <w:snapToGrid w:val="0"/>
              <w:jc w:val="left"/>
              <w:rPr>
                <w:rFonts w:ascii="宋体" w:hAnsi="宋体"/>
                <w:szCs w:val="21"/>
              </w:rPr>
            </w:pPr>
            <w:r>
              <w:rPr>
                <w:rFonts w:ascii="宋体" w:hAnsi="宋体"/>
                <w:szCs w:val="21"/>
              </w:rPr>
              <w:t xml:space="preserve">满足以上三项要求的评价为中，得 1 分。 </w:t>
            </w:r>
          </w:p>
          <w:p>
            <w:pPr>
              <w:topLinePunct/>
              <w:adjustRightInd w:val="0"/>
              <w:snapToGrid w:val="0"/>
              <w:jc w:val="left"/>
              <w:rPr>
                <w:rFonts w:ascii="宋体" w:hAnsi="宋体" w:cs="宋体"/>
                <w:szCs w:val="21"/>
              </w:rPr>
            </w:pPr>
            <w:r>
              <w:rPr>
                <w:rFonts w:ascii="宋体" w:hAnsi="宋体"/>
                <w:szCs w:val="21"/>
              </w:rPr>
              <w:t>其它情况的评价为差，不得分</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0" w:hRule="atLeast"/>
        </w:trPr>
        <w:tc>
          <w:tcPr>
            <w:tcW w:w="597"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50" w:right="-51"/>
              <w:jc w:val="left"/>
              <w:rPr>
                <w:rFonts w:ascii="宋体" w:hAnsi="宋体" w:cs="宋体"/>
                <w:szCs w:val="21"/>
              </w:rPr>
            </w:pPr>
            <w:r>
              <w:rPr>
                <w:rFonts w:ascii="宋体" w:hAnsi="宋体" w:cs="宋体"/>
                <w:szCs w:val="21"/>
              </w:rPr>
              <w:t>3</w:t>
            </w:r>
          </w:p>
        </w:tc>
        <w:tc>
          <w:tcPr>
            <w:tcW w:w="1775" w:type="dxa"/>
            <w:tcBorders>
              <w:top w:val="single" w:color="auto" w:sz="4" w:space="0"/>
              <w:left w:val="nil"/>
              <w:bottom w:val="single" w:color="auto" w:sz="4" w:space="0"/>
              <w:right w:val="single" w:color="auto" w:sz="4" w:space="0"/>
            </w:tcBorders>
            <w:vAlign w:val="center"/>
          </w:tcPr>
          <w:p>
            <w:pPr>
              <w:pStyle w:val="190"/>
              <w:adjustRightInd w:val="0"/>
              <w:snapToGrid w:val="0"/>
              <w:jc w:val="left"/>
              <w:rPr>
                <w:rFonts w:ascii="宋体" w:hAnsi="宋体" w:cs="宋体"/>
                <w:szCs w:val="21"/>
              </w:rPr>
            </w:pPr>
            <w:r>
              <w:rPr>
                <w:rFonts w:ascii="宋体" w:hAnsi="宋体"/>
                <w:szCs w:val="21"/>
              </w:rPr>
              <w:t>室内</w:t>
            </w:r>
            <w:r>
              <w:rPr>
                <w:rFonts w:hint="eastAsia" w:ascii="宋体" w:hAnsi="宋体"/>
                <w:szCs w:val="21"/>
              </w:rPr>
              <w:t>设计</w:t>
            </w:r>
            <w:r>
              <w:rPr>
                <w:rFonts w:ascii="宋体" w:hAnsi="宋体"/>
                <w:szCs w:val="21"/>
              </w:rPr>
              <w:t>效果</w:t>
            </w:r>
          </w:p>
        </w:tc>
        <w:tc>
          <w:tcPr>
            <w:tcW w:w="571" w:type="dxa"/>
            <w:tcBorders>
              <w:top w:val="single" w:color="auto" w:sz="4" w:space="0"/>
              <w:left w:val="nil"/>
              <w:bottom w:val="single" w:color="auto" w:sz="4" w:space="0"/>
              <w:right w:val="single" w:color="auto" w:sz="4" w:space="0"/>
            </w:tcBorders>
            <w:vAlign w:val="center"/>
          </w:tcPr>
          <w:p>
            <w:pPr>
              <w:widowControl/>
              <w:adjustRightInd w:val="0"/>
              <w:snapToGrid w:val="0"/>
              <w:jc w:val="left"/>
              <w:rPr>
                <w:rFonts w:ascii="宋体" w:hAnsi="宋体" w:cs="宋体"/>
                <w:szCs w:val="21"/>
              </w:rPr>
            </w:pPr>
            <w:r>
              <w:rPr>
                <w:rFonts w:ascii="宋体" w:hAnsi="宋体" w:cs="宋体"/>
                <w:szCs w:val="21"/>
              </w:rPr>
              <w:t>10</w:t>
            </w:r>
            <w:r>
              <w:rPr>
                <w:rFonts w:hint="eastAsia" w:ascii="宋体" w:hAnsi="宋体" w:cs="宋体"/>
                <w:szCs w:val="21"/>
              </w:rPr>
              <w:t>分</w:t>
            </w:r>
          </w:p>
        </w:tc>
        <w:tc>
          <w:tcPr>
            <w:tcW w:w="6186" w:type="dxa"/>
            <w:tcBorders>
              <w:top w:val="single" w:color="auto" w:sz="4" w:space="0"/>
              <w:left w:val="nil"/>
              <w:bottom w:val="single" w:color="auto" w:sz="4" w:space="0"/>
              <w:right w:val="single" w:color="auto" w:sz="4" w:space="0"/>
            </w:tcBorders>
            <w:vAlign w:val="center"/>
          </w:tcPr>
          <w:p>
            <w:pPr>
              <w:pStyle w:val="190"/>
              <w:topLinePunct/>
              <w:adjustRightInd w:val="0"/>
              <w:snapToGrid w:val="0"/>
              <w:jc w:val="left"/>
              <w:rPr>
                <w:rFonts w:ascii="宋体" w:hAnsi="宋体" w:cs="宋体"/>
                <w:szCs w:val="21"/>
              </w:rPr>
            </w:pPr>
            <w:r>
              <w:rPr>
                <w:rFonts w:ascii="宋体" w:hAnsi="宋体"/>
                <w:szCs w:val="21"/>
              </w:rPr>
              <w:t>评审内容：评审专家根据投标人</w:t>
            </w:r>
            <w:r>
              <w:rPr>
                <w:rFonts w:hint="eastAsia" w:ascii="宋体" w:hAnsi="宋体"/>
                <w:szCs w:val="21"/>
              </w:rPr>
              <w:t>室内</w:t>
            </w:r>
            <w:r>
              <w:rPr>
                <w:rFonts w:ascii="宋体" w:hAnsi="宋体"/>
                <w:szCs w:val="21"/>
              </w:rPr>
              <w:t>设计方案进行打分：</w:t>
            </w:r>
            <w:r>
              <w:rPr>
                <w:rFonts w:ascii="宋体" w:hAnsi="宋体"/>
                <w:szCs w:val="21"/>
              </w:rPr>
              <w:br w:type="textWrapping"/>
            </w:r>
            <w:r>
              <w:rPr>
                <w:rFonts w:ascii="宋体" w:hAnsi="宋体"/>
                <w:szCs w:val="21"/>
              </w:rPr>
              <w:t>室内设计效果：</w:t>
            </w:r>
            <w:r>
              <w:rPr>
                <w:rFonts w:ascii="宋体" w:hAnsi="宋体"/>
                <w:szCs w:val="21"/>
              </w:rPr>
              <w:br w:type="textWrapping"/>
            </w:r>
            <w:r>
              <w:rPr>
                <w:rFonts w:ascii="宋体" w:hAnsi="宋体"/>
                <w:szCs w:val="21"/>
              </w:rPr>
              <w:t>1.评价为优得 10 分；</w:t>
            </w:r>
            <w:r>
              <w:rPr>
                <w:rFonts w:ascii="宋体" w:hAnsi="宋体"/>
                <w:szCs w:val="21"/>
              </w:rPr>
              <w:br w:type="textWrapping"/>
            </w:r>
            <w:r>
              <w:rPr>
                <w:rFonts w:ascii="宋体" w:hAnsi="宋体"/>
                <w:szCs w:val="21"/>
              </w:rPr>
              <w:t>2.评价为良得 8 分；</w:t>
            </w:r>
            <w:r>
              <w:rPr>
                <w:rFonts w:ascii="宋体" w:hAnsi="宋体"/>
                <w:szCs w:val="21"/>
              </w:rPr>
              <w:br w:type="textWrapping"/>
            </w:r>
            <w:r>
              <w:rPr>
                <w:rFonts w:ascii="宋体" w:hAnsi="宋体"/>
                <w:szCs w:val="21"/>
              </w:rPr>
              <w:t>3.评价为中得 6 分；</w:t>
            </w:r>
            <w:r>
              <w:rPr>
                <w:rFonts w:ascii="宋体" w:hAnsi="宋体"/>
                <w:szCs w:val="21"/>
              </w:rPr>
              <w:br w:type="textWrapping"/>
            </w:r>
            <w:r>
              <w:rPr>
                <w:rFonts w:ascii="宋体" w:hAnsi="宋体"/>
                <w:szCs w:val="21"/>
              </w:rPr>
              <w:t>4.评价为差不得分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0" w:hRule="atLeast"/>
        </w:trPr>
        <w:tc>
          <w:tcPr>
            <w:tcW w:w="597"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50" w:right="-51"/>
              <w:jc w:val="left"/>
              <w:rPr>
                <w:rFonts w:ascii="宋体" w:hAnsi="宋体" w:cs="宋体"/>
                <w:szCs w:val="21"/>
              </w:rPr>
            </w:pPr>
            <w:r>
              <w:rPr>
                <w:rFonts w:ascii="宋体" w:hAnsi="宋体" w:cs="宋体"/>
                <w:szCs w:val="21"/>
              </w:rPr>
              <w:t>4</w:t>
            </w:r>
          </w:p>
        </w:tc>
        <w:tc>
          <w:tcPr>
            <w:tcW w:w="1775" w:type="dxa"/>
            <w:tcBorders>
              <w:top w:val="single" w:color="auto" w:sz="4" w:space="0"/>
              <w:left w:val="nil"/>
              <w:bottom w:val="single" w:color="auto" w:sz="4" w:space="0"/>
              <w:right w:val="single" w:color="auto" w:sz="4" w:space="0"/>
            </w:tcBorders>
            <w:vAlign w:val="center"/>
          </w:tcPr>
          <w:p>
            <w:pPr>
              <w:pStyle w:val="190"/>
              <w:adjustRightInd w:val="0"/>
              <w:snapToGrid w:val="0"/>
              <w:jc w:val="left"/>
              <w:rPr>
                <w:rFonts w:ascii="宋体" w:hAnsi="宋体"/>
                <w:szCs w:val="21"/>
              </w:rPr>
            </w:pPr>
            <w:r>
              <w:rPr>
                <w:rFonts w:ascii="宋体" w:hAnsi="宋体"/>
                <w:szCs w:val="21"/>
              </w:rPr>
              <w:t>施工方案</w:t>
            </w:r>
          </w:p>
        </w:tc>
        <w:tc>
          <w:tcPr>
            <w:tcW w:w="571" w:type="dxa"/>
            <w:tcBorders>
              <w:top w:val="single" w:color="auto" w:sz="4" w:space="0"/>
              <w:left w:val="nil"/>
              <w:bottom w:val="single" w:color="auto" w:sz="4" w:space="0"/>
              <w:right w:val="single" w:color="auto" w:sz="4" w:space="0"/>
            </w:tcBorders>
            <w:vAlign w:val="center"/>
          </w:tcPr>
          <w:p>
            <w:pPr>
              <w:widowControl/>
              <w:adjustRightInd w:val="0"/>
              <w:snapToGrid w:val="0"/>
              <w:jc w:val="left"/>
              <w:rPr>
                <w:rFonts w:ascii="宋体" w:hAnsi="宋体" w:cs="宋体"/>
                <w:szCs w:val="21"/>
              </w:rPr>
            </w:pPr>
            <w:r>
              <w:rPr>
                <w:rFonts w:ascii="宋体" w:hAnsi="宋体" w:cs="宋体"/>
                <w:szCs w:val="21"/>
              </w:rPr>
              <w:t>10</w:t>
            </w:r>
            <w:r>
              <w:rPr>
                <w:rFonts w:hint="eastAsia" w:ascii="宋体" w:hAnsi="宋体" w:cs="宋体"/>
                <w:szCs w:val="21"/>
              </w:rPr>
              <w:t>分</w:t>
            </w:r>
          </w:p>
        </w:tc>
        <w:tc>
          <w:tcPr>
            <w:tcW w:w="6186" w:type="dxa"/>
            <w:tcBorders>
              <w:top w:val="single" w:color="auto" w:sz="4" w:space="0"/>
              <w:left w:val="nil"/>
              <w:bottom w:val="single" w:color="auto" w:sz="4" w:space="0"/>
              <w:right w:val="single" w:color="auto" w:sz="4" w:space="0"/>
            </w:tcBorders>
            <w:vAlign w:val="center"/>
          </w:tcPr>
          <w:p>
            <w:pPr>
              <w:pStyle w:val="190"/>
              <w:topLinePunct/>
              <w:adjustRightInd w:val="0"/>
              <w:snapToGrid w:val="0"/>
              <w:jc w:val="left"/>
              <w:rPr>
                <w:rFonts w:ascii="宋体" w:hAnsi="宋体"/>
                <w:szCs w:val="21"/>
              </w:rPr>
            </w:pPr>
            <w:r>
              <w:rPr>
                <w:rFonts w:ascii="宋体" w:hAnsi="宋体"/>
                <w:szCs w:val="21"/>
              </w:rPr>
              <w:t>评审内容：评审专家根据投标人</w:t>
            </w:r>
            <w:r>
              <w:rPr>
                <w:rFonts w:hint="eastAsia" w:ascii="宋体" w:hAnsi="宋体"/>
                <w:szCs w:val="21"/>
              </w:rPr>
              <w:t>施工</w:t>
            </w:r>
            <w:r>
              <w:rPr>
                <w:rFonts w:ascii="宋体" w:hAnsi="宋体"/>
                <w:szCs w:val="21"/>
              </w:rPr>
              <w:t>方案进行打分：</w:t>
            </w:r>
          </w:p>
          <w:p>
            <w:pPr>
              <w:pStyle w:val="190"/>
              <w:topLinePunct/>
              <w:adjustRightInd w:val="0"/>
              <w:snapToGrid w:val="0"/>
              <w:jc w:val="left"/>
              <w:rPr>
                <w:rFonts w:ascii="宋体" w:hAnsi="宋体"/>
                <w:szCs w:val="21"/>
              </w:rPr>
            </w:pPr>
            <w:r>
              <w:rPr>
                <w:rFonts w:ascii="宋体" w:hAnsi="宋体"/>
                <w:szCs w:val="21"/>
              </w:rPr>
              <w:t>设计方案合理性：</w:t>
            </w:r>
            <w:r>
              <w:rPr>
                <w:rFonts w:ascii="宋体" w:hAnsi="宋体"/>
                <w:szCs w:val="21"/>
              </w:rPr>
              <w:br w:type="textWrapping"/>
            </w:r>
            <w:r>
              <w:rPr>
                <w:rFonts w:ascii="宋体" w:hAnsi="宋体"/>
                <w:szCs w:val="21"/>
              </w:rPr>
              <w:t>1.评价为优得 10 分；</w:t>
            </w:r>
            <w:r>
              <w:rPr>
                <w:rFonts w:ascii="宋体" w:hAnsi="宋体"/>
                <w:szCs w:val="21"/>
              </w:rPr>
              <w:br w:type="textWrapping"/>
            </w:r>
            <w:r>
              <w:rPr>
                <w:rFonts w:ascii="宋体" w:hAnsi="宋体"/>
                <w:szCs w:val="21"/>
              </w:rPr>
              <w:t>2.评价为良得 8 分；</w:t>
            </w:r>
            <w:r>
              <w:rPr>
                <w:rFonts w:ascii="宋体" w:hAnsi="宋体"/>
                <w:szCs w:val="21"/>
              </w:rPr>
              <w:br w:type="textWrapping"/>
            </w:r>
            <w:r>
              <w:rPr>
                <w:rFonts w:ascii="宋体" w:hAnsi="宋体"/>
                <w:szCs w:val="21"/>
              </w:rPr>
              <w:t>3.评价为中得 6分；</w:t>
            </w:r>
            <w:r>
              <w:rPr>
                <w:rFonts w:ascii="宋体" w:hAnsi="宋体"/>
                <w:szCs w:val="21"/>
              </w:rPr>
              <w:br w:type="textWrapping"/>
            </w:r>
            <w:r>
              <w:rPr>
                <w:rFonts w:ascii="宋体" w:hAnsi="宋体"/>
                <w:szCs w:val="21"/>
              </w:rPr>
              <w:t>4.评价为差不得分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0" w:hRule="atLeast"/>
        </w:trPr>
        <w:tc>
          <w:tcPr>
            <w:tcW w:w="597"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50" w:right="-51"/>
              <w:jc w:val="left"/>
              <w:rPr>
                <w:rFonts w:ascii="宋体" w:hAnsi="宋体" w:cs="宋体"/>
                <w:szCs w:val="21"/>
              </w:rPr>
            </w:pPr>
            <w:r>
              <w:rPr>
                <w:rFonts w:hint="eastAsia" w:ascii="宋体" w:hAnsi="宋体" w:cs="宋体"/>
                <w:szCs w:val="21"/>
              </w:rPr>
              <w:t>5</w:t>
            </w:r>
          </w:p>
        </w:tc>
        <w:tc>
          <w:tcPr>
            <w:tcW w:w="1775" w:type="dxa"/>
            <w:tcBorders>
              <w:top w:val="single" w:color="auto" w:sz="4" w:space="0"/>
              <w:left w:val="nil"/>
              <w:bottom w:val="single" w:color="auto" w:sz="4" w:space="0"/>
              <w:right w:val="single" w:color="auto" w:sz="4" w:space="0"/>
            </w:tcBorders>
            <w:vAlign w:val="center"/>
          </w:tcPr>
          <w:p>
            <w:pPr>
              <w:pStyle w:val="190"/>
              <w:adjustRightInd w:val="0"/>
              <w:snapToGrid w:val="0"/>
              <w:jc w:val="left"/>
              <w:rPr>
                <w:rFonts w:ascii="宋体" w:hAnsi="宋体"/>
                <w:szCs w:val="21"/>
              </w:rPr>
            </w:pPr>
            <w:r>
              <w:rPr>
                <w:rFonts w:ascii="宋体" w:hAnsi="宋体"/>
                <w:szCs w:val="21"/>
              </w:rPr>
              <w:t>工程量清单</w:t>
            </w:r>
          </w:p>
        </w:tc>
        <w:tc>
          <w:tcPr>
            <w:tcW w:w="571" w:type="dxa"/>
            <w:tcBorders>
              <w:top w:val="single" w:color="auto" w:sz="4" w:space="0"/>
              <w:left w:val="nil"/>
              <w:bottom w:val="single" w:color="auto" w:sz="4" w:space="0"/>
              <w:right w:val="single" w:color="auto" w:sz="4" w:space="0"/>
            </w:tcBorders>
            <w:vAlign w:val="center"/>
          </w:tcPr>
          <w:p>
            <w:pPr>
              <w:widowControl/>
              <w:adjustRightInd w:val="0"/>
              <w:snapToGrid w:val="0"/>
              <w:jc w:val="left"/>
              <w:rPr>
                <w:rFonts w:ascii="宋体" w:hAnsi="宋体" w:cs="宋体"/>
                <w:szCs w:val="21"/>
              </w:rPr>
            </w:pPr>
            <w:r>
              <w:rPr>
                <w:rFonts w:ascii="宋体" w:hAnsi="宋体" w:cs="宋体"/>
                <w:szCs w:val="21"/>
              </w:rPr>
              <w:t>10</w:t>
            </w:r>
            <w:r>
              <w:rPr>
                <w:rFonts w:hint="eastAsia" w:ascii="宋体" w:hAnsi="宋体" w:cs="宋体"/>
                <w:szCs w:val="21"/>
              </w:rPr>
              <w:t>分</w:t>
            </w:r>
          </w:p>
        </w:tc>
        <w:tc>
          <w:tcPr>
            <w:tcW w:w="6186" w:type="dxa"/>
            <w:tcBorders>
              <w:top w:val="single" w:color="auto" w:sz="4" w:space="0"/>
              <w:left w:val="nil"/>
              <w:bottom w:val="single" w:color="auto" w:sz="4" w:space="0"/>
              <w:right w:val="single" w:color="auto" w:sz="4" w:space="0"/>
            </w:tcBorders>
            <w:vAlign w:val="center"/>
          </w:tcPr>
          <w:p>
            <w:pPr>
              <w:pStyle w:val="190"/>
              <w:topLinePunct/>
              <w:adjustRightInd w:val="0"/>
              <w:snapToGrid w:val="0"/>
              <w:jc w:val="left"/>
              <w:rPr>
                <w:rFonts w:ascii="宋体" w:hAnsi="宋体"/>
                <w:szCs w:val="21"/>
              </w:rPr>
            </w:pPr>
            <w:r>
              <w:rPr>
                <w:rFonts w:ascii="宋体" w:hAnsi="宋体"/>
                <w:szCs w:val="21"/>
              </w:rPr>
              <w:t>评审内容：评审专家根据投标人工程量清单的合理性进行打分：</w:t>
            </w:r>
          </w:p>
          <w:p>
            <w:pPr>
              <w:pStyle w:val="190"/>
              <w:topLinePunct/>
              <w:adjustRightInd w:val="0"/>
              <w:snapToGrid w:val="0"/>
              <w:jc w:val="left"/>
              <w:rPr>
                <w:rFonts w:ascii="宋体" w:hAnsi="宋体"/>
                <w:szCs w:val="21"/>
              </w:rPr>
            </w:pPr>
            <w:r>
              <w:rPr>
                <w:rFonts w:ascii="宋体" w:hAnsi="宋体"/>
                <w:szCs w:val="21"/>
              </w:rPr>
              <w:t>工程量清单的合理性：</w:t>
            </w:r>
            <w:r>
              <w:rPr>
                <w:rFonts w:ascii="宋体" w:hAnsi="宋体"/>
                <w:szCs w:val="21"/>
              </w:rPr>
              <w:br w:type="textWrapping"/>
            </w:r>
            <w:r>
              <w:rPr>
                <w:rFonts w:ascii="宋体" w:hAnsi="宋体"/>
                <w:szCs w:val="21"/>
              </w:rPr>
              <w:t>1.评价为优得 10分；</w:t>
            </w:r>
            <w:r>
              <w:rPr>
                <w:rFonts w:ascii="宋体" w:hAnsi="宋体"/>
                <w:szCs w:val="21"/>
              </w:rPr>
              <w:br w:type="textWrapping"/>
            </w:r>
            <w:r>
              <w:rPr>
                <w:rFonts w:ascii="宋体" w:hAnsi="宋体"/>
                <w:szCs w:val="21"/>
              </w:rPr>
              <w:t>2.评价为良得 8 分；</w:t>
            </w:r>
            <w:r>
              <w:rPr>
                <w:rFonts w:ascii="宋体" w:hAnsi="宋体"/>
                <w:szCs w:val="21"/>
              </w:rPr>
              <w:br w:type="textWrapping"/>
            </w:r>
            <w:r>
              <w:rPr>
                <w:rFonts w:ascii="宋体" w:hAnsi="宋体"/>
                <w:szCs w:val="21"/>
              </w:rPr>
              <w:t>3.评价为中得 6 分；</w:t>
            </w:r>
            <w:r>
              <w:rPr>
                <w:rFonts w:ascii="宋体" w:hAnsi="宋体"/>
                <w:szCs w:val="21"/>
              </w:rPr>
              <w:br w:type="textWrapping"/>
            </w:r>
            <w:r>
              <w:rPr>
                <w:rFonts w:ascii="宋体" w:hAnsi="宋体"/>
                <w:szCs w:val="21"/>
              </w:rPr>
              <w:t>4.评价为差不得分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1" w:hRule="atLeast"/>
        </w:trPr>
        <w:tc>
          <w:tcPr>
            <w:tcW w:w="597"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50" w:right="-51"/>
              <w:jc w:val="left"/>
              <w:rPr>
                <w:rFonts w:ascii="宋体" w:hAnsi="宋体" w:cs="宋体"/>
                <w:szCs w:val="21"/>
              </w:rPr>
            </w:pPr>
            <w:r>
              <w:rPr>
                <w:rFonts w:ascii="宋体" w:hAnsi="宋体" w:cs="宋体"/>
                <w:szCs w:val="21"/>
              </w:rPr>
              <w:t>6</w:t>
            </w:r>
          </w:p>
        </w:tc>
        <w:tc>
          <w:tcPr>
            <w:tcW w:w="1775" w:type="dxa"/>
            <w:tcBorders>
              <w:top w:val="single" w:color="auto" w:sz="4" w:space="0"/>
              <w:left w:val="nil"/>
              <w:bottom w:val="single" w:color="auto" w:sz="4" w:space="0"/>
              <w:right w:val="single" w:color="auto" w:sz="4" w:space="0"/>
            </w:tcBorders>
            <w:vAlign w:val="center"/>
          </w:tcPr>
          <w:p>
            <w:pPr>
              <w:pStyle w:val="190"/>
              <w:adjustRightInd w:val="0"/>
              <w:snapToGrid w:val="0"/>
              <w:jc w:val="left"/>
              <w:rPr>
                <w:rFonts w:ascii="宋体" w:hAnsi="宋体" w:cs="宋体"/>
                <w:szCs w:val="21"/>
              </w:rPr>
            </w:pPr>
            <w:r>
              <w:rPr>
                <w:rFonts w:ascii="宋体" w:hAnsi="宋体"/>
                <w:szCs w:val="21"/>
              </w:rPr>
              <w:t>施工质量（安全、 环保、工期、售后服务）保障措 施及相关的违约 承诺</w:t>
            </w:r>
          </w:p>
        </w:tc>
        <w:tc>
          <w:tcPr>
            <w:tcW w:w="571" w:type="dxa"/>
            <w:tcBorders>
              <w:top w:val="single" w:color="auto" w:sz="4" w:space="0"/>
              <w:left w:val="nil"/>
              <w:bottom w:val="single" w:color="auto" w:sz="4" w:space="0"/>
              <w:right w:val="single" w:color="auto" w:sz="4" w:space="0"/>
            </w:tcBorders>
            <w:vAlign w:val="center"/>
          </w:tcPr>
          <w:p>
            <w:pPr>
              <w:widowControl/>
              <w:adjustRightInd w:val="0"/>
              <w:snapToGrid w:val="0"/>
              <w:jc w:val="left"/>
              <w:rPr>
                <w:rFonts w:ascii="宋体" w:hAnsi="宋体" w:cs="宋体"/>
                <w:szCs w:val="21"/>
              </w:rPr>
            </w:pPr>
            <w:r>
              <w:rPr>
                <w:rFonts w:ascii="宋体" w:hAnsi="宋体" w:cs="宋体"/>
                <w:szCs w:val="21"/>
              </w:rPr>
              <w:t>3</w:t>
            </w:r>
            <w:r>
              <w:rPr>
                <w:rFonts w:hint="eastAsia" w:ascii="宋体" w:hAnsi="宋体" w:cs="宋体"/>
                <w:szCs w:val="21"/>
              </w:rPr>
              <w:t>分</w:t>
            </w:r>
          </w:p>
        </w:tc>
        <w:tc>
          <w:tcPr>
            <w:tcW w:w="6186" w:type="dxa"/>
            <w:tcBorders>
              <w:top w:val="single" w:color="auto" w:sz="4" w:space="0"/>
              <w:left w:val="nil"/>
              <w:bottom w:val="single" w:color="auto" w:sz="4" w:space="0"/>
              <w:right w:val="single" w:color="auto" w:sz="4" w:space="0"/>
            </w:tcBorders>
            <w:vAlign w:val="center"/>
          </w:tcPr>
          <w:p>
            <w:pPr>
              <w:pStyle w:val="190"/>
              <w:topLinePunct/>
              <w:adjustRightInd w:val="0"/>
              <w:snapToGrid w:val="0"/>
              <w:jc w:val="left"/>
              <w:rPr>
                <w:rFonts w:ascii="宋体" w:hAnsi="宋体"/>
                <w:szCs w:val="21"/>
              </w:rPr>
            </w:pPr>
            <w:r>
              <w:rPr>
                <w:rFonts w:ascii="宋体" w:hAnsi="宋体"/>
                <w:szCs w:val="21"/>
              </w:rPr>
              <w:t>评审内容：</w:t>
            </w:r>
          </w:p>
          <w:p>
            <w:pPr>
              <w:pStyle w:val="190"/>
              <w:topLinePunct/>
              <w:adjustRightInd w:val="0"/>
              <w:snapToGrid w:val="0"/>
              <w:jc w:val="left"/>
              <w:rPr>
                <w:rFonts w:ascii="宋体" w:hAnsi="宋体"/>
                <w:szCs w:val="21"/>
              </w:rPr>
            </w:pPr>
            <w:r>
              <w:rPr>
                <w:rFonts w:ascii="宋体" w:hAnsi="宋体"/>
                <w:szCs w:val="21"/>
              </w:rPr>
              <w:t>1.施工质量的保障措施。</w:t>
            </w:r>
          </w:p>
          <w:p>
            <w:pPr>
              <w:pStyle w:val="190"/>
              <w:topLinePunct/>
              <w:adjustRightInd w:val="0"/>
              <w:snapToGrid w:val="0"/>
              <w:jc w:val="left"/>
              <w:rPr>
                <w:rFonts w:ascii="宋体" w:hAnsi="宋体"/>
                <w:szCs w:val="21"/>
              </w:rPr>
            </w:pPr>
            <w:r>
              <w:rPr>
                <w:rFonts w:ascii="宋体" w:hAnsi="宋体"/>
                <w:szCs w:val="21"/>
              </w:rPr>
              <w:t>2.施工安全的保障措施。</w:t>
            </w:r>
          </w:p>
          <w:p>
            <w:pPr>
              <w:pStyle w:val="190"/>
              <w:topLinePunct/>
              <w:adjustRightInd w:val="0"/>
              <w:snapToGrid w:val="0"/>
              <w:jc w:val="left"/>
              <w:rPr>
                <w:rFonts w:ascii="宋体" w:hAnsi="宋体"/>
                <w:szCs w:val="21"/>
              </w:rPr>
            </w:pPr>
            <w:r>
              <w:rPr>
                <w:rFonts w:ascii="宋体" w:hAnsi="宋体"/>
                <w:szCs w:val="21"/>
              </w:rPr>
              <w:t xml:space="preserve">3.环保保障措施。 </w:t>
            </w:r>
          </w:p>
          <w:p>
            <w:pPr>
              <w:pStyle w:val="190"/>
              <w:topLinePunct/>
              <w:adjustRightInd w:val="0"/>
              <w:snapToGrid w:val="0"/>
              <w:jc w:val="left"/>
              <w:rPr>
                <w:rFonts w:ascii="宋体" w:hAnsi="宋体"/>
                <w:szCs w:val="21"/>
              </w:rPr>
            </w:pPr>
            <w:r>
              <w:rPr>
                <w:rFonts w:ascii="宋体" w:hAnsi="宋体"/>
                <w:szCs w:val="21"/>
              </w:rPr>
              <w:t>4.工程进度计划和工期保障措施。</w:t>
            </w:r>
          </w:p>
          <w:p>
            <w:pPr>
              <w:pStyle w:val="190"/>
              <w:topLinePunct/>
              <w:adjustRightInd w:val="0"/>
              <w:snapToGrid w:val="0"/>
              <w:jc w:val="left"/>
              <w:rPr>
                <w:rFonts w:ascii="宋体" w:hAnsi="宋体"/>
                <w:szCs w:val="21"/>
              </w:rPr>
            </w:pPr>
            <w:r>
              <w:rPr>
                <w:rFonts w:ascii="宋体" w:hAnsi="宋体"/>
                <w:szCs w:val="21"/>
              </w:rPr>
              <w:t xml:space="preserve">5.售后服务保障措施。 </w:t>
            </w:r>
          </w:p>
          <w:p>
            <w:pPr>
              <w:pStyle w:val="190"/>
              <w:topLinePunct/>
              <w:adjustRightInd w:val="0"/>
              <w:snapToGrid w:val="0"/>
              <w:jc w:val="left"/>
              <w:rPr>
                <w:rFonts w:ascii="宋体" w:hAnsi="宋体"/>
                <w:szCs w:val="21"/>
              </w:rPr>
            </w:pPr>
            <w:r>
              <w:rPr>
                <w:rFonts w:ascii="宋体" w:hAnsi="宋体"/>
                <w:szCs w:val="21"/>
              </w:rPr>
              <w:t xml:space="preserve">6.相关违约承诺。 </w:t>
            </w:r>
          </w:p>
          <w:p>
            <w:pPr>
              <w:pStyle w:val="190"/>
              <w:topLinePunct/>
              <w:adjustRightInd w:val="0"/>
              <w:snapToGrid w:val="0"/>
              <w:jc w:val="left"/>
              <w:rPr>
                <w:rFonts w:ascii="宋体" w:hAnsi="宋体"/>
                <w:szCs w:val="21"/>
              </w:rPr>
            </w:pPr>
            <w:r>
              <w:rPr>
                <w:rFonts w:ascii="宋体" w:hAnsi="宋体"/>
                <w:szCs w:val="21"/>
              </w:rPr>
              <w:t xml:space="preserve">优良中差评分标准： </w:t>
            </w:r>
          </w:p>
          <w:p>
            <w:pPr>
              <w:pStyle w:val="190"/>
              <w:topLinePunct/>
              <w:adjustRightInd w:val="0"/>
              <w:snapToGrid w:val="0"/>
              <w:jc w:val="left"/>
              <w:rPr>
                <w:rFonts w:ascii="宋体" w:hAnsi="宋体"/>
                <w:szCs w:val="21"/>
              </w:rPr>
            </w:pPr>
            <w:r>
              <w:rPr>
                <w:rFonts w:ascii="宋体" w:hAnsi="宋体"/>
                <w:szCs w:val="21"/>
              </w:rPr>
              <w:t xml:space="preserve">（1）投标文件响应全面； </w:t>
            </w:r>
          </w:p>
          <w:p>
            <w:pPr>
              <w:pStyle w:val="190"/>
              <w:topLinePunct/>
              <w:adjustRightInd w:val="0"/>
              <w:snapToGrid w:val="0"/>
              <w:jc w:val="left"/>
              <w:rPr>
                <w:rFonts w:ascii="宋体" w:hAnsi="宋体"/>
                <w:szCs w:val="21"/>
              </w:rPr>
            </w:pPr>
            <w:r>
              <w:rPr>
                <w:rFonts w:ascii="宋体" w:hAnsi="宋体"/>
                <w:szCs w:val="21"/>
              </w:rPr>
              <w:t xml:space="preserve">（2）投标文件响应具体； </w:t>
            </w:r>
          </w:p>
          <w:p>
            <w:pPr>
              <w:pStyle w:val="190"/>
              <w:topLinePunct/>
              <w:adjustRightInd w:val="0"/>
              <w:snapToGrid w:val="0"/>
              <w:jc w:val="left"/>
              <w:rPr>
                <w:rFonts w:ascii="宋体" w:hAnsi="宋体"/>
                <w:szCs w:val="21"/>
              </w:rPr>
            </w:pPr>
            <w:r>
              <w:rPr>
                <w:rFonts w:ascii="宋体" w:hAnsi="宋体"/>
                <w:szCs w:val="21"/>
              </w:rPr>
              <w:t xml:space="preserve">（3）投标文件响应详实； </w:t>
            </w:r>
          </w:p>
          <w:p>
            <w:pPr>
              <w:pStyle w:val="190"/>
              <w:topLinePunct/>
              <w:adjustRightInd w:val="0"/>
              <w:snapToGrid w:val="0"/>
              <w:jc w:val="left"/>
              <w:rPr>
                <w:rFonts w:ascii="宋体" w:hAnsi="宋体"/>
                <w:szCs w:val="21"/>
              </w:rPr>
            </w:pPr>
            <w:r>
              <w:rPr>
                <w:rFonts w:ascii="宋体" w:hAnsi="宋体"/>
                <w:szCs w:val="21"/>
              </w:rPr>
              <w:t xml:space="preserve">（4）投标文件响应准确； </w:t>
            </w:r>
          </w:p>
          <w:p>
            <w:pPr>
              <w:pStyle w:val="190"/>
              <w:topLinePunct/>
              <w:adjustRightInd w:val="0"/>
              <w:snapToGrid w:val="0"/>
              <w:jc w:val="left"/>
              <w:rPr>
                <w:rFonts w:ascii="宋体" w:hAnsi="宋体"/>
                <w:szCs w:val="21"/>
              </w:rPr>
            </w:pPr>
            <w:r>
              <w:rPr>
                <w:rFonts w:ascii="宋体" w:hAnsi="宋体"/>
                <w:szCs w:val="21"/>
              </w:rPr>
              <w:t xml:space="preserve">（5）投标文件响应透彻。 </w:t>
            </w:r>
          </w:p>
          <w:p>
            <w:pPr>
              <w:pStyle w:val="190"/>
              <w:topLinePunct/>
              <w:adjustRightInd w:val="0"/>
              <w:snapToGrid w:val="0"/>
              <w:jc w:val="left"/>
              <w:rPr>
                <w:rFonts w:ascii="宋体" w:hAnsi="宋体" w:cs="宋体"/>
                <w:szCs w:val="21"/>
              </w:rPr>
            </w:pPr>
            <w:r>
              <w:rPr>
                <w:rFonts w:ascii="宋体" w:hAnsi="宋体"/>
                <w:szCs w:val="21"/>
              </w:rPr>
              <w:t>满足以上五项要求的评价为优，得 3 分。 满足以上四项要求的评价为良，得 2 分。 满足以上三项要求的评价为中，得 1 分。 其它情况的评价为差，不得分</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6" w:hRule="atLeast"/>
        </w:trPr>
        <w:tc>
          <w:tcPr>
            <w:tcW w:w="2372"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宋体" w:hAnsi="宋体" w:cs="宋体"/>
                <w:b/>
                <w:bCs/>
                <w:szCs w:val="21"/>
              </w:rPr>
            </w:pPr>
            <w:r>
              <w:rPr>
                <w:rFonts w:hint="eastAsia" w:ascii="宋体" w:hAnsi="宋体" w:cs="宋体"/>
                <w:b/>
                <w:bCs/>
                <w:szCs w:val="21"/>
              </w:rPr>
              <w:t>合计</w:t>
            </w:r>
          </w:p>
        </w:tc>
        <w:tc>
          <w:tcPr>
            <w:tcW w:w="571"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b/>
                <w:bCs/>
                <w:szCs w:val="21"/>
              </w:rPr>
            </w:pPr>
            <w:r>
              <w:rPr>
                <w:rFonts w:ascii="宋体" w:hAnsi="宋体" w:cs="宋体"/>
                <w:b/>
                <w:bCs/>
                <w:szCs w:val="21"/>
              </w:rPr>
              <w:t>4</w:t>
            </w:r>
            <w:r>
              <w:rPr>
                <w:rFonts w:hint="eastAsia" w:ascii="宋体" w:hAnsi="宋体" w:cs="宋体"/>
                <w:b/>
                <w:bCs/>
                <w:szCs w:val="21"/>
              </w:rPr>
              <w:t>0分</w:t>
            </w:r>
          </w:p>
        </w:tc>
        <w:tc>
          <w:tcPr>
            <w:tcW w:w="6186" w:type="dxa"/>
            <w:tcBorders>
              <w:top w:val="single" w:color="auto" w:sz="4" w:space="0"/>
              <w:left w:val="nil"/>
              <w:bottom w:val="single" w:color="auto" w:sz="4" w:space="0"/>
              <w:right w:val="single" w:color="auto" w:sz="4" w:space="0"/>
            </w:tcBorders>
            <w:vAlign w:val="center"/>
          </w:tcPr>
          <w:p>
            <w:pPr>
              <w:pStyle w:val="192"/>
              <w:adjustRightInd w:val="0"/>
              <w:snapToGrid w:val="0"/>
              <w:ind w:firstLine="0" w:firstLineChars="0"/>
              <w:jc w:val="left"/>
              <w:rPr>
                <w:rFonts w:ascii="宋体" w:hAnsi="宋体" w:cs="宋体"/>
                <w:szCs w:val="21"/>
              </w:rPr>
            </w:pPr>
            <w:r>
              <w:rPr>
                <w:rFonts w:hint="eastAsia" w:ascii="宋体" w:hAnsi="宋体" w:cs="宋体"/>
                <w:szCs w:val="21"/>
              </w:rPr>
              <w:t>投标人提供虚假承诺的，将做无效投标处理，涉嫌存在违法违规行为的，依法报主管部门处理处罚。</w:t>
            </w:r>
          </w:p>
        </w:tc>
      </w:tr>
    </w:tbl>
    <w:p>
      <w:pPr>
        <w:jc w:val="left"/>
        <w:rPr>
          <w:rFonts w:ascii="宋体" w:hAnsi="宋体"/>
          <w:szCs w:val="21"/>
        </w:rPr>
      </w:pPr>
      <w:r>
        <w:rPr>
          <w:rFonts w:ascii="宋体" w:hAnsi="宋体"/>
          <w:szCs w:val="21"/>
        </w:rPr>
        <w:br w:type="textWrapping" w:clear="all"/>
      </w:r>
    </w:p>
    <w:p>
      <w:pPr>
        <w:adjustRightInd w:val="0"/>
        <w:snapToGrid w:val="0"/>
        <w:jc w:val="left"/>
        <w:rPr>
          <w:rFonts w:ascii="宋体" w:hAnsi="宋体" w:cs="宋体"/>
          <w:b/>
          <w:bCs/>
          <w:szCs w:val="21"/>
        </w:rPr>
      </w:pPr>
      <w:r>
        <w:rPr>
          <w:rFonts w:hint="eastAsia" w:ascii="宋体" w:hAnsi="宋体" w:cs="宋体"/>
          <w:b/>
          <w:bCs/>
          <w:szCs w:val="21"/>
        </w:rPr>
        <w:t>价格评审表</w:t>
      </w:r>
    </w:p>
    <w:p>
      <w:pPr>
        <w:pStyle w:val="30"/>
        <w:spacing w:line="180" w:lineRule="atLeast"/>
        <w:rPr>
          <w:rFonts w:hAnsi="宋体" w:cs="宋体"/>
          <w:szCs w:val="21"/>
        </w:rPr>
      </w:pPr>
      <w:r>
        <w:rPr>
          <w:rFonts w:hint="eastAsia" w:hAnsi="宋体" w:cs="宋体"/>
          <w:szCs w:val="21"/>
        </w:rPr>
        <w:t>投标</w:t>
      </w:r>
      <w:r>
        <w:rPr>
          <w:rFonts w:hint="eastAsia" w:hAnsi="宋体" w:cs="宋体"/>
          <w:b w:val="0"/>
          <w:bCs w:val="0"/>
          <w:szCs w:val="21"/>
        </w:rPr>
        <w:t>计费标</w:t>
      </w:r>
      <w:r>
        <w:rPr>
          <w:rFonts w:hAnsi="宋体" w:cs="宋体"/>
          <w:b w:val="0"/>
          <w:bCs w:val="0"/>
          <w:szCs w:val="21"/>
        </w:rPr>
        <w:t>准</w:t>
      </w:r>
      <w:r>
        <w:rPr>
          <w:rFonts w:hint="eastAsia" w:hAnsi="宋体" w:cs="宋体"/>
          <w:szCs w:val="21"/>
        </w:rPr>
        <w:t>如下表：</w:t>
      </w:r>
    </w:p>
    <w:tbl>
      <w:tblPr>
        <w:tblStyle w:val="54"/>
        <w:tblW w:w="54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0"/>
        <w:gridCol w:w="874"/>
        <w:gridCol w:w="1316"/>
        <w:gridCol w:w="1163"/>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2462" w:type="pct"/>
            <w:vAlign w:val="center"/>
          </w:tcPr>
          <w:p>
            <w:pPr>
              <w:pStyle w:val="30"/>
              <w:jc w:val="center"/>
              <w:rPr>
                <w:rFonts w:hAnsi="宋体" w:cs="宋体"/>
                <w:szCs w:val="21"/>
              </w:rPr>
            </w:pPr>
            <w:r>
              <w:rPr>
                <w:rFonts w:hint="eastAsia" w:hAnsi="宋体" w:cs="宋体"/>
                <w:szCs w:val="21"/>
              </w:rPr>
              <w:t>项目名称</w:t>
            </w:r>
          </w:p>
        </w:tc>
        <w:tc>
          <w:tcPr>
            <w:tcW w:w="473" w:type="pct"/>
            <w:vAlign w:val="center"/>
          </w:tcPr>
          <w:p>
            <w:pPr>
              <w:pStyle w:val="30"/>
              <w:jc w:val="center"/>
              <w:rPr>
                <w:rFonts w:hAnsi="宋体" w:cs="宋体"/>
                <w:szCs w:val="21"/>
              </w:rPr>
            </w:pPr>
            <w:r>
              <w:rPr>
                <w:rFonts w:hint="eastAsia" w:hAnsi="宋体" w:cs="宋体"/>
                <w:szCs w:val="21"/>
              </w:rPr>
              <w:t>数量</w:t>
            </w:r>
          </w:p>
        </w:tc>
        <w:tc>
          <w:tcPr>
            <w:tcW w:w="712" w:type="pct"/>
            <w:vAlign w:val="center"/>
          </w:tcPr>
          <w:p>
            <w:pPr>
              <w:pStyle w:val="30"/>
              <w:jc w:val="center"/>
              <w:rPr>
                <w:rFonts w:hAnsi="宋体" w:cs="宋体"/>
                <w:szCs w:val="21"/>
              </w:rPr>
            </w:pPr>
            <w:r>
              <w:rPr>
                <w:rFonts w:hint="eastAsia" w:hAnsi="宋体" w:cs="宋体"/>
                <w:szCs w:val="21"/>
              </w:rPr>
              <w:t>投标折扣率</w:t>
            </w:r>
          </w:p>
        </w:tc>
        <w:tc>
          <w:tcPr>
            <w:tcW w:w="629" w:type="pct"/>
            <w:vAlign w:val="center"/>
          </w:tcPr>
          <w:p>
            <w:pPr>
              <w:pStyle w:val="30"/>
              <w:jc w:val="center"/>
              <w:rPr>
                <w:rFonts w:hAnsi="宋体" w:cs="宋体"/>
                <w:szCs w:val="21"/>
              </w:rPr>
            </w:pPr>
            <w:r>
              <w:rPr>
                <w:rFonts w:hint="eastAsia" w:hAnsi="宋体" w:cs="宋体"/>
                <w:szCs w:val="21"/>
              </w:rPr>
              <w:t>完工期</w:t>
            </w:r>
          </w:p>
        </w:tc>
        <w:tc>
          <w:tcPr>
            <w:tcW w:w="722" w:type="pct"/>
            <w:vAlign w:val="center"/>
          </w:tcPr>
          <w:p>
            <w:pPr>
              <w:pStyle w:val="30"/>
              <w:jc w:val="center"/>
              <w:rPr>
                <w:rFonts w:hAnsi="宋体" w:cs="宋体"/>
                <w:szCs w:val="21"/>
              </w:rPr>
            </w:pPr>
            <w:r>
              <w:rPr>
                <w:rFonts w:hint="eastAsia"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62" w:type="pct"/>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cs="宋体"/>
                <w:szCs w:val="21"/>
              </w:rPr>
            </w:pPr>
            <w:r>
              <w:rPr>
                <w:rFonts w:hint="eastAsia" w:ascii="宋体" w:hAnsi="宋体" w:cs="宋体"/>
                <w:szCs w:val="21"/>
              </w:rPr>
              <w:t>室内设计、二次机电深化设计（含概算及工程量清单编制）费及施工图、竣工图设计费</w:t>
            </w:r>
          </w:p>
        </w:tc>
        <w:tc>
          <w:tcPr>
            <w:tcW w:w="473" w:type="pct"/>
            <w:vAlign w:val="center"/>
          </w:tcPr>
          <w:p>
            <w:pPr>
              <w:jc w:val="center"/>
              <w:rPr>
                <w:rFonts w:ascii="宋体" w:hAnsi="宋体" w:cs="宋体"/>
                <w:szCs w:val="21"/>
              </w:rPr>
            </w:pPr>
            <w:r>
              <w:rPr>
                <w:rFonts w:hint="eastAsia" w:ascii="宋体" w:hAnsi="宋体" w:cs="宋体"/>
                <w:szCs w:val="21"/>
              </w:rPr>
              <w:t>1项</w:t>
            </w:r>
          </w:p>
        </w:tc>
        <w:tc>
          <w:tcPr>
            <w:tcW w:w="712" w:type="pct"/>
            <w:vAlign w:val="center"/>
          </w:tcPr>
          <w:p>
            <w:pPr>
              <w:pStyle w:val="30"/>
              <w:jc w:val="center"/>
              <w:rPr>
                <w:rFonts w:hAnsi="宋体" w:cs="宋体"/>
                <w:szCs w:val="21"/>
              </w:rPr>
            </w:pPr>
          </w:p>
        </w:tc>
        <w:tc>
          <w:tcPr>
            <w:tcW w:w="629" w:type="pct"/>
            <w:vAlign w:val="center"/>
          </w:tcPr>
          <w:p>
            <w:pPr>
              <w:pStyle w:val="30"/>
              <w:jc w:val="center"/>
              <w:rPr>
                <w:rFonts w:hAnsi="宋体" w:cs="宋体"/>
                <w:szCs w:val="21"/>
              </w:rPr>
            </w:pPr>
          </w:p>
        </w:tc>
        <w:tc>
          <w:tcPr>
            <w:tcW w:w="722" w:type="pct"/>
            <w:vAlign w:val="center"/>
          </w:tcPr>
          <w:p>
            <w:pPr>
              <w:pStyle w:val="30"/>
              <w:jc w:val="center"/>
              <w:rPr>
                <w:rFonts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62" w:type="pct"/>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cs="宋体"/>
                <w:bCs/>
                <w:szCs w:val="21"/>
              </w:rPr>
            </w:pPr>
            <w:r>
              <w:rPr>
                <w:rFonts w:hint="eastAsia" w:ascii="宋体" w:hAnsi="宋体" w:cs="宋体"/>
                <w:szCs w:val="21"/>
              </w:rPr>
              <w:t>建安工程费、设备采购费用，按审定概算扣除室内设计、二次机电深化设计（含概算及工程量清单编制）费及施工图、竣工图设计费</w:t>
            </w:r>
          </w:p>
        </w:tc>
        <w:tc>
          <w:tcPr>
            <w:tcW w:w="473" w:type="pct"/>
            <w:vAlign w:val="center"/>
          </w:tcPr>
          <w:p>
            <w:pPr>
              <w:jc w:val="center"/>
              <w:rPr>
                <w:rFonts w:ascii="宋体" w:hAnsi="宋体" w:cs="宋体"/>
                <w:szCs w:val="21"/>
              </w:rPr>
            </w:pPr>
            <w:r>
              <w:rPr>
                <w:rFonts w:hint="eastAsia" w:ascii="宋体" w:hAnsi="宋体" w:cs="宋体"/>
                <w:szCs w:val="21"/>
              </w:rPr>
              <w:t>1项</w:t>
            </w:r>
          </w:p>
        </w:tc>
        <w:tc>
          <w:tcPr>
            <w:tcW w:w="712" w:type="pct"/>
            <w:vAlign w:val="center"/>
          </w:tcPr>
          <w:p>
            <w:pPr>
              <w:pStyle w:val="30"/>
              <w:jc w:val="center"/>
              <w:rPr>
                <w:rFonts w:hAnsi="宋体" w:cs="宋体"/>
                <w:szCs w:val="21"/>
              </w:rPr>
            </w:pPr>
          </w:p>
        </w:tc>
        <w:tc>
          <w:tcPr>
            <w:tcW w:w="629" w:type="pct"/>
            <w:vAlign w:val="center"/>
          </w:tcPr>
          <w:p>
            <w:pPr>
              <w:pStyle w:val="30"/>
              <w:jc w:val="center"/>
              <w:rPr>
                <w:rFonts w:hAnsi="宋体" w:cs="宋体"/>
                <w:szCs w:val="21"/>
              </w:rPr>
            </w:pPr>
          </w:p>
        </w:tc>
        <w:tc>
          <w:tcPr>
            <w:tcW w:w="722" w:type="pct"/>
            <w:vAlign w:val="center"/>
          </w:tcPr>
          <w:p>
            <w:pPr>
              <w:pStyle w:val="30"/>
              <w:jc w:val="center"/>
              <w:rPr>
                <w:rFonts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935" w:type="pct"/>
            <w:gridSpan w:val="2"/>
            <w:vAlign w:val="center"/>
          </w:tcPr>
          <w:p>
            <w:pPr>
              <w:jc w:val="center"/>
              <w:rPr>
                <w:rFonts w:ascii="宋体" w:hAnsi="宋体" w:cs="宋体"/>
                <w:szCs w:val="21"/>
              </w:rPr>
            </w:pPr>
            <w:r>
              <w:rPr>
                <w:rFonts w:hint="eastAsia" w:ascii="宋体" w:hAnsi="宋体" w:cs="宋体"/>
                <w:szCs w:val="21"/>
              </w:rPr>
              <w:t>合计（元</w:t>
            </w:r>
            <w:r>
              <w:rPr>
                <w:rFonts w:ascii="宋体" w:hAnsi="宋体" w:cs="宋体"/>
                <w:szCs w:val="21"/>
              </w:rPr>
              <w:t>）</w:t>
            </w:r>
          </w:p>
        </w:tc>
        <w:tc>
          <w:tcPr>
            <w:tcW w:w="2064" w:type="pct"/>
            <w:gridSpan w:val="3"/>
            <w:vAlign w:val="center"/>
          </w:tcPr>
          <w:p>
            <w:pPr>
              <w:pStyle w:val="30"/>
              <w:jc w:val="center"/>
              <w:rPr>
                <w:rFonts w:hAnsi="宋体" w:cs="宋体"/>
                <w:szCs w:val="21"/>
              </w:rPr>
            </w:pPr>
            <w:r>
              <w:rPr>
                <w:rFonts w:hint="eastAsia" w:hAnsi="宋体" w:cs="宋体"/>
                <w:szCs w:val="21"/>
              </w:rPr>
              <w:t xml:space="preserve">      元，人</w:t>
            </w:r>
            <w:r>
              <w:rPr>
                <w:rFonts w:hAnsi="宋体" w:cs="宋体"/>
                <w:szCs w:val="21"/>
              </w:rPr>
              <w:t>民币</w:t>
            </w:r>
            <w:r>
              <w:rPr>
                <w:rFonts w:hint="eastAsia" w:hAnsi="宋体" w:cs="宋体"/>
                <w:szCs w:val="21"/>
              </w:rPr>
              <w:t>：</w:t>
            </w:r>
            <w:r>
              <w:rPr>
                <w:rFonts w:hAnsi="宋体" w:cs="宋体"/>
                <w:szCs w:val="21"/>
              </w:rPr>
              <w:t>大写：</w:t>
            </w:r>
            <w:r>
              <w:rPr>
                <w:rFonts w:hint="eastAsia" w:hAnsi="宋体" w:cs="宋体"/>
                <w:szCs w:val="21"/>
              </w:rPr>
              <w:t xml:space="preserve">   元</w:t>
            </w:r>
          </w:p>
        </w:tc>
      </w:tr>
    </w:tbl>
    <w:p>
      <w:pPr>
        <w:pStyle w:val="30"/>
        <w:spacing w:line="360" w:lineRule="auto"/>
        <w:rPr>
          <w:rFonts w:hAnsi="宋体" w:cs="宋体"/>
          <w:szCs w:val="21"/>
        </w:rPr>
      </w:pPr>
      <w:r>
        <w:rPr>
          <w:rFonts w:hint="eastAsia" w:hAnsi="宋体" w:cs="宋体"/>
          <w:szCs w:val="21"/>
        </w:rPr>
        <w:t>备注 ：1. 本次投标报价方式为：报价上限为人民币</w:t>
      </w:r>
      <w:r>
        <w:rPr>
          <w:rFonts w:hAnsi="宋体" w:cs="宋体"/>
          <w:szCs w:val="21"/>
        </w:rPr>
        <w:t>80</w:t>
      </w:r>
      <w:r>
        <w:rPr>
          <w:rFonts w:hint="eastAsia" w:hAnsi="宋体" w:cs="宋体"/>
          <w:szCs w:val="21"/>
        </w:rPr>
        <w:t>万元，投标人针对下述要求填报统一折扣率：</w:t>
      </w:r>
    </w:p>
    <w:p>
      <w:pPr>
        <w:pStyle w:val="30"/>
        <w:spacing w:line="360" w:lineRule="auto"/>
        <w:rPr>
          <w:rFonts w:hAnsi="宋体" w:cs="宋体"/>
          <w:szCs w:val="21"/>
        </w:rPr>
      </w:pPr>
      <w:r>
        <w:rPr>
          <w:rFonts w:hint="eastAsia" w:hAnsi="宋体" w:cs="宋体"/>
          <w:szCs w:val="21"/>
        </w:rPr>
        <w:t>（1）室内方案设计、（含概算及工程量清单编制）费及室内施工图、二次机电施工图、竣工图设计费，合并按核算审定概算的6%为基准做折扣率报价；</w:t>
      </w:r>
    </w:p>
    <w:p>
      <w:pPr>
        <w:pStyle w:val="30"/>
        <w:spacing w:line="360" w:lineRule="auto"/>
        <w:rPr>
          <w:rFonts w:hAnsi="宋体" w:cs="宋体"/>
          <w:szCs w:val="21"/>
        </w:rPr>
      </w:pPr>
      <w:r>
        <w:rPr>
          <w:rFonts w:hint="eastAsia" w:hAnsi="宋体" w:cs="宋体"/>
          <w:szCs w:val="21"/>
        </w:rPr>
        <w:t>（2）建安工程费、软硬件采购费用，按核算审定概算扣除方案设计、二次机电深化设计（含概算及工程量清单编制）费及施工图、竣工图设计费后金额为基准，做折扣率报价；</w:t>
      </w:r>
    </w:p>
    <w:p>
      <w:pPr>
        <w:pStyle w:val="30"/>
        <w:spacing w:line="360" w:lineRule="auto"/>
        <w:rPr>
          <w:rFonts w:hAnsi="宋体" w:cs="宋体"/>
          <w:b/>
          <w:bCs/>
          <w:szCs w:val="21"/>
        </w:rPr>
      </w:pPr>
      <w:r>
        <w:rPr>
          <w:rFonts w:hint="eastAsia" w:hAnsi="宋体" w:cs="宋体"/>
          <w:b/>
          <w:bCs/>
          <w:szCs w:val="21"/>
        </w:rPr>
        <w:t>（3）上述两项应当合并仅报送一个折扣率；</w:t>
      </w:r>
    </w:p>
    <w:p>
      <w:pPr>
        <w:pStyle w:val="30"/>
        <w:spacing w:line="360" w:lineRule="auto"/>
        <w:rPr>
          <w:rFonts w:hAnsi="宋体" w:cs="宋体"/>
          <w:szCs w:val="21"/>
        </w:rPr>
      </w:pPr>
      <w:r>
        <w:rPr>
          <w:rFonts w:hint="eastAsia" w:hAnsi="宋体" w:cs="宋体"/>
          <w:szCs w:val="21"/>
        </w:rPr>
        <w:t>（4）投标人自主报价，折扣率在中标后固定不变；</w:t>
      </w:r>
    </w:p>
    <w:p>
      <w:pPr>
        <w:pStyle w:val="30"/>
        <w:spacing w:line="360" w:lineRule="auto"/>
        <w:rPr>
          <w:rFonts w:hAnsi="宋体" w:cs="宋体"/>
          <w:szCs w:val="21"/>
        </w:rPr>
      </w:pPr>
      <w:r>
        <w:rPr>
          <w:rFonts w:hint="eastAsia" w:hAnsi="宋体" w:cs="宋体"/>
          <w:szCs w:val="21"/>
        </w:rPr>
        <w:t>（5）“折扣率”填写要求</w:t>
      </w:r>
    </w:p>
    <w:p>
      <w:pPr>
        <w:pStyle w:val="30"/>
        <w:spacing w:line="360" w:lineRule="auto"/>
        <w:ind w:firstLine="420" w:firstLineChars="0"/>
        <w:rPr>
          <w:rFonts w:hint="eastAsia" w:hAnsi="宋体" w:eastAsia="宋体" w:cs="宋体"/>
          <w:szCs w:val="21"/>
          <w:lang w:eastAsia="zh-CN"/>
        </w:rPr>
      </w:pPr>
      <w:r>
        <w:rPr>
          <w:rFonts w:hint="eastAsia" w:hAnsi="宋体" w:cs="宋体"/>
          <w:szCs w:val="21"/>
        </w:rPr>
        <w:t>1）填写要求：0＜折扣率≤1，未按此要求填写将作投标无效处理</w:t>
      </w:r>
      <w:r>
        <w:rPr>
          <w:rFonts w:hint="eastAsia" w:hAnsi="宋体" w:cs="宋体"/>
          <w:szCs w:val="21"/>
          <w:lang w:eastAsia="zh-CN"/>
        </w:rPr>
        <w:t>；</w:t>
      </w:r>
    </w:p>
    <w:p>
      <w:pPr>
        <w:pStyle w:val="30"/>
        <w:spacing w:line="360" w:lineRule="auto"/>
        <w:ind w:firstLine="420" w:firstLineChars="0"/>
        <w:rPr>
          <w:rFonts w:hAnsi="宋体" w:cs="宋体"/>
          <w:szCs w:val="21"/>
        </w:rPr>
      </w:pPr>
      <w:r>
        <w:rPr>
          <w:rFonts w:hint="eastAsia" w:hAnsi="宋体" w:cs="宋体"/>
          <w:szCs w:val="21"/>
        </w:rPr>
        <w:t>2）填写的“折扣率”应为小数，如0.95、0.80、0.78；</w:t>
      </w:r>
    </w:p>
    <w:p>
      <w:pPr>
        <w:pStyle w:val="30"/>
        <w:spacing w:line="360" w:lineRule="auto"/>
        <w:ind w:firstLine="420" w:firstLineChars="0"/>
        <w:rPr>
          <w:rFonts w:hAnsi="宋体" w:cs="宋体"/>
          <w:szCs w:val="21"/>
        </w:rPr>
      </w:pPr>
      <w:r>
        <w:rPr>
          <w:rFonts w:hint="eastAsia" w:hAnsi="宋体" w:cs="宋体"/>
          <w:szCs w:val="21"/>
        </w:rPr>
        <w:t>3）投标人参与投标只允许填报一个“折扣率”，不允许填报2个（或以上）的“折扣率”；填报了2个或以上“折扣率”的，其投标将直接作投标无效处理；</w:t>
      </w:r>
    </w:p>
    <w:p>
      <w:pPr>
        <w:pStyle w:val="30"/>
        <w:spacing w:line="360" w:lineRule="auto"/>
        <w:ind w:firstLine="420" w:firstLineChars="0"/>
        <w:rPr>
          <w:rFonts w:hint="eastAsia" w:hAnsi="宋体" w:eastAsia="宋体" w:cs="宋体"/>
          <w:szCs w:val="21"/>
          <w:lang w:eastAsia="zh-CN"/>
        </w:rPr>
      </w:pPr>
      <w:r>
        <w:rPr>
          <w:rFonts w:hint="eastAsia" w:hAnsi="宋体" w:cs="宋体"/>
          <w:szCs w:val="21"/>
        </w:rPr>
        <w:t>4）“折扣率”缺填、漏填将直接作投标无效处理</w:t>
      </w:r>
      <w:r>
        <w:rPr>
          <w:rFonts w:hint="eastAsia" w:hAnsi="宋体" w:cs="宋体"/>
          <w:szCs w:val="21"/>
          <w:lang w:eastAsia="zh-CN"/>
        </w:rPr>
        <w:t>。</w:t>
      </w:r>
    </w:p>
    <w:p>
      <w:pPr>
        <w:pStyle w:val="30"/>
        <w:spacing w:line="360" w:lineRule="auto"/>
        <w:rPr>
          <w:rFonts w:hAnsi="宋体" w:cs="宋体"/>
          <w:szCs w:val="21"/>
        </w:rPr>
      </w:pPr>
      <w:r>
        <w:rPr>
          <w:rFonts w:hint="eastAsia" w:hAnsi="宋体" w:cs="宋体"/>
          <w:szCs w:val="21"/>
        </w:rPr>
        <w:t>2.投标总价必须是完成本项目的一切费用总和，包括但不限于投标费、设备费、设备安装辅助材料费、软件费、运输费、装卸费、保险费、技术培训费、设备安装费、调试费、系统集成费、投标人承诺项目所产生的费用及国家规定的各项税费等。</w:t>
      </w:r>
    </w:p>
    <w:p>
      <w:pPr>
        <w:spacing w:line="360" w:lineRule="auto"/>
        <w:ind w:firstLine="420" w:firstLineChars="200"/>
        <w:jc w:val="left"/>
        <w:rPr>
          <w:rFonts w:ascii="宋体" w:hAnsi="宋体"/>
          <w:szCs w:val="21"/>
        </w:rPr>
      </w:pPr>
      <w:r>
        <w:rPr>
          <w:rFonts w:hint="eastAsia" w:ascii="宋体" w:hAnsi="宋体"/>
          <w:szCs w:val="21"/>
        </w:rPr>
        <w:t>采用低价优先法计算，即满足招标文件要求且投标价格最低的投标报价为评标基准价，其价格分为满分。其他投标人的价格分统一按照下列公式计算：</w:t>
      </w:r>
    </w:p>
    <w:tbl>
      <w:tblPr>
        <w:tblStyle w:val="54"/>
        <w:tblW w:w="86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068"/>
        <w:gridCol w:w="655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5"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仿宋" w:hAnsi="仿宋" w:eastAsia="仿宋" w:cs="宋体"/>
                <w:b/>
                <w:bCs/>
                <w:szCs w:val="21"/>
              </w:rPr>
            </w:pPr>
            <w:r>
              <w:rPr>
                <w:rFonts w:hint="eastAsia" w:ascii="宋体" w:hAnsi="宋体" w:cs="宋体"/>
                <w:b/>
                <w:bCs/>
                <w:szCs w:val="21"/>
              </w:rPr>
              <w:t>评分项目</w:t>
            </w:r>
          </w:p>
        </w:tc>
        <w:tc>
          <w:tcPr>
            <w:tcW w:w="6555" w:type="dxa"/>
            <w:tcBorders>
              <w:top w:val="single" w:color="auto" w:sz="6" w:space="0"/>
              <w:left w:val="nil"/>
              <w:bottom w:val="single" w:color="auto" w:sz="6" w:space="0"/>
              <w:right w:val="single" w:color="auto" w:sz="6" w:space="0"/>
            </w:tcBorders>
            <w:vAlign w:val="center"/>
          </w:tcPr>
          <w:p>
            <w:pPr>
              <w:adjustRightInd w:val="0"/>
              <w:snapToGrid w:val="0"/>
              <w:jc w:val="center"/>
              <w:rPr>
                <w:rFonts w:ascii="仿宋" w:hAnsi="仿宋" w:eastAsia="仿宋" w:cs="宋体"/>
                <w:b/>
                <w:bCs/>
                <w:szCs w:val="21"/>
              </w:rPr>
            </w:pPr>
            <w:r>
              <w:rPr>
                <w:rFonts w:hint="eastAsia" w:ascii="宋体" w:hAnsi="宋体" w:cs="宋体"/>
                <w:b/>
                <w:bCs/>
                <w:szCs w:val="21"/>
              </w:rPr>
              <w:t>评分标准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仿宋" w:hAnsi="仿宋" w:eastAsia="仿宋" w:cs="宋体"/>
                <w:szCs w:val="21"/>
              </w:rPr>
            </w:pPr>
            <w:r>
              <w:rPr>
                <w:rFonts w:hint="eastAsia" w:ascii="宋体" w:hAnsi="宋体"/>
                <w:szCs w:val="21"/>
              </w:rPr>
              <w:t>投标总价</w:t>
            </w:r>
          </w:p>
        </w:tc>
        <w:tc>
          <w:tcPr>
            <w:tcW w:w="6555" w:type="dxa"/>
            <w:tcBorders>
              <w:top w:val="single" w:color="auto" w:sz="6" w:space="0"/>
              <w:left w:val="nil"/>
              <w:bottom w:val="single" w:color="auto" w:sz="6" w:space="0"/>
              <w:right w:val="single" w:color="auto" w:sz="6" w:space="0"/>
            </w:tcBorders>
            <w:vAlign w:val="center"/>
          </w:tcPr>
          <w:p>
            <w:pPr>
              <w:ind w:firstLine="420" w:firstLineChars="200"/>
              <w:jc w:val="left"/>
              <w:rPr>
                <w:rFonts w:ascii="宋体" w:hAnsi="宋体"/>
                <w:szCs w:val="21"/>
              </w:rPr>
            </w:pPr>
            <w:r>
              <w:rPr>
                <w:rFonts w:hint="eastAsia" w:ascii="宋体" w:hAnsi="宋体"/>
                <w:szCs w:val="21"/>
              </w:rPr>
              <w:t>投标报价得分=(评标基准价／投标报价)×40</w:t>
            </w:r>
          </w:p>
          <w:p>
            <w:pPr>
              <w:ind w:firstLine="420" w:firstLineChars="200"/>
              <w:jc w:val="left"/>
              <w:rPr>
                <w:rFonts w:ascii="仿宋" w:hAnsi="仿宋" w:eastAsia="仿宋" w:cs="宋体"/>
                <w:b/>
                <w:bCs/>
                <w:szCs w:val="21"/>
              </w:rPr>
            </w:pPr>
            <w:r>
              <w:rPr>
                <w:rFonts w:hint="eastAsia" w:ascii="宋体" w:hAnsi="宋体"/>
                <w:szCs w:val="21"/>
              </w:rPr>
              <w:t>评标基准价=满足招标文件要求且投标价格最低的投标报价</w:t>
            </w:r>
          </w:p>
        </w:tc>
      </w:tr>
    </w:tbl>
    <w:p>
      <w:pPr>
        <w:adjustRightInd w:val="0"/>
        <w:snapToGrid w:val="0"/>
        <w:jc w:val="left"/>
        <w:rPr>
          <w:rFonts w:hint="eastAsia" w:ascii="宋体" w:hAnsi="宋体" w:cs="宋体"/>
          <w:b/>
          <w:bCs/>
          <w:szCs w:val="21"/>
        </w:rPr>
      </w:pPr>
    </w:p>
    <w:p>
      <w:pPr>
        <w:jc w:val="center"/>
        <w:rPr>
          <w:rFonts w:ascii="宋体" w:hAnsi="宋体"/>
          <w:sz w:val="36"/>
          <w:szCs w:val="36"/>
        </w:rPr>
      </w:pPr>
      <w:r>
        <w:rPr>
          <w:rFonts w:ascii="宋体" w:hAnsi="宋体"/>
          <w:szCs w:val="21"/>
        </w:rPr>
        <w:br w:type="page"/>
      </w:r>
      <w:r>
        <w:rPr>
          <w:rFonts w:hint="eastAsia" w:ascii="宋体" w:hAnsi="宋体"/>
          <w:b/>
          <w:sz w:val="36"/>
          <w:szCs w:val="36"/>
        </w:rPr>
        <w:t>定标方法</w:t>
      </w:r>
    </w:p>
    <w:p>
      <w:pPr>
        <w:widowControl/>
        <w:jc w:val="left"/>
      </w:pPr>
    </w:p>
    <w:p>
      <w:pPr>
        <w:spacing w:line="360" w:lineRule="auto"/>
      </w:pPr>
      <w:r>
        <w:rPr>
          <w:rFonts w:hint="eastAsia"/>
        </w:rPr>
        <w:t>定标方法：本项目评审后得分由高到低顺序排列。</w:t>
      </w:r>
    </w:p>
    <w:p>
      <w:pPr>
        <w:spacing w:line="360" w:lineRule="auto"/>
      </w:pPr>
      <w:r>
        <w:rPr>
          <w:rFonts w:hint="eastAsia"/>
        </w:rPr>
        <w:t>得分相同的，按投标报价由低到高顺序排列。</w:t>
      </w:r>
    </w:p>
    <w:p>
      <w:pPr>
        <w:spacing w:line="360" w:lineRule="auto"/>
      </w:pPr>
      <w:r>
        <w:rPr>
          <w:rFonts w:hint="eastAsia"/>
        </w:rPr>
        <w:t>得分且投标报价相同的，按投标文件满足招标文件全部实质性要求，技术部分得分排名第一的投标人为第一中标候选人</w:t>
      </w:r>
    </w:p>
    <w:p>
      <w:pPr>
        <w:jc w:val="left"/>
        <w:rPr>
          <w:rFonts w:ascii="宋体" w:hAnsi="宋体"/>
          <w:b/>
          <w:sz w:val="36"/>
          <w:szCs w:val="36"/>
        </w:rPr>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widowControl/>
        <w:jc w:val="left"/>
      </w:pPr>
      <w:r>
        <w:br w:type="page"/>
      </w:r>
    </w:p>
    <w:p>
      <w:pPr>
        <w:ind w:firstLine="420" w:firstLineChars="200"/>
        <w:jc w:val="left"/>
      </w:pPr>
    </w:p>
    <w:p>
      <w:pPr>
        <w:pStyle w:val="5"/>
        <w:numPr>
          <w:ilvl w:val="0"/>
          <w:numId w:val="4"/>
        </w:numPr>
        <w:rPr>
          <w:sz w:val="30"/>
          <w:szCs w:val="30"/>
        </w:rPr>
      </w:pPr>
      <w:r>
        <w:rPr>
          <w:rFonts w:hint="eastAsia"/>
          <w:sz w:val="30"/>
          <w:szCs w:val="30"/>
        </w:rPr>
        <w:t>招标公告</w:t>
      </w:r>
    </w:p>
    <w:p>
      <w:pPr>
        <w:spacing w:line="360" w:lineRule="auto"/>
        <w:ind w:firstLine="420" w:firstLineChars="200"/>
        <w:jc w:val="left"/>
        <w:rPr>
          <w:rFonts w:ascii="宋体" w:hAnsi="宋体"/>
          <w:szCs w:val="21"/>
        </w:rPr>
      </w:pPr>
      <w:r>
        <w:rPr>
          <w:rFonts w:hint="eastAsia" w:ascii="宋体" w:hAnsi="宋体"/>
          <w:color w:val="000000"/>
          <w:szCs w:val="21"/>
        </w:rPr>
        <w:t>《规划大厦二楼203-206会议室修缮》项目</w:t>
      </w:r>
      <w:r>
        <w:rPr>
          <w:rFonts w:ascii="宋体" w:hAnsi="宋体"/>
          <w:color w:val="000000"/>
          <w:szCs w:val="21"/>
        </w:rPr>
        <w:t>的潜在投标人应于2022年</w:t>
      </w:r>
      <w:r>
        <w:rPr>
          <w:rFonts w:hint="eastAsia" w:ascii="宋体" w:hAnsi="宋体"/>
          <w:color w:val="000000"/>
          <w:szCs w:val="21"/>
          <w:u w:val="none"/>
        </w:rPr>
        <w:t>9</w:t>
      </w:r>
      <w:r>
        <w:rPr>
          <w:rFonts w:ascii="宋体" w:hAnsi="宋体"/>
          <w:color w:val="000000"/>
          <w:szCs w:val="21"/>
        </w:rPr>
        <w:t>月</w:t>
      </w:r>
      <w:r>
        <w:rPr>
          <w:rFonts w:hint="eastAsia" w:ascii="宋体" w:hAnsi="宋体"/>
          <w:color w:val="000000"/>
          <w:szCs w:val="21"/>
          <w:u w:val="none"/>
        </w:rPr>
        <w:t>27</w:t>
      </w:r>
      <w:r>
        <w:rPr>
          <w:rFonts w:ascii="宋体" w:hAnsi="宋体"/>
          <w:color w:val="000000"/>
          <w:szCs w:val="21"/>
        </w:rPr>
        <w:t>日</w:t>
      </w:r>
      <w:r>
        <w:rPr>
          <w:rFonts w:hint="eastAsia" w:ascii="宋体" w:hAnsi="宋体"/>
          <w:color w:val="000000"/>
          <w:szCs w:val="21"/>
        </w:rPr>
        <w:t>1</w:t>
      </w:r>
      <w:r>
        <w:rPr>
          <w:rFonts w:hint="eastAsia" w:ascii="宋体" w:hAnsi="宋体"/>
          <w:color w:val="000000"/>
          <w:szCs w:val="21"/>
          <w:lang w:val="en-US" w:eastAsia="zh-CN"/>
        </w:rPr>
        <w:t>6</w:t>
      </w:r>
      <w:r>
        <w:rPr>
          <w:rFonts w:ascii="宋体" w:hAnsi="宋体"/>
          <w:color w:val="000000"/>
          <w:szCs w:val="21"/>
        </w:rPr>
        <w:t>点</w:t>
      </w:r>
      <w:r>
        <w:rPr>
          <w:rFonts w:hint="eastAsia" w:ascii="宋体" w:hAnsi="宋体"/>
          <w:color w:val="000000"/>
          <w:szCs w:val="21"/>
        </w:rPr>
        <w:t>0</w:t>
      </w:r>
      <w:r>
        <w:rPr>
          <w:rFonts w:ascii="宋体" w:hAnsi="宋体"/>
          <w:color w:val="000000"/>
          <w:szCs w:val="21"/>
        </w:rPr>
        <w:t>0分（北京时间）前递交投标文件。</w:t>
      </w:r>
    </w:p>
    <w:p>
      <w:pPr>
        <w:keepNext w:val="0"/>
        <w:keepLines w:val="0"/>
        <w:pageBreakBefore w:val="0"/>
        <w:widowControl w:val="0"/>
        <w:kinsoku/>
        <w:wordWrap/>
        <w:overflowPunct/>
        <w:topLinePunct w:val="0"/>
        <w:autoSpaceDE/>
        <w:autoSpaceDN/>
        <w:bidi w:val="0"/>
        <w:adjustRightInd/>
        <w:snapToGrid/>
        <w:spacing w:line="360" w:lineRule="auto"/>
        <w:ind w:firstLine="413" w:firstLineChars="196"/>
        <w:jc w:val="left"/>
        <w:textAlignment w:val="auto"/>
        <w:rPr>
          <w:rFonts w:ascii="宋体" w:hAnsi="宋体"/>
          <w:b/>
          <w:szCs w:val="21"/>
        </w:rPr>
      </w:pPr>
      <w:bookmarkStart w:id="0" w:name="_Toc28359079"/>
      <w:bookmarkStart w:id="1" w:name="_Toc35393790"/>
      <w:bookmarkStart w:id="2" w:name="_Toc28359002"/>
      <w:bookmarkStart w:id="3" w:name="_Toc35393621"/>
      <w:bookmarkStart w:id="4" w:name="_Hlk24379207"/>
      <w:r>
        <w:rPr>
          <w:rFonts w:ascii="宋体" w:hAnsi="宋体"/>
          <w:b/>
          <w:szCs w:val="21"/>
        </w:rPr>
        <w:t>一、项目基本情况</w:t>
      </w:r>
      <w:bookmarkEnd w:id="0"/>
      <w:bookmarkEnd w:id="1"/>
      <w:bookmarkEnd w:id="2"/>
      <w:bookmarkEnd w:id="3"/>
    </w:p>
    <w:p>
      <w:pPr>
        <w:spacing w:line="360" w:lineRule="auto"/>
        <w:ind w:firstLine="420" w:firstLineChars="200"/>
        <w:jc w:val="left"/>
        <w:rPr>
          <w:rFonts w:ascii="宋体" w:hAnsi="宋体"/>
          <w:color w:val="000000"/>
          <w:szCs w:val="21"/>
        </w:rPr>
      </w:pPr>
      <w:r>
        <w:rPr>
          <w:rFonts w:ascii="宋体" w:hAnsi="宋体"/>
          <w:color w:val="000000"/>
          <w:szCs w:val="21"/>
        </w:rPr>
        <w:t>项目名称：</w:t>
      </w:r>
      <w:r>
        <w:rPr>
          <w:rFonts w:hint="eastAsia" w:ascii="宋体" w:hAnsi="宋体"/>
          <w:color w:val="000000"/>
          <w:szCs w:val="21"/>
        </w:rPr>
        <w:t>《规划大厦二楼203、204、205、206会议室修缮》项目</w:t>
      </w:r>
    </w:p>
    <w:bookmarkEnd w:id="4"/>
    <w:p>
      <w:pPr>
        <w:spacing w:line="360" w:lineRule="auto"/>
        <w:ind w:firstLine="420" w:firstLineChars="200"/>
        <w:jc w:val="left"/>
        <w:rPr>
          <w:rFonts w:ascii="宋体" w:hAnsi="宋体"/>
          <w:color w:val="000000"/>
          <w:szCs w:val="21"/>
        </w:rPr>
      </w:pPr>
      <w:r>
        <w:rPr>
          <w:rFonts w:hint="eastAsia" w:ascii="宋体" w:hAnsi="宋体"/>
          <w:color w:val="000000"/>
          <w:szCs w:val="21"/>
        </w:rPr>
        <w:t>预算</w:t>
      </w:r>
      <w:r>
        <w:rPr>
          <w:rFonts w:ascii="宋体" w:hAnsi="宋体"/>
          <w:color w:val="000000"/>
          <w:szCs w:val="21"/>
        </w:rPr>
        <w:t>金额：</w:t>
      </w:r>
      <w:r>
        <w:rPr>
          <w:rFonts w:hint="eastAsia" w:ascii="宋体" w:hAnsi="宋体"/>
          <w:color w:val="000000"/>
          <w:szCs w:val="21"/>
        </w:rPr>
        <w:t>人民币</w:t>
      </w:r>
      <w:r>
        <w:rPr>
          <w:rFonts w:ascii="宋体" w:hAnsi="宋体"/>
          <w:color w:val="000000"/>
          <w:szCs w:val="21"/>
        </w:rPr>
        <w:t>800000元</w:t>
      </w:r>
      <w:r>
        <w:rPr>
          <w:rFonts w:hint="eastAsia" w:ascii="宋体" w:hAnsi="宋体"/>
          <w:color w:val="000000"/>
          <w:szCs w:val="21"/>
        </w:rPr>
        <w:t>（</w:t>
      </w: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 80 \* CHINESENUM2</w:instrText>
      </w:r>
      <w:r>
        <w:rPr>
          <w:rFonts w:ascii="宋体" w:hAnsi="宋体"/>
          <w:color w:val="000000"/>
          <w:szCs w:val="21"/>
        </w:rPr>
        <w:instrText xml:space="preserve"> </w:instrText>
      </w:r>
      <w:r>
        <w:rPr>
          <w:rFonts w:ascii="宋体" w:hAnsi="宋体"/>
          <w:color w:val="000000"/>
          <w:szCs w:val="21"/>
        </w:rPr>
        <w:fldChar w:fldCharType="separate"/>
      </w:r>
      <w:r>
        <w:rPr>
          <w:rFonts w:hint="eastAsia" w:ascii="宋体" w:hAnsi="宋体"/>
          <w:color w:val="000000"/>
          <w:szCs w:val="21"/>
        </w:rPr>
        <w:t>捌拾</w:t>
      </w:r>
      <w:r>
        <w:rPr>
          <w:rFonts w:ascii="宋体" w:hAnsi="宋体"/>
          <w:color w:val="000000"/>
          <w:szCs w:val="21"/>
        </w:rPr>
        <w:fldChar w:fldCharType="end"/>
      </w:r>
      <w:r>
        <w:rPr>
          <w:rFonts w:hint="eastAsia" w:ascii="宋体" w:hAnsi="宋体"/>
          <w:color w:val="000000"/>
          <w:szCs w:val="21"/>
        </w:rPr>
        <w:t>万元）</w:t>
      </w:r>
      <w:r>
        <w:rPr>
          <w:rFonts w:ascii="宋体" w:hAnsi="宋体"/>
          <w:color w:val="000000"/>
          <w:szCs w:val="21"/>
        </w:rPr>
        <w:t>整</w:t>
      </w:r>
    </w:p>
    <w:p>
      <w:pPr>
        <w:spacing w:line="360" w:lineRule="auto"/>
        <w:ind w:firstLine="420" w:firstLineChars="200"/>
        <w:jc w:val="left"/>
        <w:rPr>
          <w:rFonts w:ascii="宋体" w:hAnsi="宋体"/>
          <w:color w:val="000000"/>
          <w:szCs w:val="21"/>
        </w:rPr>
      </w:pPr>
      <w:r>
        <w:rPr>
          <w:rFonts w:ascii="宋体" w:hAnsi="宋体"/>
          <w:color w:val="000000"/>
          <w:szCs w:val="21"/>
        </w:rPr>
        <w:t>最高限价：80</w:t>
      </w:r>
      <w:r>
        <w:rPr>
          <w:rFonts w:hint="eastAsia" w:ascii="宋体" w:hAnsi="宋体"/>
          <w:color w:val="000000"/>
          <w:szCs w:val="21"/>
        </w:rPr>
        <w:t>万元</w:t>
      </w:r>
    </w:p>
    <w:p>
      <w:pPr>
        <w:spacing w:line="360" w:lineRule="auto"/>
        <w:ind w:firstLine="420" w:firstLineChars="200"/>
        <w:jc w:val="left"/>
        <w:rPr>
          <w:rFonts w:ascii="宋体" w:hAnsi="宋体"/>
          <w:color w:val="000000"/>
          <w:szCs w:val="21"/>
          <w:u w:val="single"/>
        </w:rPr>
      </w:pPr>
      <w:r>
        <w:rPr>
          <w:rFonts w:ascii="宋体" w:hAnsi="宋体"/>
          <w:color w:val="000000"/>
          <w:szCs w:val="21"/>
        </w:rPr>
        <w:t>采购需求：</w:t>
      </w:r>
      <w:r>
        <w:rPr>
          <w:rFonts w:hint="eastAsia" w:ascii="宋体" w:hAnsi="宋体"/>
          <w:color w:val="000000"/>
          <w:szCs w:val="21"/>
        </w:rPr>
        <w:t>《规划大厦二楼203、204、205、206会议室修缮》项目1项。</w:t>
      </w:r>
    </w:p>
    <w:p>
      <w:pPr>
        <w:spacing w:line="360" w:lineRule="auto"/>
        <w:ind w:firstLine="420" w:firstLineChars="200"/>
        <w:jc w:val="left"/>
        <w:rPr>
          <w:rFonts w:ascii="宋体" w:hAnsi="宋体"/>
          <w:color w:val="000000"/>
          <w:szCs w:val="21"/>
          <w:u w:val="single"/>
        </w:rPr>
      </w:pPr>
      <w:r>
        <w:rPr>
          <w:rFonts w:ascii="宋体" w:hAnsi="宋体"/>
          <w:color w:val="000000"/>
          <w:szCs w:val="21"/>
        </w:rPr>
        <w:t>合同履行期限：</w:t>
      </w:r>
      <w:r>
        <w:rPr>
          <w:rFonts w:hint="eastAsia" w:ascii="宋体" w:hAnsi="宋体"/>
          <w:color w:val="000000"/>
          <w:szCs w:val="21"/>
        </w:rPr>
        <w:t>合同签订之日起</w:t>
      </w:r>
      <w:r>
        <w:rPr>
          <w:rFonts w:ascii="宋体" w:hAnsi="宋体"/>
          <w:color w:val="000000"/>
          <w:szCs w:val="21"/>
        </w:rPr>
        <w:t>20</w:t>
      </w:r>
      <w:r>
        <w:rPr>
          <w:rFonts w:hint="eastAsia" w:ascii="宋体" w:hAnsi="宋体"/>
          <w:color w:val="000000"/>
          <w:szCs w:val="21"/>
        </w:rPr>
        <w:t>个自然日内完工并通过验收合格</w:t>
      </w:r>
      <w:r>
        <w:rPr>
          <w:rFonts w:ascii="宋体" w:hAnsi="宋体"/>
          <w:color w:val="000000"/>
          <w:szCs w:val="21"/>
        </w:rPr>
        <w:t>。</w:t>
      </w:r>
    </w:p>
    <w:p>
      <w:pPr>
        <w:spacing w:line="360" w:lineRule="auto"/>
        <w:ind w:firstLine="420" w:firstLineChars="200"/>
        <w:jc w:val="left"/>
        <w:rPr>
          <w:rFonts w:ascii="宋体" w:hAnsi="宋体"/>
          <w:color w:val="000000"/>
          <w:szCs w:val="21"/>
        </w:rPr>
      </w:pPr>
      <w:r>
        <w:rPr>
          <w:rFonts w:ascii="宋体" w:hAnsi="宋体"/>
          <w:color w:val="000000"/>
          <w:szCs w:val="21"/>
        </w:rPr>
        <w:t>本项目</w:t>
      </w:r>
      <w:r>
        <w:rPr>
          <w:rFonts w:hint="eastAsia" w:ascii="宋体" w:hAnsi="宋体"/>
          <w:color w:val="000000"/>
          <w:szCs w:val="21"/>
        </w:rPr>
        <w:t>不</w:t>
      </w:r>
      <w:r>
        <w:rPr>
          <w:rFonts w:ascii="宋体" w:hAnsi="宋体"/>
          <w:color w:val="000000"/>
          <w:szCs w:val="21"/>
        </w:rPr>
        <w:t>接受联合体投标。</w:t>
      </w:r>
    </w:p>
    <w:p>
      <w:pPr>
        <w:keepNext w:val="0"/>
        <w:keepLines w:val="0"/>
        <w:pageBreakBefore w:val="0"/>
        <w:widowControl w:val="0"/>
        <w:kinsoku/>
        <w:wordWrap/>
        <w:overflowPunct/>
        <w:topLinePunct w:val="0"/>
        <w:autoSpaceDE/>
        <w:autoSpaceDN/>
        <w:bidi w:val="0"/>
        <w:adjustRightInd/>
        <w:snapToGrid/>
        <w:spacing w:line="360" w:lineRule="auto"/>
        <w:ind w:firstLine="413" w:firstLineChars="196"/>
        <w:jc w:val="left"/>
        <w:textAlignment w:val="auto"/>
        <w:rPr>
          <w:rFonts w:ascii="宋体" w:hAnsi="宋体"/>
          <w:b/>
          <w:color w:val="000000"/>
          <w:szCs w:val="21"/>
        </w:rPr>
      </w:pPr>
      <w:bookmarkStart w:id="5" w:name="_Toc28359080"/>
      <w:bookmarkStart w:id="6" w:name="_Toc35393791"/>
      <w:bookmarkStart w:id="7" w:name="_Toc35393622"/>
      <w:bookmarkStart w:id="8" w:name="_Toc28359003"/>
      <w:r>
        <w:rPr>
          <w:rFonts w:ascii="宋体" w:hAnsi="宋体"/>
          <w:b/>
          <w:color w:val="000000"/>
          <w:szCs w:val="21"/>
        </w:rPr>
        <w:t>二、申请人的资格要求：</w:t>
      </w:r>
      <w:bookmarkEnd w:id="5"/>
      <w:bookmarkEnd w:id="6"/>
      <w:bookmarkEnd w:id="7"/>
      <w:bookmarkEnd w:id="8"/>
    </w:p>
    <w:p>
      <w:pPr>
        <w:spacing w:line="360" w:lineRule="auto"/>
        <w:ind w:firstLine="420" w:firstLineChars="200"/>
        <w:jc w:val="left"/>
        <w:rPr>
          <w:rFonts w:ascii="宋体" w:hAnsi="宋体"/>
          <w:color w:val="000000"/>
          <w:szCs w:val="21"/>
        </w:rPr>
      </w:pPr>
      <w:bookmarkStart w:id="9" w:name="_Toc28359004"/>
      <w:bookmarkStart w:id="10" w:name="_Toc28359081"/>
      <w:bookmarkStart w:id="11" w:name="_Toc35393792"/>
      <w:bookmarkStart w:id="12" w:name="_Toc35393623"/>
      <w:r>
        <w:rPr>
          <w:rFonts w:hint="eastAsia" w:ascii="宋体" w:hAnsi="宋体"/>
          <w:color w:val="000000"/>
          <w:szCs w:val="21"/>
        </w:rPr>
        <w:t>1.具有独立承担民事责任能力的在中华人民共和国境内登记注册的法人或其他组织营业执照（或单位登记证书等相关证明材料）；</w:t>
      </w:r>
    </w:p>
    <w:p>
      <w:pPr>
        <w:spacing w:line="360" w:lineRule="auto"/>
        <w:ind w:firstLine="420" w:firstLineChars="200"/>
        <w:jc w:val="left"/>
        <w:rPr>
          <w:rFonts w:ascii="宋体" w:hAnsi="宋体"/>
          <w:color w:val="000000"/>
          <w:szCs w:val="21"/>
        </w:rPr>
      </w:pPr>
      <w:r>
        <w:rPr>
          <w:rFonts w:ascii="宋体" w:hAnsi="宋体"/>
          <w:color w:val="000000"/>
          <w:szCs w:val="21"/>
        </w:rPr>
        <w:t>2</w:t>
      </w:r>
      <w:r>
        <w:rPr>
          <w:rFonts w:hint="eastAsia" w:ascii="宋体" w:hAnsi="宋体"/>
          <w:color w:val="000000"/>
          <w:szCs w:val="21"/>
        </w:rPr>
        <w:t>.资质:</w:t>
      </w:r>
    </w:p>
    <w:p>
      <w:pPr>
        <w:spacing w:line="360" w:lineRule="auto"/>
        <w:ind w:firstLine="420" w:firstLineChars="200"/>
        <w:jc w:val="left"/>
        <w:rPr>
          <w:rFonts w:ascii="宋体" w:hAnsi="宋体"/>
          <w:color w:val="000000"/>
          <w:szCs w:val="21"/>
        </w:rPr>
      </w:pPr>
      <w:r>
        <w:rPr>
          <w:rFonts w:hint="eastAsia" w:ascii="宋体" w:hAnsi="宋体"/>
          <w:color w:val="000000"/>
          <w:szCs w:val="21"/>
        </w:rPr>
        <w:t>具有建设行政主管部门核发的有效期内的建筑装修装饰工程专业承包二级（或以上）资质，为贯彻落实《建设工程企业资质管理制度改革方案》（建市{2020}94号），也可提供有效的建筑装修装饰工程专业承包乙级以上（含乙级）资质证书，同时具有住房和城乡建设部颁发的建筑装修装饰设计乙级或以上资质（提供资质证书复印件加盖公章，原件备查）</w:t>
      </w:r>
    </w:p>
    <w:p>
      <w:pPr>
        <w:spacing w:line="360" w:lineRule="auto"/>
        <w:ind w:firstLine="420" w:firstLineChars="200"/>
        <w:jc w:val="left"/>
        <w:rPr>
          <w:rFonts w:ascii="宋体" w:hAnsi="宋体"/>
          <w:color w:val="000000"/>
          <w:szCs w:val="21"/>
        </w:rPr>
      </w:pPr>
      <w:r>
        <w:rPr>
          <w:rFonts w:hint="eastAsia" w:ascii="宋体" w:hAnsi="宋体"/>
          <w:color w:val="000000"/>
          <w:szCs w:val="21"/>
        </w:rPr>
        <w:t>3.参加投标的供应商未被列入记录失信被执行人或重大税收违法案件当事人名单或政府采购严重违法失信行为记录名单；不处于“政府采购严重违法失信行为信息记录”中的禁止参加政府采购活动期间。（以采购人或采购代理投标截止日“信用中国”网站（www.creditchina.gov.cn）、</w:t>
      </w:r>
      <w:bookmarkStart w:id="35" w:name="_GoBack"/>
      <w:r>
        <w:rPr>
          <w:rFonts w:hint="eastAsia" w:ascii="宋体" w:hAnsi="宋体"/>
          <w:color w:val="000000"/>
          <w:szCs w:val="21"/>
        </w:rPr>
        <w:t>中国政府采购网（www.ccgp.gov.cn）、深圳市政府采购监督管理网（www.zfcg.sz.gov.cn）、深圳政府采购网（cgzx.sz.gov.cn）、深圳信用网（www.szcredit.org.cn）</w:t>
      </w:r>
      <w:bookmarkEnd w:id="35"/>
      <w:r>
        <w:rPr>
          <w:rFonts w:hint="eastAsia" w:ascii="宋体" w:hAnsi="宋体"/>
          <w:color w:val="000000"/>
          <w:szCs w:val="21"/>
        </w:rPr>
        <w:t>等渠道查询结果为准，如相关失信记录已失效，供应商需提供相关证明资料）；</w:t>
      </w:r>
    </w:p>
    <w:p>
      <w:pPr>
        <w:spacing w:line="360" w:lineRule="auto"/>
        <w:ind w:firstLine="420" w:firstLineChars="200"/>
        <w:jc w:val="left"/>
        <w:rPr>
          <w:rFonts w:ascii="宋体" w:hAnsi="宋体"/>
          <w:color w:val="000000"/>
          <w:szCs w:val="21"/>
        </w:rPr>
      </w:pPr>
      <w:r>
        <w:rPr>
          <w:rFonts w:hint="eastAsia" w:ascii="宋体" w:hAnsi="宋体"/>
          <w:color w:val="000000"/>
          <w:szCs w:val="21"/>
        </w:rPr>
        <w:t>4.投标人投标文件中必须签署《政府采购投标及履约承诺函》；</w:t>
      </w:r>
    </w:p>
    <w:p>
      <w:pPr>
        <w:spacing w:line="360" w:lineRule="auto"/>
        <w:ind w:firstLine="420" w:firstLineChars="200"/>
        <w:jc w:val="left"/>
        <w:rPr>
          <w:rFonts w:hint="eastAsia" w:ascii="宋体" w:hAnsi="宋体" w:eastAsia="宋体"/>
          <w:color w:val="000000"/>
          <w:szCs w:val="21"/>
          <w:lang w:eastAsia="zh-CN"/>
        </w:rPr>
      </w:pPr>
      <w:r>
        <w:rPr>
          <w:rFonts w:hint="eastAsia" w:ascii="宋体" w:hAnsi="宋体"/>
          <w:color w:val="000000"/>
          <w:szCs w:val="21"/>
        </w:rPr>
        <w:t>5.本项目不接受联合体投标，不允许转包、分包</w:t>
      </w:r>
      <w:r>
        <w:rPr>
          <w:rFonts w:hint="eastAsia" w:ascii="宋体" w:hAnsi="宋体"/>
          <w:color w:val="000000"/>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13" w:firstLineChars="196"/>
        <w:jc w:val="left"/>
        <w:textAlignment w:val="auto"/>
        <w:rPr>
          <w:rFonts w:ascii="宋体" w:hAnsi="宋体"/>
          <w:b/>
          <w:color w:val="000000"/>
          <w:szCs w:val="21"/>
        </w:rPr>
      </w:pPr>
      <w:r>
        <w:rPr>
          <w:rFonts w:ascii="宋体" w:hAnsi="宋体"/>
          <w:b/>
          <w:color w:val="000000"/>
          <w:szCs w:val="21"/>
        </w:rPr>
        <w:t>三、获取采购文件</w:t>
      </w:r>
      <w:bookmarkEnd w:id="9"/>
      <w:bookmarkEnd w:id="10"/>
      <w:bookmarkEnd w:id="11"/>
      <w:bookmarkEnd w:id="12"/>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szCs w:val="21"/>
        </w:rPr>
      </w:pPr>
      <w:r>
        <w:rPr>
          <w:rFonts w:ascii="宋体" w:hAnsi="宋体"/>
          <w:szCs w:val="21"/>
        </w:rPr>
        <w:t>时间：2022年</w:t>
      </w:r>
      <w:r>
        <w:rPr>
          <w:rFonts w:hint="eastAsia" w:ascii="宋体" w:hAnsi="宋体"/>
          <w:color w:val="000000"/>
          <w:szCs w:val="21"/>
          <w:u w:val="none"/>
        </w:rPr>
        <w:t>9</w:t>
      </w:r>
      <w:r>
        <w:rPr>
          <w:rFonts w:ascii="宋体" w:hAnsi="宋体"/>
          <w:color w:val="000000"/>
          <w:szCs w:val="21"/>
        </w:rPr>
        <w:t>月</w:t>
      </w:r>
      <w:r>
        <w:rPr>
          <w:rFonts w:hint="eastAsia" w:ascii="宋体" w:hAnsi="宋体"/>
          <w:color w:val="000000"/>
          <w:szCs w:val="21"/>
          <w:u w:val="none"/>
        </w:rPr>
        <w:t>21</w:t>
      </w:r>
      <w:r>
        <w:rPr>
          <w:rFonts w:ascii="宋体" w:hAnsi="宋体"/>
          <w:color w:val="000000"/>
          <w:szCs w:val="21"/>
        </w:rPr>
        <w:t>日</w:t>
      </w:r>
      <w:r>
        <w:rPr>
          <w:rFonts w:ascii="宋体" w:hAnsi="宋体"/>
          <w:szCs w:val="21"/>
        </w:rPr>
        <w:t>至2022年</w:t>
      </w:r>
      <w:r>
        <w:rPr>
          <w:rFonts w:hint="eastAsia" w:ascii="宋体" w:hAnsi="宋体"/>
          <w:color w:val="000000"/>
          <w:szCs w:val="21"/>
          <w:u w:val="none"/>
        </w:rPr>
        <w:t>9</w:t>
      </w:r>
      <w:r>
        <w:rPr>
          <w:rFonts w:ascii="宋体" w:hAnsi="宋体"/>
          <w:color w:val="000000"/>
          <w:szCs w:val="21"/>
        </w:rPr>
        <w:t>月</w:t>
      </w:r>
      <w:r>
        <w:rPr>
          <w:rFonts w:hint="eastAsia" w:ascii="宋体" w:hAnsi="宋体"/>
          <w:color w:val="000000"/>
          <w:szCs w:val="21"/>
          <w:u w:val="none"/>
        </w:rPr>
        <w:t>2</w:t>
      </w:r>
      <w:r>
        <w:rPr>
          <w:rFonts w:hint="eastAsia" w:ascii="宋体" w:hAnsi="宋体"/>
          <w:color w:val="000000"/>
          <w:szCs w:val="21"/>
          <w:u w:val="none"/>
          <w:lang w:val="en-US" w:eastAsia="zh-CN"/>
        </w:rPr>
        <w:t>7</w:t>
      </w:r>
      <w:r>
        <w:rPr>
          <w:rFonts w:ascii="宋体" w:hAnsi="宋体"/>
          <w:color w:val="000000"/>
          <w:szCs w:val="21"/>
        </w:rPr>
        <w:t>日</w:t>
      </w:r>
      <w:r>
        <w:rPr>
          <w:rFonts w:ascii="宋体" w:hAnsi="宋体"/>
          <w:szCs w:val="21"/>
        </w:rPr>
        <w:t>，</w:t>
      </w:r>
      <w:r>
        <w:rPr>
          <w:rFonts w:hint="eastAsia" w:ascii="宋体" w:hAnsi="宋体"/>
          <w:szCs w:val="21"/>
        </w:rPr>
        <w:t>自行下载附件</w:t>
      </w:r>
    </w:p>
    <w:p>
      <w:pPr>
        <w:keepNext w:val="0"/>
        <w:keepLines w:val="0"/>
        <w:pageBreakBefore w:val="0"/>
        <w:widowControl w:val="0"/>
        <w:kinsoku/>
        <w:wordWrap/>
        <w:overflowPunct/>
        <w:topLinePunct w:val="0"/>
        <w:autoSpaceDE/>
        <w:autoSpaceDN/>
        <w:bidi w:val="0"/>
        <w:adjustRightInd/>
        <w:snapToGrid/>
        <w:spacing w:line="360" w:lineRule="auto"/>
        <w:ind w:firstLine="413" w:firstLineChars="196"/>
        <w:jc w:val="left"/>
        <w:textAlignment w:val="auto"/>
        <w:rPr>
          <w:rFonts w:ascii="宋体" w:hAnsi="宋体"/>
          <w:b/>
          <w:szCs w:val="21"/>
        </w:rPr>
      </w:pPr>
      <w:bookmarkStart w:id="13" w:name="_Toc28359082"/>
      <w:bookmarkStart w:id="14" w:name="_Toc28359005"/>
      <w:bookmarkStart w:id="15" w:name="_Toc35393624"/>
      <w:bookmarkStart w:id="16" w:name="_Toc35393793"/>
      <w:r>
        <w:rPr>
          <w:rFonts w:ascii="宋体" w:hAnsi="宋体"/>
          <w:b/>
          <w:szCs w:val="21"/>
        </w:rPr>
        <w:t>四、提交投标文件</w:t>
      </w:r>
      <w:bookmarkEnd w:id="13"/>
      <w:bookmarkEnd w:id="14"/>
      <w:r>
        <w:rPr>
          <w:rFonts w:ascii="宋体" w:hAnsi="宋体"/>
          <w:b/>
          <w:szCs w:val="21"/>
        </w:rPr>
        <w:t>截止时间</w:t>
      </w:r>
      <w:bookmarkEnd w:id="15"/>
      <w:bookmarkEnd w:id="16"/>
    </w:p>
    <w:p>
      <w:pPr>
        <w:ind w:firstLine="420" w:firstLineChars="200"/>
        <w:jc w:val="left"/>
        <w:rPr>
          <w:rFonts w:ascii="宋体" w:hAnsi="宋体"/>
          <w:kern w:val="0"/>
          <w:szCs w:val="21"/>
        </w:rPr>
      </w:pPr>
      <w:r>
        <w:rPr>
          <w:rFonts w:ascii="宋体" w:hAnsi="宋体"/>
          <w:kern w:val="0"/>
          <w:szCs w:val="21"/>
        </w:rPr>
        <w:t>提交投标文件时间：2022年</w:t>
      </w:r>
      <w:r>
        <w:rPr>
          <w:rFonts w:ascii="宋体" w:hAnsi="宋体"/>
          <w:color w:val="000000"/>
          <w:szCs w:val="21"/>
          <w:u w:val="none"/>
        </w:rPr>
        <w:t xml:space="preserve"> </w:t>
      </w:r>
      <w:r>
        <w:rPr>
          <w:rFonts w:hint="eastAsia" w:ascii="宋体" w:hAnsi="宋体"/>
          <w:color w:val="000000"/>
          <w:szCs w:val="21"/>
          <w:u w:val="none"/>
        </w:rPr>
        <w:t>9</w:t>
      </w:r>
      <w:r>
        <w:rPr>
          <w:rFonts w:ascii="宋体" w:hAnsi="宋体"/>
          <w:color w:val="000000"/>
          <w:szCs w:val="21"/>
        </w:rPr>
        <w:t>月</w:t>
      </w:r>
      <w:r>
        <w:rPr>
          <w:rFonts w:hint="eastAsia" w:ascii="宋体" w:hAnsi="宋体"/>
          <w:color w:val="000000"/>
          <w:szCs w:val="21"/>
          <w:u w:val="none"/>
        </w:rPr>
        <w:t>27</w:t>
      </w:r>
      <w:r>
        <w:rPr>
          <w:rFonts w:ascii="宋体" w:hAnsi="宋体"/>
          <w:color w:val="000000"/>
          <w:szCs w:val="21"/>
        </w:rPr>
        <w:t>日</w:t>
      </w:r>
      <w:r>
        <w:rPr>
          <w:rFonts w:hint="eastAsia" w:ascii="宋体" w:hAnsi="宋体"/>
          <w:kern w:val="0"/>
          <w:szCs w:val="21"/>
        </w:rPr>
        <w:t>下午1</w:t>
      </w:r>
      <w:r>
        <w:rPr>
          <w:rFonts w:ascii="宋体" w:hAnsi="宋体"/>
          <w:kern w:val="0"/>
          <w:szCs w:val="21"/>
        </w:rPr>
        <w:t>8：00</w:t>
      </w:r>
    </w:p>
    <w:p>
      <w:pPr>
        <w:ind w:firstLine="426" w:firstLineChars="202"/>
        <w:jc w:val="left"/>
        <w:rPr>
          <w:rFonts w:ascii="宋体" w:hAnsi="宋体"/>
          <w:b/>
          <w:kern w:val="0"/>
          <w:szCs w:val="21"/>
        </w:rPr>
      </w:pPr>
    </w:p>
    <w:p>
      <w:pPr>
        <w:ind w:firstLine="413" w:firstLineChars="196"/>
        <w:jc w:val="left"/>
        <w:rPr>
          <w:rFonts w:ascii="宋体" w:hAnsi="宋体"/>
          <w:b/>
          <w:szCs w:val="21"/>
        </w:rPr>
      </w:pPr>
      <w:bookmarkStart w:id="17" w:name="_Toc35393625"/>
      <w:bookmarkStart w:id="18" w:name="_Toc35393794"/>
      <w:bookmarkStart w:id="19" w:name="_Toc28359007"/>
      <w:bookmarkStart w:id="20" w:name="_Toc28359084"/>
      <w:r>
        <w:rPr>
          <w:rFonts w:hint="eastAsia" w:ascii="宋体" w:hAnsi="宋体"/>
          <w:b/>
          <w:szCs w:val="21"/>
        </w:rPr>
        <w:t>五</w:t>
      </w:r>
      <w:r>
        <w:rPr>
          <w:rFonts w:ascii="宋体" w:hAnsi="宋体"/>
          <w:b/>
          <w:szCs w:val="21"/>
        </w:rPr>
        <w:t>、公告期限</w:t>
      </w:r>
      <w:bookmarkEnd w:id="17"/>
      <w:bookmarkEnd w:id="18"/>
      <w:bookmarkEnd w:id="19"/>
      <w:bookmarkEnd w:id="20"/>
    </w:p>
    <w:p>
      <w:pPr>
        <w:ind w:firstLine="420" w:firstLineChars="200"/>
        <w:jc w:val="left"/>
        <w:rPr>
          <w:rFonts w:ascii="宋体" w:hAnsi="宋体"/>
          <w:kern w:val="0"/>
          <w:szCs w:val="21"/>
        </w:rPr>
      </w:pPr>
      <w:r>
        <w:rPr>
          <w:rFonts w:ascii="宋体" w:hAnsi="宋体"/>
          <w:kern w:val="0"/>
          <w:szCs w:val="21"/>
        </w:rPr>
        <w:t>自本公告发布之日起5个工作日。</w:t>
      </w:r>
    </w:p>
    <w:p>
      <w:pPr>
        <w:ind w:firstLine="413" w:firstLineChars="196"/>
        <w:jc w:val="left"/>
        <w:rPr>
          <w:rFonts w:ascii="宋体" w:hAnsi="宋体"/>
          <w:b/>
          <w:szCs w:val="21"/>
        </w:rPr>
      </w:pPr>
      <w:bookmarkStart w:id="21" w:name="_Toc35393627"/>
      <w:bookmarkStart w:id="22" w:name="_Toc28359085"/>
      <w:bookmarkStart w:id="23" w:name="_Toc28359008"/>
      <w:bookmarkStart w:id="24" w:name="_Toc35393796"/>
    </w:p>
    <w:p>
      <w:pPr>
        <w:keepNext w:val="0"/>
        <w:keepLines w:val="0"/>
        <w:pageBreakBefore w:val="0"/>
        <w:widowControl w:val="0"/>
        <w:kinsoku/>
        <w:wordWrap/>
        <w:overflowPunct/>
        <w:topLinePunct w:val="0"/>
        <w:autoSpaceDE/>
        <w:autoSpaceDN/>
        <w:bidi w:val="0"/>
        <w:adjustRightInd/>
        <w:snapToGrid/>
        <w:spacing w:line="360" w:lineRule="auto"/>
        <w:ind w:firstLine="413" w:firstLineChars="196"/>
        <w:jc w:val="left"/>
        <w:textAlignment w:val="auto"/>
        <w:rPr>
          <w:rFonts w:ascii="宋体" w:hAnsi="宋体"/>
          <w:b/>
          <w:szCs w:val="21"/>
        </w:rPr>
      </w:pPr>
      <w:r>
        <w:rPr>
          <w:rFonts w:hint="eastAsia" w:ascii="宋体" w:hAnsi="宋体"/>
          <w:b/>
          <w:szCs w:val="21"/>
        </w:rPr>
        <w:t>六</w:t>
      </w:r>
      <w:r>
        <w:rPr>
          <w:rFonts w:ascii="宋体" w:hAnsi="宋体"/>
          <w:b/>
          <w:szCs w:val="21"/>
        </w:rPr>
        <w:t>、对本次招标提出询问，请按以下方式联系。</w:t>
      </w:r>
      <w:bookmarkEnd w:id="21"/>
      <w:bookmarkEnd w:id="22"/>
      <w:bookmarkEnd w:id="23"/>
      <w:bookmarkEnd w:id="24"/>
    </w:p>
    <w:p>
      <w:pPr>
        <w:spacing w:line="360" w:lineRule="auto"/>
        <w:ind w:firstLine="420" w:firstLineChars="200"/>
        <w:jc w:val="left"/>
        <w:rPr>
          <w:rFonts w:ascii="宋体" w:hAnsi="宋体"/>
          <w:color w:val="000000"/>
          <w:kern w:val="0"/>
          <w:szCs w:val="21"/>
        </w:rPr>
      </w:pPr>
      <w:bookmarkStart w:id="25" w:name="_Toc28359086"/>
      <w:bookmarkStart w:id="26" w:name="_Toc28359009"/>
      <w:r>
        <w:rPr>
          <w:rFonts w:ascii="宋体" w:hAnsi="宋体"/>
          <w:kern w:val="0"/>
          <w:szCs w:val="21"/>
        </w:rPr>
        <w:t>采购</w:t>
      </w:r>
      <w:r>
        <w:rPr>
          <w:rFonts w:hint="eastAsia" w:ascii="宋体" w:hAnsi="宋体"/>
          <w:kern w:val="0"/>
          <w:szCs w:val="21"/>
        </w:rPr>
        <w:t>人</w:t>
      </w:r>
      <w:r>
        <w:rPr>
          <w:rFonts w:ascii="宋体" w:hAnsi="宋体"/>
          <w:color w:val="000000"/>
          <w:kern w:val="0"/>
          <w:szCs w:val="21"/>
        </w:rPr>
        <w:t>名称：</w:t>
      </w:r>
      <w:r>
        <w:rPr>
          <w:rFonts w:hint="eastAsia" w:ascii="宋体" w:hAnsi="宋体"/>
          <w:color w:val="000000"/>
          <w:kern w:val="0"/>
          <w:szCs w:val="21"/>
        </w:rPr>
        <w:t>深圳市规划国土发展研究中心</w:t>
      </w:r>
    </w:p>
    <w:p>
      <w:pPr>
        <w:spacing w:line="360" w:lineRule="auto"/>
        <w:ind w:firstLine="420" w:firstLineChars="200"/>
        <w:jc w:val="left"/>
        <w:rPr>
          <w:rFonts w:ascii="宋体" w:hAnsi="宋体"/>
          <w:color w:val="000000"/>
          <w:kern w:val="0"/>
          <w:szCs w:val="21"/>
        </w:rPr>
      </w:pPr>
      <w:r>
        <w:rPr>
          <w:rFonts w:ascii="宋体" w:hAnsi="宋体"/>
          <w:color w:val="000000"/>
          <w:kern w:val="0"/>
          <w:szCs w:val="21"/>
        </w:rPr>
        <w:t>地址：</w:t>
      </w:r>
      <w:r>
        <w:rPr>
          <w:rFonts w:hint="eastAsia" w:ascii="宋体" w:hAnsi="宋体"/>
          <w:color w:val="000000"/>
          <w:kern w:val="0"/>
          <w:szCs w:val="21"/>
        </w:rPr>
        <w:t>深圳市福田区红荔路8009号规划大厦108</w:t>
      </w:r>
    </w:p>
    <w:p>
      <w:pPr>
        <w:spacing w:line="360" w:lineRule="auto"/>
        <w:ind w:firstLine="420" w:firstLineChars="200"/>
        <w:jc w:val="left"/>
        <w:rPr>
          <w:rFonts w:ascii="宋体" w:hAnsi="宋体"/>
          <w:kern w:val="0"/>
          <w:szCs w:val="21"/>
        </w:rPr>
      </w:pPr>
      <w:r>
        <w:rPr>
          <w:rFonts w:ascii="宋体" w:hAnsi="宋体"/>
          <w:kern w:val="0"/>
          <w:szCs w:val="21"/>
        </w:rPr>
        <w:t>项目联系人：</w:t>
      </w:r>
      <w:r>
        <w:rPr>
          <w:rFonts w:hint="eastAsia" w:ascii="宋体" w:hAnsi="宋体"/>
          <w:kern w:val="0"/>
          <w:szCs w:val="21"/>
        </w:rPr>
        <w:t>高工</w:t>
      </w:r>
    </w:p>
    <w:p>
      <w:pPr>
        <w:spacing w:line="360" w:lineRule="auto"/>
        <w:ind w:firstLine="420" w:firstLineChars="200"/>
        <w:jc w:val="left"/>
        <w:rPr>
          <w:sz w:val="21"/>
          <w:szCs w:val="21"/>
        </w:rPr>
      </w:pPr>
      <w:r>
        <w:rPr>
          <w:rFonts w:ascii="宋体" w:hAnsi="宋体"/>
          <w:kern w:val="0"/>
          <w:szCs w:val="21"/>
        </w:rPr>
        <w:t>联系方式：0755-23965106</w:t>
      </w:r>
      <w:bookmarkEnd w:id="25"/>
      <w:bookmarkEnd w:id="26"/>
    </w:p>
    <w:p>
      <w:pPr>
        <w:pStyle w:val="5"/>
        <w:numPr>
          <w:ilvl w:val="0"/>
          <w:numId w:val="4"/>
        </w:numPr>
        <w:rPr>
          <w:sz w:val="30"/>
          <w:szCs w:val="30"/>
        </w:rPr>
      </w:pPr>
      <w:r>
        <w:rPr>
          <w:rFonts w:hint="eastAsia"/>
          <w:sz w:val="30"/>
          <w:szCs w:val="30"/>
        </w:rPr>
        <w:t>项目需求</w:t>
      </w:r>
      <w:bookmarkStart w:id="27" w:name="_Toc73521635"/>
      <w:bookmarkStart w:id="28" w:name="_Toc60631620"/>
      <w:bookmarkStart w:id="29" w:name="_Toc101074876"/>
      <w:bookmarkStart w:id="30" w:name="_Toc100052364"/>
      <w:bookmarkStart w:id="31" w:name="_Toc73517639"/>
      <w:bookmarkStart w:id="32" w:name="_Toc60560625"/>
      <w:bookmarkStart w:id="33" w:name="_Toc73518117"/>
      <w:bookmarkStart w:id="34" w:name="_Toc73521547"/>
    </w:p>
    <w:p>
      <w:pPr>
        <w:pStyle w:val="5"/>
        <w:jc w:val="left"/>
        <w:rPr>
          <w:sz w:val="21"/>
          <w:szCs w:val="21"/>
        </w:rPr>
      </w:pPr>
      <w:r>
        <w:rPr>
          <w:rFonts w:hint="eastAsia"/>
          <w:sz w:val="21"/>
          <w:szCs w:val="21"/>
        </w:rPr>
        <w:t>一、对通用条款的补充内容</w:t>
      </w:r>
    </w:p>
    <w:tbl>
      <w:tblPr>
        <w:tblStyle w:val="54"/>
        <w:tblW w:w="829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07"/>
        <w:gridCol w:w="2083"/>
        <w:gridCol w:w="5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jc w:val="left"/>
              <w:rPr>
                <w:rFonts w:ascii="宋体" w:hAnsi="宋体"/>
                <w:bCs/>
                <w:szCs w:val="21"/>
              </w:rPr>
            </w:pPr>
            <w:r>
              <w:rPr>
                <w:rFonts w:hint="eastAsia" w:ascii="宋体" w:hAnsi="宋体"/>
                <w:bCs/>
                <w:szCs w:val="21"/>
              </w:rPr>
              <w:t>序号</w:t>
            </w:r>
          </w:p>
        </w:tc>
        <w:tc>
          <w:tcPr>
            <w:tcW w:w="2083" w:type="dxa"/>
            <w:vAlign w:val="center"/>
          </w:tcPr>
          <w:p>
            <w:pPr>
              <w:jc w:val="left"/>
              <w:rPr>
                <w:rFonts w:ascii="宋体" w:hAnsi="宋体"/>
                <w:bCs/>
                <w:szCs w:val="21"/>
              </w:rPr>
            </w:pPr>
            <w:r>
              <w:rPr>
                <w:rFonts w:hint="eastAsia" w:ascii="宋体" w:hAnsi="宋体"/>
                <w:bCs/>
                <w:szCs w:val="21"/>
              </w:rPr>
              <w:t>内   容</w:t>
            </w:r>
          </w:p>
        </w:tc>
        <w:tc>
          <w:tcPr>
            <w:tcW w:w="5400" w:type="dxa"/>
            <w:vAlign w:val="center"/>
          </w:tcPr>
          <w:p>
            <w:pPr>
              <w:jc w:val="left"/>
              <w:rPr>
                <w:rFonts w:ascii="宋体" w:hAnsi="宋体"/>
                <w:bCs/>
                <w:szCs w:val="21"/>
              </w:rPr>
            </w:pPr>
            <w:r>
              <w:rPr>
                <w:rFonts w:hint="eastAsia" w:ascii="宋体" w:hAnsi="宋体"/>
                <w:bCs/>
                <w:szCs w:val="21"/>
              </w:rPr>
              <w:t>规      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jc w:val="left"/>
              <w:rPr>
                <w:rFonts w:ascii="宋体" w:hAnsi="宋体"/>
                <w:szCs w:val="21"/>
              </w:rPr>
            </w:pPr>
          </w:p>
        </w:tc>
        <w:tc>
          <w:tcPr>
            <w:tcW w:w="2083" w:type="dxa"/>
            <w:vAlign w:val="center"/>
          </w:tcPr>
          <w:p>
            <w:pPr>
              <w:jc w:val="left"/>
              <w:rPr>
                <w:rFonts w:ascii="宋体" w:hAnsi="宋体"/>
                <w:szCs w:val="21"/>
              </w:rPr>
            </w:pPr>
            <w:r>
              <w:rPr>
                <w:rFonts w:hint="eastAsia" w:ascii="宋体" w:hAnsi="宋体"/>
                <w:szCs w:val="21"/>
              </w:rPr>
              <w:t>联合体投标</w:t>
            </w:r>
          </w:p>
        </w:tc>
        <w:tc>
          <w:tcPr>
            <w:tcW w:w="5400" w:type="dxa"/>
            <w:vAlign w:val="center"/>
          </w:tcPr>
          <w:p>
            <w:pPr>
              <w:jc w:val="left"/>
              <w:rPr>
                <w:rFonts w:ascii="宋体" w:hAnsi="宋体"/>
                <w:snapToGrid w:val="0"/>
                <w:kern w:val="0"/>
                <w:szCs w:val="21"/>
                <w:lang w:val="zh-CN"/>
              </w:rPr>
            </w:pPr>
            <w:r>
              <w:rPr>
                <w:rFonts w:hint="eastAsia" w:ascii="宋体" w:hAnsi="宋体"/>
                <w:snapToGrid w:val="0"/>
                <w:kern w:val="0"/>
                <w:szCs w:val="21"/>
                <w:lang w:val="zh-CN"/>
              </w:rPr>
              <w:t>见《采购公告》中“对投标人资质要求”部分的相关内容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jc w:val="left"/>
              <w:rPr>
                <w:rFonts w:ascii="宋体" w:hAnsi="宋体"/>
                <w:szCs w:val="21"/>
              </w:rPr>
            </w:pPr>
          </w:p>
        </w:tc>
        <w:tc>
          <w:tcPr>
            <w:tcW w:w="2083" w:type="dxa"/>
            <w:vAlign w:val="center"/>
          </w:tcPr>
          <w:p>
            <w:pPr>
              <w:jc w:val="left"/>
              <w:rPr>
                <w:rFonts w:ascii="宋体" w:hAnsi="宋体"/>
                <w:szCs w:val="21"/>
              </w:rPr>
            </w:pPr>
            <w:r>
              <w:rPr>
                <w:rFonts w:ascii="宋体" w:hAnsi="宋体"/>
                <w:szCs w:val="21"/>
              </w:rPr>
              <w:t>投标保证金</w:t>
            </w:r>
          </w:p>
        </w:tc>
        <w:tc>
          <w:tcPr>
            <w:tcW w:w="5400" w:type="dxa"/>
            <w:vAlign w:val="center"/>
          </w:tcPr>
          <w:p>
            <w:pPr>
              <w:jc w:val="left"/>
              <w:rPr>
                <w:rFonts w:ascii="宋体" w:hAnsi="宋体"/>
                <w:szCs w:val="21"/>
              </w:rPr>
            </w:pPr>
            <w:r>
              <w:rPr>
                <w:rFonts w:hint="eastAsia" w:ascii="宋体" w:hAnsi="宋体"/>
                <w:szCs w:val="21"/>
              </w:rPr>
              <w:t>本项目不适用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jc w:val="left"/>
              <w:rPr>
                <w:rFonts w:ascii="宋体" w:hAnsi="宋体"/>
                <w:szCs w:val="21"/>
              </w:rPr>
            </w:pPr>
          </w:p>
        </w:tc>
        <w:tc>
          <w:tcPr>
            <w:tcW w:w="2083" w:type="dxa"/>
            <w:vAlign w:val="center"/>
          </w:tcPr>
          <w:p>
            <w:pPr>
              <w:jc w:val="left"/>
              <w:rPr>
                <w:rFonts w:ascii="宋体" w:hAnsi="宋体"/>
                <w:szCs w:val="21"/>
              </w:rPr>
            </w:pPr>
            <w:r>
              <w:rPr>
                <w:rFonts w:hint="eastAsia" w:ascii="宋体" w:hAnsi="宋体"/>
                <w:szCs w:val="21"/>
              </w:rPr>
              <w:t>投标有效期</w:t>
            </w:r>
          </w:p>
        </w:tc>
        <w:tc>
          <w:tcPr>
            <w:tcW w:w="5400" w:type="dxa"/>
            <w:vAlign w:val="center"/>
          </w:tcPr>
          <w:p>
            <w:pPr>
              <w:jc w:val="left"/>
              <w:rPr>
                <w:rFonts w:ascii="宋体" w:hAnsi="宋体"/>
                <w:szCs w:val="21"/>
              </w:rPr>
            </w:pPr>
            <w:r>
              <w:rPr>
                <w:rFonts w:ascii="宋体" w:hAnsi="宋体"/>
                <w:szCs w:val="21"/>
              </w:rPr>
              <w:t>90日历天（从投标截止之日算起）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jc w:val="left"/>
              <w:rPr>
                <w:rFonts w:ascii="宋体" w:hAnsi="宋体"/>
                <w:szCs w:val="21"/>
              </w:rPr>
            </w:pPr>
          </w:p>
        </w:tc>
        <w:tc>
          <w:tcPr>
            <w:tcW w:w="2083" w:type="dxa"/>
            <w:vAlign w:val="center"/>
          </w:tcPr>
          <w:p>
            <w:pPr>
              <w:jc w:val="left"/>
              <w:rPr>
                <w:rFonts w:ascii="宋体" w:hAnsi="宋体"/>
                <w:szCs w:val="21"/>
              </w:rPr>
            </w:pPr>
            <w:r>
              <w:rPr>
                <w:rFonts w:hint="eastAsia" w:ascii="宋体" w:hAnsi="宋体"/>
                <w:szCs w:val="21"/>
              </w:rPr>
              <w:t>投标人的替代方案</w:t>
            </w:r>
          </w:p>
        </w:tc>
        <w:tc>
          <w:tcPr>
            <w:tcW w:w="5400" w:type="dxa"/>
            <w:vAlign w:val="center"/>
          </w:tcPr>
          <w:p>
            <w:pPr>
              <w:jc w:val="left"/>
              <w:rPr>
                <w:rFonts w:ascii="宋体" w:hAnsi="宋体"/>
                <w:szCs w:val="21"/>
              </w:rPr>
            </w:pPr>
            <w:r>
              <w:rPr>
                <w:rFonts w:hint="eastAsia" w:ascii="宋体" w:hAnsi="宋体"/>
                <w:szCs w:val="21"/>
              </w:rPr>
              <w:t>不允许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spacing w:line="240" w:lineRule="exact"/>
              <w:jc w:val="left"/>
              <w:rPr>
                <w:rFonts w:ascii="宋体" w:hAnsi="宋体"/>
                <w:szCs w:val="21"/>
              </w:rPr>
            </w:pPr>
          </w:p>
        </w:tc>
        <w:tc>
          <w:tcPr>
            <w:tcW w:w="2083" w:type="dxa"/>
            <w:vAlign w:val="center"/>
          </w:tcPr>
          <w:p>
            <w:pPr>
              <w:spacing w:line="240" w:lineRule="exact"/>
              <w:jc w:val="left"/>
              <w:rPr>
                <w:rFonts w:ascii="宋体" w:hAnsi="宋体"/>
                <w:szCs w:val="21"/>
              </w:rPr>
            </w:pPr>
            <w:r>
              <w:rPr>
                <w:rFonts w:hint="eastAsia" w:ascii="宋体" w:hAnsi="宋体"/>
                <w:szCs w:val="21"/>
              </w:rPr>
              <w:t>投标文件的递交</w:t>
            </w:r>
          </w:p>
        </w:tc>
        <w:tc>
          <w:tcPr>
            <w:tcW w:w="5400" w:type="dxa"/>
            <w:vAlign w:val="center"/>
          </w:tcPr>
          <w:p>
            <w:pPr>
              <w:spacing w:line="240" w:lineRule="exact"/>
              <w:jc w:val="left"/>
              <w:rPr>
                <w:rFonts w:ascii="宋体" w:hAnsi="宋体"/>
                <w:szCs w:val="21"/>
              </w:rPr>
            </w:pPr>
            <w:r>
              <w:rPr>
                <w:rFonts w:hint="eastAsia" w:ascii="宋体" w:hAnsi="宋体"/>
                <w:szCs w:val="21"/>
              </w:rPr>
              <w:t>在采购文件规定的投标截止时间前直接送达至指定地点。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jc w:val="left"/>
              <w:rPr>
                <w:rFonts w:ascii="宋体" w:hAnsi="宋体"/>
                <w:color w:val="000000"/>
                <w:szCs w:val="21"/>
              </w:rPr>
            </w:pPr>
          </w:p>
        </w:tc>
        <w:tc>
          <w:tcPr>
            <w:tcW w:w="2083" w:type="dxa"/>
            <w:vAlign w:val="center"/>
          </w:tcPr>
          <w:p>
            <w:pPr>
              <w:jc w:val="left"/>
              <w:rPr>
                <w:rFonts w:ascii="宋体" w:hAnsi="宋体"/>
                <w:color w:val="000000"/>
                <w:szCs w:val="21"/>
              </w:rPr>
            </w:pPr>
            <w:r>
              <w:rPr>
                <w:rFonts w:hint="eastAsia" w:ascii="宋体" w:hAnsi="宋体"/>
                <w:color w:val="000000"/>
                <w:szCs w:val="21"/>
              </w:rPr>
              <w:t>履约担保金额</w:t>
            </w:r>
          </w:p>
        </w:tc>
        <w:tc>
          <w:tcPr>
            <w:tcW w:w="5400" w:type="dxa"/>
            <w:vAlign w:val="center"/>
          </w:tcPr>
          <w:p>
            <w:pPr>
              <w:jc w:val="left"/>
              <w:rPr>
                <w:rFonts w:ascii="宋体" w:hAnsi="宋体"/>
                <w:color w:val="000000"/>
                <w:szCs w:val="21"/>
              </w:rPr>
            </w:pPr>
            <w:r>
              <w:rPr>
                <w:rFonts w:hint="eastAsia" w:ascii="宋体" w:hAnsi="宋体"/>
                <w:color w:val="000000"/>
                <w:szCs w:val="21"/>
              </w:rPr>
              <w:t>无</w:t>
            </w:r>
          </w:p>
        </w:tc>
      </w:tr>
      <w:bookmarkEnd w:id="27"/>
      <w:bookmarkEnd w:id="28"/>
      <w:bookmarkEnd w:id="29"/>
      <w:bookmarkEnd w:id="30"/>
      <w:bookmarkEnd w:id="31"/>
      <w:bookmarkEnd w:id="32"/>
      <w:bookmarkEnd w:id="33"/>
      <w:bookmarkEnd w:id="34"/>
    </w:tbl>
    <w:p>
      <w:pPr>
        <w:spacing w:before="120" w:beforeLines="50" w:line="360" w:lineRule="auto"/>
        <w:jc w:val="left"/>
        <w:rPr>
          <w:rFonts w:ascii="宋体" w:hAnsi="宋体"/>
          <w:szCs w:val="21"/>
        </w:rPr>
      </w:pPr>
      <w:r>
        <w:rPr>
          <w:rFonts w:hint="eastAsia" w:ascii="宋体" w:hAnsi="宋体"/>
          <w:color w:val="000000"/>
          <w:szCs w:val="21"/>
        </w:rPr>
        <w:t>备注：本表为通用条款相关内容的补充和明确，如与</w:t>
      </w:r>
      <w:r>
        <w:rPr>
          <w:rFonts w:hint="eastAsia" w:ascii="宋体" w:hAnsi="宋体"/>
          <w:szCs w:val="21"/>
        </w:rPr>
        <w:t>通用条款相冲突的以本表为准。</w:t>
      </w:r>
    </w:p>
    <w:p>
      <w:pPr>
        <w:pStyle w:val="5"/>
        <w:spacing w:before="120" w:beforeLines="50" w:after="120" w:afterLines="50"/>
        <w:jc w:val="left"/>
        <w:rPr>
          <w:sz w:val="21"/>
          <w:szCs w:val="21"/>
        </w:rPr>
      </w:pPr>
      <w:r>
        <w:rPr>
          <w:rFonts w:hint="eastAsia"/>
          <w:sz w:val="21"/>
          <w:szCs w:val="21"/>
        </w:rPr>
        <w:t>二、实质性响应条款</w:t>
      </w:r>
    </w:p>
    <w:tbl>
      <w:tblPr>
        <w:tblStyle w:val="54"/>
        <w:tblW w:w="8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7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序号</w:t>
            </w:r>
          </w:p>
        </w:tc>
        <w:tc>
          <w:tcPr>
            <w:tcW w:w="7483" w:type="dxa"/>
          </w:tcPr>
          <w:p>
            <w:pPr>
              <w:adjustRightInd w:val="0"/>
              <w:snapToGrid w:val="0"/>
              <w:spacing w:line="360" w:lineRule="auto"/>
              <w:jc w:val="left"/>
              <w:rPr>
                <w:rFonts w:ascii="宋体" w:hAnsi="宋体"/>
                <w:kern w:val="0"/>
                <w:szCs w:val="21"/>
              </w:rPr>
            </w:pPr>
            <w:r>
              <w:rPr>
                <w:rFonts w:hint="eastAsia" w:ascii="宋体" w:hAnsi="宋体"/>
                <w:kern w:val="0"/>
                <w:szCs w:val="21"/>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1</w:t>
            </w:r>
          </w:p>
        </w:tc>
        <w:tc>
          <w:tcPr>
            <w:tcW w:w="7483" w:type="dxa"/>
          </w:tcPr>
          <w:p>
            <w:pPr>
              <w:adjustRightInd w:val="0"/>
              <w:snapToGrid w:val="0"/>
              <w:jc w:val="left"/>
              <w:rPr>
                <w:rFonts w:ascii="宋体" w:hAnsi="宋体"/>
                <w:color w:val="000000"/>
                <w:kern w:val="0"/>
                <w:szCs w:val="21"/>
              </w:rPr>
            </w:pPr>
            <w:r>
              <w:rPr>
                <w:rFonts w:hint="eastAsia" w:ascii="宋体" w:hAnsi="宋体"/>
                <w:color w:val="000000"/>
                <w:kern w:val="0"/>
                <w:szCs w:val="21"/>
              </w:rPr>
              <w:t>完工期：合同签订之日起</w:t>
            </w:r>
            <w:r>
              <w:rPr>
                <w:rFonts w:ascii="宋体" w:hAnsi="宋体"/>
                <w:color w:val="000000"/>
                <w:kern w:val="0"/>
                <w:szCs w:val="21"/>
              </w:rPr>
              <w:t>20</w:t>
            </w:r>
            <w:r>
              <w:rPr>
                <w:rFonts w:hint="eastAsia" w:ascii="宋体" w:hAnsi="宋体"/>
                <w:color w:val="000000"/>
                <w:kern w:val="0"/>
                <w:szCs w:val="21"/>
              </w:rPr>
              <w:t>个自然日内完工并通过验收合格。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2</w:t>
            </w:r>
          </w:p>
        </w:tc>
        <w:tc>
          <w:tcPr>
            <w:tcW w:w="7483" w:type="dxa"/>
          </w:tcPr>
          <w:p>
            <w:pPr>
              <w:adjustRightInd w:val="0"/>
              <w:snapToGrid w:val="0"/>
              <w:jc w:val="left"/>
              <w:rPr>
                <w:rFonts w:ascii="宋体" w:hAnsi="宋体"/>
                <w:color w:val="000000"/>
                <w:kern w:val="0"/>
                <w:szCs w:val="21"/>
              </w:rPr>
            </w:pPr>
            <w:r>
              <w:rPr>
                <w:rFonts w:hint="eastAsia" w:ascii="宋体" w:hAnsi="宋体"/>
                <w:color w:val="000000"/>
                <w:kern w:val="0"/>
                <w:szCs w:val="21"/>
              </w:rPr>
              <w:t>质量保修责任：自工程竣工验收完毕之日的第二天计算，整体免费保修期为2年（其中防水部分工程免费保修期为5年），免费保修期内中标人应免费提供保养维修服务。</w:t>
            </w:r>
          </w:p>
        </w:tc>
      </w:tr>
    </w:tbl>
    <w:p>
      <w:pPr>
        <w:spacing w:before="120" w:beforeLines="50" w:line="360" w:lineRule="auto"/>
        <w:jc w:val="left"/>
        <w:rPr>
          <w:rFonts w:ascii="宋体" w:hAnsi="宋体"/>
          <w:szCs w:val="21"/>
        </w:rPr>
      </w:pPr>
      <w:r>
        <w:rPr>
          <w:rFonts w:hint="eastAsia" w:ascii="宋体" w:hAnsi="宋体"/>
          <w:b/>
          <w:kern w:val="0"/>
          <w:szCs w:val="21"/>
        </w:rPr>
        <w:t>注：上表所列内容为不可负偏离条款</w:t>
      </w:r>
    </w:p>
    <w:p>
      <w:pPr>
        <w:pStyle w:val="5"/>
        <w:spacing w:before="120" w:beforeLines="50" w:after="120" w:afterLines="50" w:line="360" w:lineRule="auto"/>
        <w:jc w:val="left"/>
        <w:rPr>
          <w:sz w:val="21"/>
          <w:szCs w:val="21"/>
        </w:rPr>
      </w:pPr>
      <w:r>
        <w:rPr>
          <w:rFonts w:hint="eastAsia"/>
          <w:sz w:val="21"/>
          <w:szCs w:val="21"/>
        </w:rPr>
        <w:t>三、</w:t>
      </w:r>
      <w:r>
        <w:rPr>
          <w:sz w:val="21"/>
          <w:szCs w:val="21"/>
        </w:rPr>
        <w:t xml:space="preserve">投标文件的编制 </w:t>
      </w:r>
    </w:p>
    <w:p>
      <w:pPr>
        <w:spacing w:line="360" w:lineRule="auto"/>
        <w:jc w:val="left"/>
        <w:rPr>
          <w:rFonts w:ascii="宋体" w:hAnsi="宋体"/>
          <w:szCs w:val="21"/>
        </w:rPr>
      </w:pPr>
      <w:r>
        <w:rPr>
          <w:rFonts w:hint="eastAsia" w:ascii="宋体" w:hAnsi="宋体"/>
          <w:szCs w:val="21"/>
        </w:rPr>
        <w:t>（一）标书基本格式</w:t>
      </w:r>
    </w:p>
    <w:p>
      <w:pPr>
        <w:spacing w:line="360" w:lineRule="auto"/>
        <w:jc w:val="left"/>
        <w:rPr>
          <w:rFonts w:ascii="宋体" w:hAnsi="宋体"/>
          <w:szCs w:val="21"/>
        </w:rPr>
      </w:pPr>
      <w:r>
        <w:rPr>
          <w:rFonts w:hint="eastAsia" w:ascii="宋体" w:hAnsi="宋体"/>
          <w:szCs w:val="21"/>
        </w:rPr>
        <w:t>第一部分 资信证明（所有复印件需加盖公章）</w:t>
      </w:r>
    </w:p>
    <w:p>
      <w:pPr>
        <w:spacing w:line="360" w:lineRule="auto"/>
        <w:jc w:val="left"/>
        <w:rPr>
          <w:rFonts w:ascii="宋体" w:hAnsi="宋体"/>
          <w:szCs w:val="21"/>
        </w:rPr>
      </w:pPr>
      <w:r>
        <w:rPr>
          <w:rFonts w:hint="eastAsia" w:ascii="宋体" w:hAnsi="宋体"/>
          <w:szCs w:val="21"/>
        </w:rPr>
        <w:t>*1 企业法人授权书（法人、被授权人身份证）</w:t>
      </w:r>
    </w:p>
    <w:p>
      <w:pPr>
        <w:spacing w:line="360" w:lineRule="auto"/>
        <w:jc w:val="left"/>
        <w:rPr>
          <w:rFonts w:ascii="宋体" w:hAnsi="宋体"/>
          <w:szCs w:val="21"/>
        </w:rPr>
      </w:pPr>
      <w:r>
        <w:rPr>
          <w:rFonts w:hint="eastAsia" w:ascii="宋体" w:hAnsi="宋体"/>
          <w:szCs w:val="21"/>
        </w:rPr>
        <w:t>*2 企业营业执照</w:t>
      </w:r>
    </w:p>
    <w:p>
      <w:pPr>
        <w:spacing w:line="360" w:lineRule="auto"/>
        <w:jc w:val="left"/>
        <w:rPr>
          <w:rFonts w:ascii="宋体" w:hAnsi="宋体"/>
          <w:szCs w:val="21"/>
        </w:rPr>
      </w:pPr>
      <w:r>
        <w:rPr>
          <w:rFonts w:ascii="宋体" w:hAnsi="宋体"/>
          <w:szCs w:val="21"/>
        </w:rPr>
        <w:t xml:space="preserve">*3 </w:t>
      </w:r>
      <w:r>
        <w:rPr>
          <w:rFonts w:hint="eastAsia" w:ascii="宋体" w:hAnsi="宋体"/>
          <w:szCs w:val="21"/>
        </w:rPr>
        <w:t>投标人投标文件中必须签署《政府采购投标及履约承诺函》（格式参考附件1）</w:t>
      </w:r>
    </w:p>
    <w:p>
      <w:pPr>
        <w:spacing w:line="360" w:lineRule="auto"/>
        <w:jc w:val="left"/>
        <w:rPr>
          <w:rFonts w:ascii="宋体" w:hAnsi="宋体"/>
          <w:szCs w:val="21"/>
        </w:rPr>
      </w:pPr>
      <w:r>
        <w:rPr>
          <w:rFonts w:hint="eastAsia" w:ascii="宋体" w:hAnsi="宋体"/>
          <w:szCs w:val="21"/>
        </w:rPr>
        <w:t>3 其它（证明企业有承接项目能力的补充证明材料）</w:t>
      </w:r>
    </w:p>
    <w:p>
      <w:pPr>
        <w:spacing w:line="360" w:lineRule="auto"/>
        <w:jc w:val="left"/>
        <w:rPr>
          <w:rFonts w:ascii="宋体" w:hAnsi="宋体"/>
          <w:szCs w:val="21"/>
        </w:rPr>
      </w:pPr>
      <w:r>
        <w:rPr>
          <w:rFonts w:hint="eastAsia" w:ascii="宋体" w:hAnsi="宋体"/>
          <w:szCs w:val="21"/>
        </w:rPr>
        <w:t>第二部分 参评材料</w:t>
      </w:r>
    </w:p>
    <w:p>
      <w:pPr>
        <w:spacing w:line="360" w:lineRule="auto"/>
        <w:jc w:val="left"/>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企业情况简介</w:t>
      </w:r>
    </w:p>
    <w:p>
      <w:pPr>
        <w:spacing w:line="360" w:lineRule="auto"/>
        <w:jc w:val="left"/>
        <w:rPr>
          <w:rFonts w:ascii="宋体" w:hAnsi="宋体"/>
          <w:szCs w:val="21"/>
        </w:rPr>
      </w:pPr>
      <w:r>
        <w:rPr>
          <w:rFonts w:hint="eastAsia" w:ascii="宋体" w:hAnsi="宋体"/>
          <w:szCs w:val="21"/>
        </w:rPr>
        <w:t>*1）企业概况一览表（格式参考附件</w:t>
      </w:r>
      <w:r>
        <w:rPr>
          <w:rFonts w:ascii="宋体" w:hAnsi="宋体"/>
          <w:szCs w:val="21"/>
        </w:rPr>
        <w:t>2</w:t>
      </w:r>
      <w:r>
        <w:rPr>
          <w:rFonts w:hint="eastAsia" w:ascii="宋体" w:hAnsi="宋体"/>
          <w:szCs w:val="21"/>
        </w:rPr>
        <w:t>）</w:t>
      </w:r>
    </w:p>
    <w:p>
      <w:pPr>
        <w:spacing w:line="360" w:lineRule="auto"/>
        <w:jc w:val="left"/>
        <w:rPr>
          <w:rFonts w:ascii="宋体" w:hAnsi="宋体"/>
          <w:szCs w:val="21"/>
        </w:rPr>
      </w:pPr>
      <w:r>
        <w:rPr>
          <w:rFonts w:hint="eastAsia" w:ascii="宋体" w:hAnsi="宋体"/>
          <w:szCs w:val="21"/>
        </w:rPr>
        <w:t>*2）技术人员配备情况</w:t>
      </w:r>
    </w:p>
    <w:p>
      <w:pPr>
        <w:spacing w:line="360" w:lineRule="auto"/>
        <w:jc w:val="left"/>
        <w:rPr>
          <w:rFonts w:ascii="宋体" w:hAnsi="宋体"/>
          <w:szCs w:val="21"/>
        </w:rPr>
      </w:pPr>
      <w:r>
        <w:rPr>
          <w:rFonts w:hint="eastAsia" w:ascii="宋体" w:hAnsi="宋体"/>
          <w:szCs w:val="21"/>
        </w:rPr>
        <w:t>*3）类似项目业绩</w:t>
      </w:r>
    </w:p>
    <w:p>
      <w:pPr>
        <w:spacing w:line="360" w:lineRule="auto"/>
        <w:jc w:val="left"/>
        <w:rPr>
          <w:rFonts w:ascii="宋体" w:hAnsi="宋体"/>
          <w:szCs w:val="21"/>
        </w:rPr>
      </w:pPr>
      <w:r>
        <w:rPr>
          <w:rFonts w:hint="eastAsia" w:ascii="宋体" w:hAnsi="宋体"/>
          <w:szCs w:val="21"/>
        </w:rPr>
        <w:t>4）行业资质证明</w:t>
      </w:r>
    </w:p>
    <w:p>
      <w:pPr>
        <w:spacing w:line="360" w:lineRule="auto"/>
        <w:jc w:val="left"/>
        <w:rPr>
          <w:rFonts w:ascii="宋体" w:hAnsi="宋体"/>
          <w:szCs w:val="21"/>
        </w:rPr>
      </w:pPr>
      <w:r>
        <w:rPr>
          <w:rFonts w:hint="eastAsia" w:ascii="宋体" w:hAnsi="宋体"/>
          <w:szCs w:val="21"/>
        </w:rPr>
        <w:t>5）其它</w:t>
      </w:r>
    </w:p>
    <w:p>
      <w:pPr>
        <w:spacing w:line="360" w:lineRule="auto"/>
        <w:jc w:val="left"/>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实施方案和报价</w:t>
      </w:r>
    </w:p>
    <w:p>
      <w:pPr>
        <w:spacing w:line="360" w:lineRule="auto"/>
        <w:jc w:val="left"/>
        <w:rPr>
          <w:rFonts w:ascii="宋体" w:hAnsi="宋体"/>
          <w:szCs w:val="21"/>
        </w:rPr>
      </w:pPr>
      <w:r>
        <w:rPr>
          <w:rFonts w:hint="eastAsia" w:ascii="宋体" w:hAnsi="宋体"/>
          <w:szCs w:val="21"/>
        </w:rPr>
        <w:t>*1）项目实施方案（一份USB接口设备存储的电子文档，包括：PDF 格式的正本投标文件扫描件、与正本一致的 word 文档格式的投标文件，施工图C</w:t>
      </w:r>
      <w:r>
        <w:rPr>
          <w:rFonts w:ascii="宋体" w:hAnsi="宋体"/>
          <w:szCs w:val="21"/>
        </w:rPr>
        <w:t>AD</w:t>
      </w:r>
      <w:r>
        <w:rPr>
          <w:rFonts w:hint="eastAsia" w:ascii="宋体" w:hAnsi="宋体"/>
          <w:szCs w:val="21"/>
        </w:rPr>
        <w:t>格式）</w:t>
      </w:r>
    </w:p>
    <w:p>
      <w:pPr>
        <w:spacing w:line="360" w:lineRule="auto"/>
        <w:jc w:val="left"/>
        <w:rPr>
          <w:rFonts w:ascii="宋体" w:hAnsi="宋体"/>
          <w:szCs w:val="21"/>
        </w:rPr>
      </w:pPr>
      <w:r>
        <w:rPr>
          <w:rFonts w:hint="eastAsia" w:ascii="宋体" w:hAnsi="宋体"/>
          <w:szCs w:val="21"/>
        </w:rPr>
        <w:t>*2）工作进度计划</w:t>
      </w:r>
    </w:p>
    <w:p>
      <w:pPr>
        <w:spacing w:line="360" w:lineRule="auto"/>
        <w:jc w:val="left"/>
        <w:rPr>
          <w:rFonts w:ascii="宋体" w:hAnsi="宋体"/>
          <w:szCs w:val="21"/>
        </w:rPr>
      </w:pPr>
      <w:r>
        <w:rPr>
          <w:rFonts w:hint="eastAsia" w:ascii="宋体" w:hAnsi="宋体"/>
          <w:szCs w:val="21"/>
        </w:rPr>
        <w:t>*3）人员配置</w:t>
      </w:r>
    </w:p>
    <w:p>
      <w:pPr>
        <w:spacing w:line="360" w:lineRule="auto"/>
        <w:jc w:val="left"/>
        <w:rPr>
          <w:rFonts w:ascii="宋体" w:hAnsi="宋体"/>
          <w:szCs w:val="21"/>
        </w:rPr>
      </w:pPr>
      <w:r>
        <w:rPr>
          <w:rFonts w:hint="eastAsia" w:ascii="宋体" w:hAnsi="宋体"/>
          <w:szCs w:val="21"/>
        </w:rPr>
        <w:t>*4）投标报价</w:t>
      </w:r>
    </w:p>
    <w:p>
      <w:pPr>
        <w:spacing w:line="360" w:lineRule="auto"/>
        <w:jc w:val="left"/>
        <w:rPr>
          <w:rFonts w:ascii="宋体" w:hAnsi="宋体"/>
          <w:szCs w:val="21"/>
        </w:rPr>
      </w:pPr>
      <w:r>
        <w:rPr>
          <w:rFonts w:hint="eastAsia" w:ascii="宋体" w:hAnsi="宋体"/>
          <w:szCs w:val="21"/>
        </w:rPr>
        <w:t>*5）计费标准</w:t>
      </w:r>
    </w:p>
    <w:p>
      <w:pPr>
        <w:spacing w:line="360" w:lineRule="auto"/>
        <w:jc w:val="left"/>
        <w:rPr>
          <w:rFonts w:ascii="宋体" w:hAnsi="宋体"/>
          <w:szCs w:val="21"/>
        </w:rPr>
      </w:pPr>
      <w:r>
        <w:rPr>
          <w:rFonts w:hint="eastAsia" w:ascii="宋体" w:hAnsi="宋体"/>
          <w:szCs w:val="21"/>
        </w:rPr>
        <w:t>*6）质量保障措施</w:t>
      </w:r>
    </w:p>
    <w:p>
      <w:pPr>
        <w:spacing w:line="360" w:lineRule="auto"/>
        <w:jc w:val="left"/>
        <w:rPr>
          <w:rFonts w:ascii="宋体" w:hAnsi="宋体"/>
          <w:szCs w:val="21"/>
        </w:rPr>
      </w:pPr>
      <w:r>
        <w:rPr>
          <w:rFonts w:hint="eastAsia" w:ascii="宋体" w:hAnsi="宋体"/>
          <w:szCs w:val="21"/>
        </w:rPr>
        <w:t>7）其它</w:t>
      </w:r>
    </w:p>
    <w:p>
      <w:pPr>
        <w:spacing w:line="360" w:lineRule="auto"/>
        <w:jc w:val="left"/>
        <w:rPr>
          <w:rFonts w:ascii="宋体" w:hAnsi="宋体"/>
          <w:szCs w:val="21"/>
        </w:rPr>
      </w:pPr>
      <w:r>
        <w:rPr>
          <w:rFonts w:hint="eastAsia" w:ascii="宋体" w:hAnsi="宋体"/>
          <w:szCs w:val="21"/>
        </w:rPr>
        <w:t>注：*为必须提供材料项。</w:t>
      </w:r>
    </w:p>
    <w:p>
      <w:pPr>
        <w:jc w:val="left"/>
        <w:rPr>
          <w:rFonts w:ascii="宋体" w:hAnsi="宋体"/>
          <w:szCs w:val="21"/>
        </w:rPr>
      </w:pPr>
      <w:r>
        <w:rPr>
          <w:rFonts w:hint="eastAsia" w:ascii="宋体" w:hAnsi="宋体"/>
          <w:szCs w:val="21"/>
        </w:rPr>
        <w:t>（二）提供材料要求</w:t>
      </w:r>
    </w:p>
    <w:p>
      <w:pPr>
        <w:spacing w:line="360" w:lineRule="auto"/>
        <w:jc w:val="left"/>
        <w:rPr>
          <w:rFonts w:ascii="宋体" w:hAnsi="宋体"/>
          <w:szCs w:val="21"/>
        </w:rPr>
      </w:pPr>
      <w:r>
        <w:rPr>
          <w:rFonts w:hint="eastAsia" w:ascii="宋体" w:hAnsi="宋体"/>
          <w:szCs w:val="21"/>
        </w:rPr>
        <w:t>1.投标人企业授权代表需准备下列文件：</w:t>
      </w:r>
    </w:p>
    <w:p>
      <w:pPr>
        <w:spacing w:line="360" w:lineRule="auto"/>
        <w:jc w:val="left"/>
        <w:rPr>
          <w:rFonts w:ascii="宋体" w:hAnsi="宋体"/>
          <w:szCs w:val="21"/>
        </w:rPr>
      </w:pPr>
      <w:r>
        <w:rPr>
          <w:rFonts w:hint="eastAsia" w:ascii="宋体" w:hAnsi="宋体"/>
          <w:szCs w:val="21"/>
        </w:rPr>
        <w:t>第一部分 资信材料：1份。</w:t>
      </w:r>
    </w:p>
    <w:p>
      <w:pPr>
        <w:spacing w:line="360" w:lineRule="auto"/>
        <w:jc w:val="left"/>
        <w:rPr>
          <w:rFonts w:ascii="宋体" w:hAnsi="宋体"/>
          <w:szCs w:val="21"/>
        </w:rPr>
      </w:pPr>
      <w:r>
        <w:rPr>
          <w:rFonts w:hint="eastAsia" w:ascii="宋体" w:hAnsi="宋体"/>
          <w:szCs w:val="21"/>
        </w:rPr>
        <w:t>第二部分 参评材料：一式7份（1份正本、6份副本、1份USB接口设备存储）。</w:t>
      </w:r>
    </w:p>
    <w:p>
      <w:pPr>
        <w:spacing w:line="360" w:lineRule="auto"/>
        <w:jc w:val="left"/>
        <w:rPr>
          <w:rFonts w:ascii="宋体" w:hAnsi="宋体"/>
          <w:szCs w:val="21"/>
        </w:rPr>
      </w:pPr>
      <w:r>
        <w:rPr>
          <w:rFonts w:hint="eastAsia" w:ascii="宋体" w:hAnsi="宋体"/>
          <w:szCs w:val="21"/>
        </w:rPr>
        <w:t>投标文件必须经法人代表或授权代表签字并加盖企业公章；第一、第二部分材料分别包装，封面应当清楚写明投标人名称、项目名称和“在（招标文件中规定的开标日期和时间）之前不得启封”的字样，密封形式提交。</w:t>
      </w:r>
    </w:p>
    <w:p>
      <w:pPr>
        <w:spacing w:line="360" w:lineRule="auto"/>
        <w:jc w:val="left"/>
        <w:rPr>
          <w:rFonts w:ascii="宋体" w:hAnsi="宋体"/>
          <w:szCs w:val="21"/>
        </w:rPr>
      </w:pPr>
      <w:r>
        <w:rPr>
          <w:rFonts w:hint="eastAsia" w:ascii="宋体" w:hAnsi="宋体"/>
          <w:szCs w:val="21"/>
        </w:rPr>
        <w:t>2. 投标文件均须应用A4或A3幅面的纸张打印。</w:t>
      </w:r>
    </w:p>
    <w:p>
      <w:pPr>
        <w:spacing w:line="360" w:lineRule="auto"/>
        <w:jc w:val="left"/>
        <w:rPr>
          <w:rFonts w:ascii="宋体" w:hAnsi="宋体"/>
          <w:szCs w:val="21"/>
        </w:rPr>
      </w:pPr>
      <w:r>
        <w:rPr>
          <w:rFonts w:hint="eastAsia" w:ascii="宋体" w:hAnsi="宋体"/>
          <w:szCs w:val="21"/>
        </w:rPr>
        <w:t>3. 投标文件外包装按招标文件提供的统一格式（见附件3）。</w:t>
      </w:r>
    </w:p>
    <w:p>
      <w:pPr>
        <w:widowControl/>
        <w:jc w:val="left"/>
        <w:rPr>
          <w:rFonts w:ascii="宋体" w:hAnsi="宋体"/>
          <w:szCs w:val="21"/>
        </w:rPr>
      </w:pPr>
      <w:r>
        <w:rPr>
          <w:rFonts w:ascii="宋体" w:hAnsi="宋体"/>
          <w:szCs w:val="21"/>
        </w:rPr>
        <w:br w:type="page"/>
      </w:r>
    </w:p>
    <w:p>
      <w:pPr>
        <w:jc w:val="left"/>
        <w:rPr>
          <w:rFonts w:ascii="宋体" w:hAnsi="宋体"/>
          <w:szCs w:val="21"/>
        </w:rPr>
      </w:pPr>
    </w:p>
    <w:p>
      <w:pPr>
        <w:pStyle w:val="5"/>
        <w:numPr>
          <w:ilvl w:val="0"/>
          <w:numId w:val="4"/>
        </w:numPr>
        <w:rPr>
          <w:sz w:val="30"/>
          <w:szCs w:val="30"/>
        </w:rPr>
      </w:pPr>
      <w:r>
        <w:rPr>
          <w:rFonts w:hint="eastAsia"/>
          <w:sz w:val="30"/>
          <w:szCs w:val="30"/>
        </w:rPr>
        <w:t>具体实施要求</w:t>
      </w:r>
    </w:p>
    <w:p>
      <w:pPr>
        <w:tabs>
          <w:tab w:val="left" w:pos="420"/>
          <w:tab w:val="left" w:pos="540"/>
          <w:tab w:val="left" w:pos="574"/>
        </w:tabs>
        <w:adjustRightInd w:val="0"/>
        <w:snapToGrid w:val="0"/>
        <w:spacing w:before="120" w:beforeLines="50" w:after="120" w:afterLines="50" w:line="360" w:lineRule="auto"/>
        <w:jc w:val="left"/>
        <w:outlineLvl w:val="0"/>
        <w:rPr>
          <w:rFonts w:ascii="宋体" w:hAnsi="宋体" w:cs="宋体"/>
          <w:b/>
          <w:szCs w:val="21"/>
        </w:rPr>
      </w:pPr>
      <w:r>
        <w:rPr>
          <w:rFonts w:hint="eastAsia" w:ascii="宋体" w:hAnsi="宋体" w:cs="宋体"/>
          <w:b/>
          <w:szCs w:val="21"/>
        </w:rPr>
        <w:t>4</w:t>
      </w:r>
      <w:r>
        <w:rPr>
          <w:rFonts w:ascii="宋体" w:hAnsi="宋体" w:cs="宋体"/>
          <w:b/>
          <w:szCs w:val="21"/>
        </w:rPr>
        <w:t>.1</w:t>
      </w:r>
      <w:r>
        <w:rPr>
          <w:rFonts w:hint="eastAsia" w:ascii="宋体" w:hAnsi="宋体" w:cs="宋体"/>
          <w:b/>
          <w:szCs w:val="21"/>
        </w:rPr>
        <w:t>项目概况</w:t>
      </w:r>
    </w:p>
    <w:p>
      <w:pPr>
        <w:numPr>
          <w:ilvl w:val="0"/>
          <w:numId w:val="6"/>
        </w:numPr>
        <w:adjustRightInd w:val="0"/>
        <w:snapToGrid w:val="0"/>
        <w:spacing w:line="360" w:lineRule="auto"/>
        <w:jc w:val="left"/>
        <w:rPr>
          <w:rFonts w:ascii="宋体" w:hAnsi="宋体" w:cs="宋体"/>
          <w:szCs w:val="21"/>
        </w:rPr>
      </w:pPr>
      <w:r>
        <w:rPr>
          <w:rFonts w:hint="eastAsia" w:ascii="宋体" w:hAnsi="宋体" w:cs="宋体"/>
          <w:szCs w:val="21"/>
        </w:rPr>
        <w:t>招标（或采购）范围：</w:t>
      </w:r>
      <w:r>
        <w:rPr>
          <w:rFonts w:hint="eastAsia" w:ascii="宋体" w:hAnsi="宋体" w:cs="宋体"/>
          <w:kern w:val="0"/>
          <w:szCs w:val="21"/>
        </w:rPr>
        <w:t>深圳市规划国土发展研究中心规划大厦二层2</w:t>
      </w:r>
      <w:r>
        <w:rPr>
          <w:rFonts w:ascii="宋体" w:hAnsi="宋体" w:cs="宋体"/>
          <w:kern w:val="0"/>
          <w:szCs w:val="21"/>
        </w:rPr>
        <w:t>03</w:t>
      </w:r>
      <w:r>
        <w:rPr>
          <w:rFonts w:hint="eastAsia" w:ascii="宋体" w:hAnsi="宋体" w:cs="宋体"/>
          <w:kern w:val="0"/>
          <w:szCs w:val="21"/>
        </w:rPr>
        <w:t>、2</w:t>
      </w:r>
      <w:r>
        <w:rPr>
          <w:rFonts w:ascii="宋体" w:hAnsi="宋体" w:cs="宋体"/>
          <w:kern w:val="0"/>
          <w:szCs w:val="21"/>
        </w:rPr>
        <w:t>04</w:t>
      </w:r>
      <w:r>
        <w:rPr>
          <w:rFonts w:hint="eastAsia" w:ascii="宋体" w:hAnsi="宋体" w:cs="宋体"/>
          <w:kern w:val="0"/>
          <w:szCs w:val="21"/>
        </w:rPr>
        <w:t>、2</w:t>
      </w:r>
      <w:r>
        <w:rPr>
          <w:rFonts w:ascii="宋体" w:hAnsi="宋体" w:cs="宋体"/>
          <w:kern w:val="0"/>
          <w:szCs w:val="21"/>
        </w:rPr>
        <w:t>05</w:t>
      </w:r>
      <w:r>
        <w:rPr>
          <w:rFonts w:hint="eastAsia" w:ascii="宋体" w:hAnsi="宋体" w:cs="宋体"/>
          <w:kern w:val="0"/>
          <w:szCs w:val="21"/>
        </w:rPr>
        <w:t>、2</w:t>
      </w:r>
      <w:r>
        <w:rPr>
          <w:rFonts w:ascii="宋体" w:hAnsi="宋体" w:cs="宋体"/>
          <w:kern w:val="0"/>
          <w:szCs w:val="21"/>
        </w:rPr>
        <w:t>06</w:t>
      </w:r>
      <w:r>
        <w:rPr>
          <w:rFonts w:hint="eastAsia" w:ascii="宋体" w:hAnsi="宋体" w:cs="宋体"/>
          <w:kern w:val="0"/>
          <w:szCs w:val="21"/>
        </w:rPr>
        <w:t>四间会议室。</w:t>
      </w:r>
      <w:r>
        <w:rPr>
          <w:rFonts w:ascii="宋体" w:hAnsi="宋体" w:cs="宋体"/>
          <w:szCs w:val="21"/>
        </w:rPr>
        <w:t xml:space="preserve"> </w:t>
      </w:r>
    </w:p>
    <w:p>
      <w:pPr>
        <w:numPr>
          <w:ilvl w:val="0"/>
          <w:numId w:val="6"/>
        </w:numPr>
        <w:adjustRightInd w:val="0"/>
        <w:snapToGrid w:val="0"/>
        <w:spacing w:line="360" w:lineRule="auto"/>
        <w:jc w:val="left"/>
        <w:rPr>
          <w:rFonts w:ascii="宋体" w:hAnsi="宋体" w:cs="宋体"/>
          <w:szCs w:val="21"/>
        </w:rPr>
      </w:pPr>
      <w:r>
        <w:rPr>
          <w:rFonts w:hint="eastAsia" w:ascii="宋体" w:hAnsi="宋体" w:cs="宋体"/>
          <w:szCs w:val="21"/>
        </w:rPr>
        <w:t>合同方式：总价包干合同，工程结算时，结算金额不做调整。</w:t>
      </w:r>
    </w:p>
    <w:p>
      <w:pPr>
        <w:numPr>
          <w:ilvl w:val="0"/>
          <w:numId w:val="6"/>
        </w:numPr>
        <w:adjustRightInd w:val="0"/>
        <w:snapToGrid w:val="0"/>
        <w:spacing w:line="360" w:lineRule="auto"/>
        <w:jc w:val="left"/>
        <w:rPr>
          <w:rFonts w:ascii="宋体" w:hAnsi="宋体" w:cs="宋体"/>
          <w:szCs w:val="21"/>
        </w:rPr>
      </w:pPr>
      <w:r>
        <w:rPr>
          <w:rFonts w:ascii="宋体" w:hAnsi="宋体"/>
          <w:szCs w:val="21"/>
        </w:rPr>
        <w:t>建设要求。本项目为设计施工一体化项目，如果由于设计漏项导致施工规范及甲方要求，中标 单位须严格按施工规范及甲方要求实施，且不增加费用。本项目施工所有材料、零部件品牌需选市场 排名前五品牌，且需经甲方选定后才能入场实施</w:t>
      </w:r>
    </w:p>
    <w:p>
      <w:pPr>
        <w:numPr>
          <w:ilvl w:val="0"/>
          <w:numId w:val="6"/>
        </w:numPr>
        <w:adjustRightInd w:val="0"/>
        <w:snapToGrid w:val="0"/>
        <w:spacing w:line="360" w:lineRule="auto"/>
        <w:jc w:val="left"/>
        <w:rPr>
          <w:rFonts w:ascii="宋体" w:hAnsi="宋体" w:cs="宋体"/>
          <w:szCs w:val="21"/>
        </w:rPr>
      </w:pPr>
      <w:r>
        <w:rPr>
          <w:rFonts w:hint="eastAsia" w:ascii="宋体" w:hAnsi="宋体" w:cs="宋体"/>
          <w:szCs w:val="21"/>
        </w:rPr>
        <w:t>工程质量要求：按国家标准验收合格。</w:t>
      </w:r>
    </w:p>
    <w:p>
      <w:pPr>
        <w:numPr>
          <w:ilvl w:val="0"/>
          <w:numId w:val="6"/>
        </w:numPr>
        <w:adjustRightInd w:val="0"/>
        <w:snapToGrid w:val="0"/>
        <w:spacing w:line="360" w:lineRule="auto"/>
        <w:jc w:val="left"/>
        <w:rPr>
          <w:rFonts w:ascii="宋体" w:hAnsi="宋体" w:cs="宋体"/>
          <w:szCs w:val="21"/>
        </w:rPr>
      </w:pPr>
      <w:r>
        <w:rPr>
          <w:rFonts w:hint="eastAsia" w:ascii="宋体" w:hAnsi="宋体" w:cs="宋体"/>
          <w:szCs w:val="21"/>
        </w:rPr>
        <w:t>完工期：合同签订之日起</w:t>
      </w:r>
      <w:r>
        <w:rPr>
          <w:rFonts w:ascii="宋体" w:hAnsi="宋体" w:cs="宋体"/>
          <w:b/>
          <w:bCs/>
          <w:szCs w:val="21"/>
        </w:rPr>
        <w:t>20</w:t>
      </w:r>
      <w:r>
        <w:rPr>
          <w:rFonts w:hint="eastAsia" w:ascii="宋体" w:hAnsi="宋体" w:cs="宋体"/>
          <w:szCs w:val="21"/>
        </w:rPr>
        <w:t>个自然日内完工并通过验收合格。</w:t>
      </w:r>
    </w:p>
    <w:p>
      <w:pPr>
        <w:numPr>
          <w:ilvl w:val="0"/>
          <w:numId w:val="6"/>
        </w:numPr>
        <w:adjustRightInd w:val="0"/>
        <w:snapToGrid w:val="0"/>
        <w:spacing w:line="360" w:lineRule="auto"/>
        <w:jc w:val="left"/>
        <w:rPr>
          <w:rFonts w:ascii="宋体" w:hAnsi="宋体" w:cs="宋体"/>
          <w:szCs w:val="21"/>
        </w:rPr>
      </w:pPr>
      <w:r>
        <w:rPr>
          <w:rFonts w:ascii="宋体" w:hAnsi="宋体"/>
          <w:szCs w:val="21"/>
        </w:rPr>
        <w:t>采购需求书：本项目修缮改造主要内容为</w:t>
      </w:r>
      <w:r>
        <w:rPr>
          <w:rFonts w:hint="eastAsia" w:ascii="宋体" w:hAnsi="宋体" w:cs="宋体"/>
          <w:kern w:val="0"/>
          <w:szCs w:val="21"/>
        </w:rPr>
        <w:t>深圳市规划国土发展研究中心规划大厦二层2</w:t>
      </w:r>
      <w:r>
        <w:rPr>
          <w:rFonts w:ascii="宋体" w:hAnsi="宋体" w:cs="宋体"/>
          <w:kern w:val="0"/>
          <w:szCs w:val="21"/>
        </w:rPr>
        <w:t>03</w:t>
      </w:r>
      <w:r>
        <w:rPr>
          <w:rFonts w:hint="eastAsia" w:ascii="宋体" w:hAnsi="宋体" w:cs="宋体"/>
          <w:kern w:val="0"/>
          <w:szCs w:val="21"/>
        </w:rPr>
        <w:t>、2</w:t>
      </w:r>
      <w:r>
        <w:rPr>
          <w:rFonts w:ascii="宋体" w:hAnsi="宋体" w:cs="宋体"/>
          <w:kern w:val="0"/>
          <w:szCs w:val="21"/>
        </w:rPr>
        <w:t>04</w:t>
      </w:r>
      <w:r>
        <w:rPr>
          <w:rFonts w:hint="eastAsia" w:ascii="宋体" w:hAnsi="宋体" w:cs="宋体"/>
          <w:kern w:val="0"/>
          <w:szCs w:val="21"/>
        </w:rPr>
        <w:t>、2</w:t>
      </w:r>
      <w:r>
        <w:rPr>
          <w:rFonts w:ascii="宋体" w:hAnsi="宋体" w:cs="宋体"/>
          <w:kern w:val="0"/>
          <w:szCs w:val="21"/>
        </w:rPr>
        <w:t>05</w:t>
      </w:r>
      <w:r>
        <w:rPr>
          <w:rFonts w:hint="eastAsia" w:ascii="宋体" w:hAnsi="宋体" w:cs="宋体"/>
          <w:kern w:val="0"/>
          <w:szCs w:val="21"/>
        </w:rPr>
        <w:t>、2</w:t>
      </w:r>
      <w:r>
        <w:rPr>
          <w:rFonts w:ascii="宋体" w:hAnsi="宋体" w:cs="宋体"/>
          <w:kern w:val="0"/>
          <w:szCs w:val="21"/>
        </w:rPr>
        <w:t>06</w:t>
      </w:r>
      <w:r>
        <w:rPr>
          <w:rFonts w:hint="eastAsia" w:ascii="宋体" w:hAnsi="宋体" w:cs="宋体"/>
          <w:kern w:val="0"/>
          <w:szCs w:val="21"/>
        </w:rPr>
        <w:t>四间会议室的室内天花、地毯、灯具改造，包含空调、强电、弱电、消防</w:t>
      </w:r>
      <w:r>
        <w:rPr>
          <w:rFonts w:ascii="宋体" w:hAnsi="宋体"/>
          <w:szCs w:val="21"/>
        </w:rPr>
        <w:t>等。</w:t>
      </w:r>
    </w:p>
    <w:p>
      <w:pPr>
        <w:tabs>
          <w:tab w:val="left" w:pos="420"/>
          <w:tab w:val="left" w:pos="540"/>
          <w:tab w:val="left" w:pos="574"/>
        </w:tabs>
        <w:adjustRightInd w:val="0"/>
        <w:snapToGrid w:val="0"/>
        <w:spacing w:before="120" w:beforeLines="50" w:after="120" w:afterLines="50" w:line="360" w:lineRule="auto"/>
        <w:jc w:val="left"/>
        <w:outlineLvl w:val="0"/>
        <w:rPr>
          <w:rFonts w:ascii="宋体" w:hAnsi="宋体" w:cs="宋体"/>
          <w:b/>
          <w:szCs w:val="21"/>
        </w:rPr>
      </w:pPr>
      <w:r>
        <w:rPr>
          <w:rFonts w:hint="eastAsia" w:ascii="宋体" w:hAnsi="宋体" w:cs="宋体"/>
          <w:b/>
          <w:szCs w:val="21"/>
        </w:rPr>
        <w:t>4</w:t>
      </w:r>
      <w:r>
        <w:rPr>
          <w:rFonts w:ascii="宋体" w:hAnsi="宋体" w:cs="宋体"/>
          <w:b/>
          <w:szCs w:val="21"/>
        </w:rPr>
        <w:t>.2</w:t>
      </w:r>
      <w:r>
        <w:rPr>
          <w:rFonts w:hint="eastAsia" w:ascii="宋体" w:hAnsi="宋体" w:cs="宋体"/>
          <w:b/>
          <w:szCs w:val="21"/>
        </w:rPr>
        <w:t>施工基本要求</w:t>
      </w:r>
    </w:p>
    <w:p>
      <w:pPr>
        <w:numPr>
          <w:ilvl w:val="0"/>
          <w:numId w:val="7"/>
        </w:numPr>
        <w:adjustRightInd w:val="0"/>
        <w:snapToGrid w:val="0"/>
        <w:spacing w:line="360" w:lineRule="auto"/>
        <w:jc w:val="left"/>
        <w:rPr>
          <w:rFonts w:ascii="宋体" w:hAnsi="宋体" w:cs="宋体"/>
          <w:szCs w:val="21"/>
        </w:rPr>
      </w:pPr>
      <w:r>
        <w:rPr>
          <w:rFonts w:hint="eastAsia" w:ascii="宋体" w:hAnsi="宋体" w:cs="宋体"/>
          <w:szCs w:val="21"/>
        </w:rPr>
        <w:t>中标人必须作好施工记录、隐蔽工程记录、施工资料的整理、竣工资料的编制等工作。</w:t>
      </w:r>
    </w:p>
    <w:p>
      <w:pPr>
        <w:numPr>
          <w:ilvl w:val="0"/>
          <w:numId w:val="7"/>
        </w:numPr>
        <w:adjustRightInd w:val="0"/>
        <w:snapToGrid w:val="0"/>
        <w:spacing w:line="360" w:lineRule="auto"/>
        <w:jc w:val="left"/>
        <w:rPr>
          <w:rFonts w:ascii="宋体" w:hAnsi="宋体" w:cs="宋体"/>
          <w:szCs w:val="21"/>
        </w:rPr>
      </w:pPr>
      <w:r>
        <w:rPr>
          <w:rFonts w:hint="eastAsia" w:ascii="宋体" w:hAnsi="宋体" w:cs="宋体"/>
          <w:szCs w:val="21"/>
        </w:rPr>
        <w:t>中标人必须在施工现场显眼位置设置正规施工警示牌、工程概况牌，标注“温馨提示”语言。靠近人行通道边（或中标人以为有必要的其他周边）必须用整齐美观的板材围护密封施工。</w:t>
      </w:r>
    </w:p>
    <w:p>
      <w:pPr>
        <w:numPr>
          <w:ilvl w:val="0"/>
          <w:numId w:val="7"/>
        </w:numPr>
        <w:adjustRightInd w:val="0"/>
        <w:snapToGrid w:val="0"/>
        <w:spacing w:line="360" w:lineRule="auto"/>
        <w:jc w:val="left"/>
        <w:rPr>
          <w:rFonts w:ascii="宋体" w:hAnsi="宋体" w:cs="宋体"/>
          <w:szCs w:val="21"/>
        </w:rPr>
      </w:pPr>
      <w:r>
        <w:rPr>
          <w:rFonts w:hint="eastAsia" w:ascii="宋体" w:hAnsi="宋体" w:cs="宋体"/>
          <w:szCs w:val="21"/>
        </w:rPr>
        <w:t>中标人施工必须达到有关部门规定的安全文明施工标准，服从采购人管理各项规定要求，避免干扰采购人正常工作秩序，认真做好施工现场防护、防火、噪音、用电等安全文明施工各项管理工作，承担相应一切责任，确保施工场地区域道路通畅，保持施工现场整洁，做到工完场清，达到国家卫生城市标准。</w:t>
      </w:r>
    </w:p>
    <w:p>
      <w:pPr>
        <w:numPr>
          <w:ilvl w:val="0"/>
          <w:numId w:val="7"/>
        </w:numPr>
        <w:adjustRightInd w:val="0"/>
        <w:snapToGrid w:val="0"/>
        <w:spacing w:line="360" w:lineRule="auto"/>
        <w:jc w:val="left"/>
        <w:rPr>
          <w:rFonts w:ascii="宋体" w:hAnsi="宋体" w:cs="宋体"/>
          <w:szCs w:val="21"/>
        </w:rPr>
      </w:pPr>
      <w:r>
        <w:rPr>
          <w:rFonts w:hint="eastAsia" w:ascii="宋体" w:hAnsi="宋体" w:cs="宋体"/>
          <w:szCs w:val="21"/>
        </w:rPr>
        <w:t>中标人必须在施工过程中注意自身及周边安全，做好现场及周边安全设施搭设，遵守有关安全保护规程，负责施工过程中的所有事故处理和费用。</w:t>
      </w:r>
    </w:p>
    <w:p>
      <w:pPr>
        <w:numPr>
          <w:ilvl w:val="0"/>
          <w:numId w:val="7"/>
        </w:numPr>
        <w:adjustRightInd w:val="0"/>
        <w:snapToGrid w:val="0"/>
        <w:spacing w:line="360" w:lineRule="auto"/>
        <w:jc w:val="left"/>
        <w:rPr>
          <w:rFonts w:ascii="宋体" w:hAnsi="宋体" w:cs="宋体"/>
          <w:szCs w:val="21"/>
        </w:rPr>
      </w:pPr>
      <w:r>
        <w:rPr>
          <w:rFonts w:hint="eastAsia" w:ascii="宋体" w:hAnsi="宋体" w:cs="宋体"/>
          <w:szCs w:val="21"/>
        </w:rPr>
        <w:t>中标人必须服从采购人的监督、指导并积极主动配合上述管理机构的工作。</w:t>
      </w:r>
    </w:p>
    <w:p>
      <w:pPr>
        <w:numPr>
          <w:ilvl w:val="0"/>
          <w:numId w:val="7"/>
        </w:numPr>
        <w:adjustRightInd w:val="0"/>
        <w:snapToGrid w:val="0"/>
        <w:spacing w:line="360" w:lineRule="auto"/>
        <w:jc w:val="left"/>
        <w:rPr>
          <w:rFonts w:ascii="宋体" w:hAnsi="宋体" w:cs="宋体"/>
          <w:szCs w:val="21"/>
        </w:rPr>
      </w:pPr>
      <w:r>
        <w:rPr>
          <w:rFonts w:hint="eastAsia" w:ascii="宋体" w:hAnsi="宋体" w:cs="宋体"/>
          <w:szCs w:val="21"/>
        </w:rPr>
        <w:t>中标人施工时须提供材料样板，经采购人最终确认后，方可进场使用，中标人所提供的样板或厂家应符合设计图纸要求及采购人确认要求。</w:t>
      </w:r>
    </w:p>
    <w:p>
      <w:pPr>
        <w:numPr>
          <w:ilvl w:val="0"/>
          <w:numId w:val="7"/>
        </w:numPr>
        <w:adjustRightInd w:val="0"/>
        <w:snapToGrid w:val="0"/>
        <w:spacing w:line="360" w:lineRule="auto"/>
        <w:jc w:val="left"/>
        <w:rPr>
          <w:rFonts w:ascii="宋体" w:hAnsi="宋体" w:cs="宋体"/>
          <w:szCs w:val="21"/>
        </w:rPr>
      </w:pPr>
      <w:r>
        <w:rPr>
          <w:rFonts w:hint="eastAsia" w:ascii="宋体" w:hAnsi="宋体" w:cs="宋体"/>
          <w:szCs w:val="21"/>
        </w:rPr>
        <w:t>用在本工程的任何材料在使用前必须得到采购人的批准，样品须在大批订货前送审。获准的样品存放在工地，作为以后验收材料的标准。样品和其包装，由中标人无偿提供。</w:t>
      </w:r>
    </w:p>
    <w:p>
      <w:pPr>
        <w:numPr>
          <w:ilvl w:val="0"/>
          <w:numId w:val="7"/>
        </w:numPr>
        <w:adjustRightInd w:val="0"/>
        <w:snapToGrid w:val="0"/>
        <w:spacing w:line="360" w:lineRule="auto"/>
        <w:jc w:val="left"/>
        <w:rPr>
          <w:rFonts w:ascii="宋体" w:hAnsi="宋体" w:cs="宋体"/>
          <w:szCs w:val="21"/>
        </w:rPr>
      </w:pPr>
      <w:r>
        <w:rPr>
          <w:rFonts w:hint="eastAsia" w:ascii="宋体" w:hAnsi="宋体" w:cs="宋体"/>
          <w:szCs w:val="21"/>
        </w:rPr>
        <w:t>中标人在工程施工前，须全面检查工地情况，若发现错误须立刻通知工程师。若未能遵从此规定，使本工程的任何项目因此等错误或缺陷而错误地建造，则中标人须自费予以拆除及重建。</w:t>
      </w:r>
    </w:p>
    <w:p>
      <w:pPr>
        <w:numPr>
          <w:ilvl w:val="0"/>
          <w:numId w:val="7"/>
        </w:numPr>
        <w:adjustRightInd w:val="0"/>
        <w:snapToGrid w:val="0"/>
        <w:spacing w:line="360" w:lineRule="auto"/>
        <w:jc w:val="left"/>
        <w:rPr>
          <w:rFonts w:ascii="宋体" w:hAnsi="宋体" w:cs="宋体"/>
          <w:szCs w:val="21"/>
        </w:rPr>
      </w:pPr>
      <w:r>
        <w:rPr>
          <w:rFonts w:hint="eastAsia" w:ascii="宋体" w:hAnsi="宋体" w:cs="宋体"/>
          <w:szCs w:val="21"/>
        </w:rPr>
        <w:t>中标人须提供所需的有关资料（包括图纸、样品、产品说明等），向政府部门或公用事业机构申报，若所有须送审的有关资料由于中标人自身原因未能达到有关政府部门的要求而需重新申报的，由此而导致工期延误及所引起的一切费用损失等全部由中标人负责。</w:t>
      </w:r>
    </w:p>
    <w:p>
      <w:pPr>
        <w:numPr>
          <w:ilvl w:val="0"/>
          <w:numId w:val="7"/>
        </w:numPr>
        <w:adjustRightInd w:val="0"/>
        <w:snapToGrid w:val="0"/>
        <w:spacing w:line="360" w:lineRule="auto"/>
        <w:jc w:val="left"/>
        <w:rPr>
          <w:rFonts w:ascii="宋体" w:hAnsi="宋体" w:cs="宋体"/>
          <w:szCs w:val="21"/>
        </w:rPr>
      </w:pPr>
      <w:r>
        <w:rPr>
          <w:rFonts w:hint="eastAsia" w:ascii="宋体" w:hAnsi="宋体" w:cs="宋体"/>
          <w:szCs w:val="21"/>
        </w:rPr>
        <w:t>实行项目经理负责制，并按投标文件配备项目管理班子。如未经采购人同意更换项目班子成员，采购人有权取消中标人的中标资格或单方面终止合同，由此造成的违约责任由中标人承担。</w:t>
      </w:r>
    </w:p>
    <w:p>
      <w:pPr>
        <w:numPr>
          <w:ilvl w:val="0"/>
          <w:numId w:val="7"/>
        </w:numPr>
        <w:adjustRightInd w:val="0"/>
        <w:snapToGrid w:val="0"/>
        <w:spacing w:line="360" w:lineRule="auto"/>
        <w:jc w:val="left"/>
        <w:rPr>
          <w:rFonts w:ascii="宋体" w:hAnsi="宋体" w:cs="宋体"/>
          <w:szCs w:val="21"/>
        </w:rPr>
      </w:pPr>
      <w:r>
        <w:rPr>
          <w:rFonts w:hint="eastAsia" w:ascii="宋体" w:hAnsi="宋体" w:cs="宋体"/>
          <w:szCs w:val="21"/>
        </w:rPr>
        <w:t>中标人必须与采购人签订《工程施工安全责任书》。</w:t>
      </w:r>
    </w:p>
    <w:p>
      <w:pPr>
        <w:tabs>
          <w:tab w:val="left" w:pos="420"/>
          <w:tab w:val="left" w:pos="540"/>
          <w:tab w:val="left" w:pos="574"/>
        </w:tabs>
        <w:adjustRightInd w:val="0"/>
        <w:snapToGrid w:val="0"/>
        <w:spacing w:before="120" w:beforeLines="50" w:after="120" w:afterLines="50" w:line="360" w:lineRule="auto"/>
        <w:jc w:val="left"/>
        <w:outlineLvl w:val="0"/>
        <w:rPr>
          <w:rFonts w:ascii="宋体" w:hAnsi="宋体" w:cs="宋体"/>
          <w:b/>
          <w:szCs w:val="21"/>
        </w:rPr>
      </w:pPr>
      <w:r>
        <w:rPr>
          <w:rFonts w:hint="eastAsia" w:ascii="宋体" w:hAnsi="宋体" w:cs="宋体"/>
          <w:b/>
          <w:szCs w:val="21"/>
        </w:rPr>
        <w:t>4</w:t>
      </w:r>
      <w:r>
        <w:rPr>
          <w:rFonts w:ascii="宋体" w:hAnsi="宋体" w:cs="宋体"/>
          <w:b/>
          <w:szCs w:val="21"/>
        </w:rPr>
        <w:t>.3</w:t>
      </w:r>
      <w:r>
        <w:rPr>
          <w:rFonts w:hint="eastAsia" w:ascii="宋体" w:hAnsi="宋体" w:cs="宋体"/>
          <w:b/>
          <w:szCs w:val="21"/>
        </w:rPr>
        <w:t>项目技术要求</w:t>
      </w:r>
    </w:p>
    <w:p>
      <w:pPr>
        <w:numPr>
          <w:ilvl w:val="0"/>
          <w:numId w:val="8"/>
        </w:numPr>
        <w:adjustRightInd w:val="0"/>
        <w:snapToGrid w:val="0"/>
        <w:spacing w:line="360" w:lineRule="auto"/>
        <w:jc w:val="left"/>
        <w:rPr>
          <w:rFonts w:ascii="宋体" w:hAnsi="宋体" w:cs="宋体"/>
          <w:szCs w:val="21"/>
        </w:rPr>
      </w:pPr>
      <w:r>
        <w:rPr>
          <w:rFonts w:hint="eastAsia" w:ascii="宋体" w:hAnsi="宋体" w:cs="宋体"/>
          <w:szCs w:val="21"/>
        </w:rPr>
        <w:t>中标人应根据技术要求与设计图纸一起使用，如技术要求与相关图纸不符合时应以两者中较高要求为准。</w:t>
      </w:r>
    </w:p>
    <w:p>
      <w:pPr>
        <w:numPr>
          <w:ilvl w:val="0"/>
          <w:numId w:val="8"/>
        </w:numPr>
        <w:adjustRightInd w:val="0"/>
        <w:snapToGrid w:val="0"/>
        <w:spacing w:line="360" w:lineRule="auto"/>
        <w:jc w:val="left"/>
        <w:rPr>
          <w:rFonts w:ascii="宋体" w:hAnsi="宋体" w:cs="宋体"/>
          <w:szCs w:val="21"/>
        </w:rPr>
      </w:pPr>
      <w:r>
        <w:rPr>
          <w:rFonts w:hint="eastAsia" w:ascii="宋体" w:hAnsi="宋体" w:cs="宋体"/>
          <w:szCs w:val="21"/>
        </w:rPr>
        <w:t>在符合本工程技术要求外，中标人更应符合国家与地方的法律、法规、规范、规程的要求。</w:t>
      </w:r>
    </w:p>
    <w:p>
      <w:pPr>
        <w:numPr>
          <w:ilvl w:val="0"/>
          <w:numId w:val="8"/>
        </w:numPr>
        <w:adjustRightInd w:val="0"/>
        <w:snapToGrid w:val="0"/>
        <w:spacing w:line="360" w:lineRule="auto"/>
        <w:jc w:val="left"/>
        <w:rPr>
          <w:rFonts w:ascii="宋体" w:hAnsi="宋体" w:cs="宋体"/>
          <w:szCs w:val="21"/>
        </w:rPr>
      </w:pPr>
      <w:r>
        <w:rPr>
          <w:rFonts w:hint="eastAsia" w:ascii="宋体" w:hAnsi="宋体" w:cs="宋体"/>
          <w:szCs w:val="21"/>
        </w:rPr>
        <w:t>所用材料的品种、规格和质量须符合设计要求和国家现行标准的规定。严禁使用国家明令淘汰的建筑材料、建筑设备、耗能高的产品及民用建筑挥发性有害物质含量释放量超过国家规定的产品。</w:t>
      </w:r>
    </w:p>
    <w:p>
      <w:pPr>
        <w:numPr>
          <w:ilvl w:val="0"/>
          <w:numId w:val="8"/>
        </w:numPr>
        <w:adjustRightInd w:val="0"/>
        <w:snapToGrid w:val="0"/>
        <w:spacing w:line="360" w:lineRule="auto"/>
        <w:jc w:val="left"/>
        <w:rPr>
          <w:rFonts w:ascii="宋体" w:hAnsi="宋体" w:cs="宋体"/>
          <w:szCs w:val="21"/>
        </w:rPr>
      </w:pPr>
      <w:r>
        <w:rPr>
          <w:rFonts w:hint="eastAsia" w:ascii="宋体" w:hAnsi="宋体" w:cs="宋体"/>
          <w:szCs w:val="21"/>
        </w:rPr>
        <w:t>投标人应认真了解现场场地的地址特点，充分考虑由于现场因素对现场施工、住宿、材料二次搬运等带来的影响和费用，并提出合理的有效措施，确保工期和质量，相关费用列入施工措施费计入投标报价，结算时不作调整。</w:t>
      </w:r>
    </w:p>
    <w:p>
      <w:pPr>
        <w:numPr>
          <w:ilvl w:val="0"/>
          <w:numId w:val="8"/>
        </w:numPr>
        <w:adjustRightInd w:val="0"/>
        <w:snapToGrid w:val="0"/>
        <w:spacing w:line="360" w:lineRule="auto"/>
        <w:jc w:val="left"/>
        <w:rPr>
          <w:rFonts w:ascii="宋体" w:hAnsi="宋体" w:cs="宋体"/>
          <w:szCs w:val="21"/>
        </w:rPr>
      </w:pPr>
      <w:r>
        <w:rPr>
          <w:rFonts w:hint="eastAsia" w:ascii="宋体" w:hAnsi="宋体" w:cs="宋体"/>
          <w:szCs w:val="21"/>
        </w:rPr>
        <w:t>当工程报价单项目或设计图纸与招标文件的“技术要求”不一致时，投标人在投标报价、中标人在采购时以最高的技术要求为准。</w:t>
      </w:r>
    </w:p>
    <w:p>
      <w:pPr>
        <w:numPr>
          <w:ilvl w:val="0"/>
          <w:numId w:val="8"/>
        </w:numPr>
        <w:adjustRightInd w:val="0"/>
        <w:snapToGrid w:val="0"/>
        <w:spacing w:line="360" w:lineRule="auto"/>
        <w:jc w:val="left"/>
        <w:rPr>
          <w:rFonts w:ascii="宋体" w:hAnsi="宋体" w:cs="宋体"/>
          <w:szCs w:val="21"/>
        </w:rPr>
      </w:pPr>
      <w:r>
        <w:rPr>
          <w:rFonts w:hint="eastAsia" w:ascii="宋体" w:hAnsi="宋体" w:cs="宋体"/>
          <w:szCs w:val="21"/>
        </w:rPr>
        <w:t>中标人应编制《安全文明施工组织设计》专项方案，该方案应满足国家、地方现行法律法规及合同有关条款的规定并经甲方代表批准后实施。</w:t>
      </w:r>
    </w:p>
    <w:p>
      <w:pPr>
        <w:numPr>
          <w:ilvl w:val="0"/>
          <w:numId w:val="8"/>
        </w:numPr>
        <w:adjustRightInd w:val="0"/>
        <w:snapToGrid w:val="0"/>
        <w:spacing w:line="360" w:lineRule="auto"/>
        <w:jc w:val="left"/>
        <w:rPr>
          <w:rFonts w:ascii="宋体" w:hAnsi="宋体" w:cs="宋体"/>
          <w:szCs w:val="21"/>
        </w:rPr>
      </w:pPr>
      <w:r>
        <w:rPr>
          <w:rFonts w:hint="eastAsia" w:ascii="宋体" w:hAnsi="宋体" w:cs="宋体"/>
          <w:szCs w:val="21"/>
        </w:rPr>
        <w:t>所有用于本工程的材料的防火等级必须满足设计及防火规范要求。</w:t>
      </w:r>
    </w:p>
    <w:p>
      <w:pPr>
        <w:numPr>
          <w:ilvl w:val="0"/>
          <w:numId w:val="8"/>
        </w:numPr>
        <w:adjustRightInd w:val="0"/>
        <w:snapToGrid w:val="0"/>
        <w:spacing w:line="360" w:lineRule="auto"/>
        <w:jc w:val="left"/>
        <w:rPr>
          <w:rFonts w:ascii="宋体" w:hAnsi="宋体" w:cs="宋体"/>
          <w:szCs w:val="21"/>
        </w:rPr>
      </w:pPr>
      <w:r>
        <w:rPr>
          <w:rFonts w:hint="eastAsia" w:ascii="宋体" w:hAnsi="宋体" w:cs="宋体"/>
          <w:szCs w:val="21"/>
        </w:rPr>
        <w:t>所需用的脚手架、满堂架搭设、支架搭设应符合有关规定要求。</w:t>
      </w:r>
    </w:p>
    <w:p>
      <w:pPr>
        <w:numPr>
          <w:ilvl w:val="0"/>
          <w:numId w:val="8"/>
        </w:numPr>
        <w:adjustRightInd w:val="0"/>
        <w:snapToGrid w:val="0"/>
        <w:spacing w:line="360" w:lineRule="auto"/>
        <w:jc w:val="left"/>
        <w:rPr>
          <w:rFonts w:ascii="宋体" w:hAnsi="宋体" w:cs="宋体"/>
          <w:szCs w:val="21"/>
        </w:rPr>
      </w:pPr>
      <w:r>
        <w:rPr>
          <w:rFonts w:hint="eastAsia" w:ascii="宋体" w:hAnsi="宋体" w:cs="宋体"/>
          <w:szCs w:val="21"/>
        </w:rPr>
        <w:t>所用的设备及材料需满足国家相关质量标准、安全标准、环保要求，无安全隐患，投标人需先行查看施工场地的实际环境并了解采购人的要求，并制作好施工方案图，并确保在施工过程中安全、文明施工，所有废弃物品归由中标人清运出施工区域；否则施工过程中出现的任何分歧及由此产生的任何后果由中标人负责；本工程技术上、施工上必须严格执行相关标准、规范。</w:t>
      </w:r>
    </w:p>
    <w:p>
      <w:pPr>
        <w:tabs>
          <w:tab w:val="left" w:pos="420"/>
          <w:tab w:val="left" w:pos="540"/>
          <w:tab w:val="left" w:pos="574"/>
        </w:tabs>
        <w:adjustRightInd w:val="0"/>
        <w:snapToGrid w:val="0"/>
        <w:spacing w:before="120" w:beforeLines="50" w:after="120" w:afterLines="50"/>
        <w:jc w:val="left"/>
        <w:outlineLvl w:val="0"/>
        <w:rPr>
          <w:rFonts w:ascii="宋体" w:hAnsi="宋体" w:cs="宋体"/>
          <w:b/>
          <w:szCs w:val="21"/>
        </w:rPr>
      </w:pPr>
      <w:r>
        <w:rPr>
          <w:rFonts w:hint="eastAsia" w:ascii="宋体" w:hAnsi="宋体" w:cs="宋体"/>
          <w:b/>
          <w:szCs w:val="21"/>
        </w:rPr>
        <w:t>4</w:t>
      </w:r>
      <w:r>
        <w:rPr>
          <w:rFonts w:ascii="宋体" w:hAnsi="宋体" w:cs="宋体"/>
          <w:b/>
          <w:szCs w:val="21"/>
        </w:rPr>
        <w:t>.4</w:t>
      </w:r>
      <w:r>
        <w:rPr>
          <w:rFonts w:hint="eastAsia" w:ascii="宋体" w:hAnsi="宋体" w:cs="宋体"/>
          <w:b/>
          <w:szCs w:val="21"/>
        </w:rPr>
        <w:t>项目验收程序、标准</w:t>
      </w:r>
    </w:p>
    <w:p>
      <w:pPr>
        <w:numPr>
          <w:ilvl w:val="0"/>
          <w:numId w:val="9"/>
        </w:numPr>
        <w:adjustRightInd w:val="0"/>
        <w:snapToGrid w:val="0"/>
        <w:spacing w:line="360" w:lineRule="auto"/>
        <w:jc w:val="left"/>
        <w:rPr>
          <w:rFonts w:ascii="宋体" w:hAnsi="宋体" w:cs="宋体"/>
          <w:szCs w:val="21"/>
        </w:rPr>
      </w:pPr>
      <w:r>
        <w:rPr>
          <w:rFonts w:hint="eastAsia" w:ascii="宋体" w:hAnsi="宋体" w:cs="宋体"/>
          <w:szCs w:val="21"/>
        </w:rPr>
        <w:t>当本合同工程已经实质上竣工，并合格地通过了按合同规定的各项质量检验，已按规定编制交接竣工图表资料后，中标人可向甲方代表提出要求竣工验收、发给交接证书的申请，并抄送采购人（如果尚有少量因受季节影响或其他原因不能施工，但并不影响工程使用的某些附属工程或剩余工作尚未全部完成时，需附有在限期内尽快完成这些未完工作的书面保证）。甲方代表在收到该申请后，应在14天内审核并报采购人，采购人在收到该申请后的21天内应组织交工验收。交工验收由采购人主持，并成立竣工验收小组，按国家有关工程竣工验收的办法组织竣工验收工作。</w:t>
      </w:r>
    </w:p>
    <w:p>
      <w:pPr>
        <w:numPr>
          <w:ilvl w:val="0"/>
          <w:numId w:val="9"/>
        </w:numPr>
        <w:adjustRightInd w:val="0"/>
        <w:snapToGrid w:val="0"/>
        <w:spacing w:line="360" w:lineRule="auto"/>
        <w:jc w:val="left"/>
        <w:rPr>
          <w:rFonts w:ascii="宋体" w:hAnsi="宋体" w:cs="宋体"/>
          <w:szCs w:val="21"/>
        </w:rPr>
      </w:pPr>
      <w:r>
        <w:rPr>
          <w:rFonts w:hint="eastAsia" w:ascii="宋体" w:hAnsi="宋体" w:cs="宋体"/>
          <w:szCs w:val="21"/>
        </w:rPr>
        <w:t>如果采购人未能在上述规定的时间内组织竣工验收，则采购人应从规定期限最后一天的次日起承担延期验收的工程照管和养护费用，甲方代表在与中标人和采购人协商后，应确定将此费用款额加到合同价格上，并通知中标人，抄送采购人。</w:t>
      </w:r>
    </w:p>
    <w:p>
      <w:pPr>
        <w:numPr>
          <w:ilvl w:val="0"/>
          <w:numId w:val="9"/>
        </w:numPr>
        <w:adjustRightInd w:val="0"/>
        <w:snapToGrid w:val="0"/>
        <w:spacing w:line="360" w:lineRule="auto"/>
        <w:jc w:val="left"/>
        <w:rPr>
          <w:rFonts w:ascii="宋体" w:hAnsi="宋体" w:cs="宋体"/>
          <w:szCs w:val="21"/>
        </w:rPr>
      </w:pPr>
      <w:r>
        <w:rPr>
          <w:rFonts w:hint="eastAsia" w:ascii="宋体" w:hAnsi="宋体" w:cs="宋体"/>
          <w:szCs w:val="21"/>
        </w:rPr>
        <w:t>如果经竣工验收认为工程质量合格，采购人应在验收工作完毕后14天内向中标人签发交接证书。证书中写明按合同规定本合同工程的竣工日期（即中标人提出申请竣工验收的日期），同时办理合同工程的移交管养工作。交接证书签发并移交管养后，中标人即不再负责对本工程的照管。</w:t>
      </w:r>
    </w:p>
    <w:p>
      <w:pPr>
        <w:numPr>
          <w:ilvl w:val="0"/>
          <w:numId w:val="9"/>
        </w:numPr>
        <w:adjustRightInd w:val="0"/>
        <w:snapToGrid w:val="0"/>
        <w:spacing w:line="360" w:lineRule="auto"/>
        <w:jc w:val="left"/>
        <w:rPr>
          <w:rFonts w:ascii="宋体" w:hAnsi="宋体" w:cs="宋体"/>
          <w:szCs w:val="21"/>
        </w:rPr>
      </w:pPr>
      <w:r>
        <w:rPr>
          <w:rFonts w:hint="eastAsia" w:ascii="宋体" w:hAnsi="宋体" w:cs="宋体"/>
          <w:szCs w:val="21"/>
        </w:rPr>
        <w:t>如果发给交接证书的工程不能立即移交管养时，中标人仍应继续负责工程照管和养护，甲方代表在与中标人和采购人协商后应确定加到合同价格上的此项费用款额，通知中标人，抄送采购人。</w:t>
      </w:r>
    </w:p>
    <w:p>
      <w:pPr>
        <w:numPr>
          <w:ilvl w:val="0"/>
          <w:numId w:val="9"/>
        </w:numPr>
        <w:adjustRightInd w:val="0"/>
        <w:snapToGrid w:val="0"/>
        <w:spacing w:line="360" w:lineRule="auto"/>
        <w:jc w:val="left"/>
        <w:rPr>
          <w:rFonts w:ascii="宋体" w:hAnsi="宋体" w:cs="宋体"/>
          <w:szCs w:val="21"/>
        </w:rPr>
      </w:pPr>
      <w:r>
        <w:rPr>
          <w:rFonts w:hint="eastAsia" w:ascii="宋体" w:hAnsi="宋体" w:cs="宋体"/>
          <w:szCs w:val="21"/>
        </w:rPr>
        <w:t>如经竣工验收认为工程质量虽合格，同意验收，但某些工程尚需整修、补修，则应缓发交接证书，限期修好，待整修、补修工作完成，经甲方代表复查认为达到质量要求后，再发给交接证书，证书上写明的竣工日期仍应为中标人提出申请竣工验收的日期。</w:t>
      </w:r>
    </w:p>
    <w:p>
      <w:pPr>
        <w:numPr>
          <w:ilvl w:val="0"/>
          <w:numId w:val="9"/>
        </w:numPr>
        <w:adjustRightInd w:val="0"/>
        <w:snapToGrid w:val="0"/>
        <w:spacing w:line="360" w:lineRule="auto"/>
        <w:jc w:val="left"/>
        <w:rPr>
          <w:rFonts w:ascii="宋体" w:hAnsi="宋体" w:cs="宋体"/>
          <w:szCs w:val="21"/>
        </w:rPr>
      </w:pPr>
      <w:r>
        <w:rPr>
          <w:rFonts w:hint="eastAsia" w:ascii="宋体" w:hAnsi="宋体" w:cs="宋体"/>
          <w:szCs w:val="21"/>
        </w:rPr>
        <w:t>如经竣工验收认为工程质量达不到合格标准，则甲方代表应根据竣工验收小组的意见，在验收工作完毕后7天内向中标人发出不予验收的指令，要求中标人对不合格工程认真返工重做或补救处理。中标人在完成上述不合格工程的修复工作后，应重新提出竣工验收的申请，经竣工验收小组复验认为达到合格标准后才发给交接证书。证书中写明的竣工日期应为中标人重新提出申请竣工验收的日期。计算实际工期时应减去中标人第一次提出申请竣工验收至甲方代表发出不予验收的指令的时间。</w:t>
      </w:r>
    </w:p>
    <w:p>
      <w:pPr>
        <w:tabs>
          <w:tab w:val="left" w:pos="420"/>
          <w:tab w:val="left" w:pos="540"/>
          <w:tab w:val="left" w:pos="574"/>
        </w:tabs>
        <w:adjustRightInd w:val="0"/>
        <w:snapToGrid w:val="0"/>
        <w:spacing w:before="120" w:beforeLines="50" w:after="120" w:afterLines="50"/>
        <w:ind w:left="-420" w:firstLine="422" w:firstLineChars="200"/>
        <w:jc w:val="left"/>
        <w:outlineLvl w:val="0"/>
        <w:rPr>
          <w:rFonts w:ascii="宋体" w:hAnsi="宋体" w:cs="宋体"/>
          <w:b/>
          <w:szCs w:val="21"/>
        </w:rPr>
      </w:pPr>
      <w:r>
        <w:rPr>
          <w:rFonts w:hint="eastAsia" w:ascii="宋体" w:hAnsi="宋体" w:cs="宋体"/>
          <w:b/>
          <w:szCs w:val="21"/>
        </w:rPr>
        <w:t>4</w:t>
      </w:r>
      <w:r>
        <w:rPr>
          <w:rFonts w:ascii="宋体" w:hAnsi="宋体" w:cs="宋体"/>
          <w:b/>
          <w:szCs w:val="21"/>
        </w:rPr>
        <w:t>.5</w:t>
      </w:r>
      <w:r>
        <w:rPr>
          <w:rFonts w:hint="eastAsia" w:ascii="宋体" w:hAnsi="宋体" w:cs="宋体"/>
          <w:b/>
          <w:szCs w:val="21"/>
        </w:rPr>
        <w:t>保修或售后服务要求</w:t>
      </w:r>
    </w:p>
    <w:p>
      <w:pPr>
        <w:numPr>
          <w:ilvl w:val="0"/>
          <w:numId w:val="10"/>
        </w:numPr>
        <w:adjustRightInd w:val="0"/>
        <w:snapToGrid w:val="0"/>
        <w:spacing w:line="360" w:lineRule="auto"/>
        <w:jc w:val="left"/>
        <w:rPr>
          <w:rFonts w:ascii="宋体" w:hAnsi="宋体" w:cs="宋体"/>
          <w:szCs w:val="21"/>
        </w:rPr>
      </w:pPr>
      <w:r>
        <w:rPr>
          <w:rFonts w:hint="eastAsia" w:ascii="宋体" w:hAnsi="宋体" w:cs="宋体"/>
          <w:szCs w:val="21"/>
        </w:rPr>
        <w:t>质量保修责任：自工程竣工验收完毕之日的第二天计算，整体免费保修期为2年（其中防水部分工程免费保修期为5年），免费保修期内中标人应免费提供保养维修服务。</w:t>
      </w:r>
    </w:p>
    <w:p>
      <w:pPr>
        <w:numPr>
          <w:ilvl w:val="0"/>
          <w:numId w:val="10"/>
        </w:numPr>
        <w:adjustRightInd w:val="0"/>
        <w:snapToGrid w:val="0"/>
        <w:spacing w:line="360" w:lineRule="auto"/>
        <w:jc w:val="left"/>
        <w:rPr>
          <w:rFonts w:ascii="宋体" w:hAnsi="宋体" w:cs="宋体"/>
          <w:szCs w:val="21"/>
        </w:rPr>
      </w:pPr>
      <w:r>
        <w:rPr>
          <w:rFonts w:hint="eastAsia" w:ascii="宋体" w:hAnsi="宋体" w:cs="宋体"/>
          <w:szCs w:val="21"/>
        </w:rPr>
        <w:t>售后服务要求：属于保修范围、内容的项目，中标人应当在接到保修通知之日</w:t>
      </w:r>
      <w:r>
        <w:rPr>
          <w:rFonts w:ascii="宋体" w:hAnsi="宋体" w:cs="宋体"/>
          <w:szCs w:val="21"/>
        </w:rPr>
        <w:t>48</w:t>
      </w:r>
      <w:r>
        <w:rPr>
          <w:rFonts w:hint="eastAsia" w:ascii="宋体" w:hAnsi="宋体" w:cs="宋体"/>
          <w:szCs w:val="21"/>
        </w:rPr>
        <w:t>小时内派人保修</w:t>
      </w:r>
    </w:p>
    <w:p>
      <w:pPr>
        <w:tabs>
          <w:tab w:val="left" w:pos="425"/>
        </w:tabs>
        <w:adjustRightInd w:val="0"/>
        <w:snapToGrid w:val="0"/>
        <w:spacing w:before="120" w:beforeLines="50" w:after="120" w:afterLines="50"/>
        <w:jc w:val="left"/>
        <w:rPr>
          <w:rFonts w:ascii="宋体" w:hAnsi="宋体" w:cs="宋体"/>
          <w:b/>
          <w:szCs w:val="21"/>
        </w:rPr>
      </w:pPr>
      <w:r>
        <w:rPr>
          <w:rFonts w:hint="eastAsia" w:ascii="宋体" w:hAnsi="宋体" w:cs="宋体"/>
          <w:b/>
          <w:szCs w:val="21"/>
        </w:rPr>
        <w:t>4.6付款方式</w:t>
      </w:r>
    </w:p>
    <w:p>
      <w:pPr>
        <w:adjustRightInd w:val="0"/>
        <w:snapToGrid w:val="0"/>
        <w:ind w:firstLine="420" w:firstLineChars="200"/>
        <w:jc w:val="left"/>
        <w:rPr>
          <w:rFonts w:ascii="宋体" w:hAnsi="宋体"/>
          <w:szCs w:val="21"/>
        </w:rPr>
      </w:pPr>
      <w:r>
        <w:rPr>
          <w:rFonts w:hint="eastAsia" w:ascii="宋体" w:hAnsi="宋体" w:cs="宋体"/>
          <w:szCs w:val="21"/>
        </w:rPr>
        <w:t>合同签定后支付</w:t>
      </w:r>
      <w:r>
        <w:rPr>
          <w:rFonts w:ascii="宋体" w:hAnsi="宋体" w:cs="宋体"/>
          <w:szCs w:val="21"/>
        </w:rPr>
        <w:t>3</w:t>
      </w:r>
      <w:r>
        <w:rPr>
          <w:rFonts w:hint="eastAsia" w:ascii="宋体" w:hAnsi="宋体" w:cs="宋体"/>
          <w:szCs w:val="21"/>
        </w:rPr>
        <w:t>0%，竣工验收合格后支付6</w:t>
      </w:r>
      <w:r>
        <w:rPr>
          <w:rFonts w:ascii="宋体" w:hAnsi="宋体" w:cs="宋体"/>
          <w:szCs w:val="21"/>
        </w:rPr>
        <w:t>5</w:t>
      </w:r>
      <w:r>
        <w:rPr>
          <w:rFonts w:hint="eastAsia" w:ascii="宋体" w:hAnsi="宋体" w:cs="宋体"/>
          <w:szCs w:val="21"/>
        </w:rPr>
        <w:t>%，</w:t>
      </w:r>
      <w:r>
        <w:rPr>
          <w:rFonts w:ascii="宋体" w:hAnsi="宋体"/>
          <w:szCs w:val="21"/>
        </w:rPr>
        <w:t>余5%质保金两年保修合格后付清。</w:t>
      </w:r>
    </w:p>
    <w:p>
      <w:pPr>
        <w:tabs>
          <w:tab w:val="left" w:pos="420"/>
          <w:tab w:val="left" w:pos="540"/>
          <w:tab w:val="left" w:pos="574"/>
        </w:tabs>
        <w:adjustRightInd w:val="0"/>
        <w:snapToGrid w:val="0"/>
        <w:spacing w:before="120" w:beforeLines="50" w:after="120" w:afterLines="50"/>
        <w:jc w:val="left"/>
        <w:outlineLvl w:val="0"/>
        <w:rPr>
          <w:rFonts w:ascii="宋体" w:hAnsi="宋体" w:cs="宋体"/>
          <w:b/>
          <w:szCs w:val="21"/>
        </w:rPr>
      </w:pPr>
      <w:r>
        <w:rPr>
          <w:rFonts w:hint="eastAsia" w:ascii="宋体" w:hAnsi="宋体" w:cs="宋体"/>
          <w:b/>
          <w:szCs w:val="21"/>
        </w:rPr>
        <w:t>4</w:t>
      </w:r>
      <w:r>
        <w:rPr>
          <w:rFonts w:ascii="宋体" w:hAnsi="宋体" w:cs="宋体"/>
          <w:b/>
          <w:szCs w:val="21"/>
        </w:rPr>
        <w:t>.7</w:t>
      </w:r>
      <w:r>
        <w:rPr>
          <w:rFonts w:hint="eastAsia" w:ascii="宋体" w:hAnsi="宋体" w:cs="宋体"/>
          <w:b/>
          <w:szCs w:val="21"/>
        </w:rPr>
        <w:t>投标报价</w:t>
      </w:r>
    </w:p>
    <w:p>
      <w:pPr>
        <w:tabs>
          <w:tab w:val="left" w:pos="425"/>
        </w:tabs>
        <w:adjustRightInd w:val="0"/>
        <w:snapToGrid w:val="0"/>
        <w:spacing w:line="360" w:lineRule="auto"/>
        <w:ind w:left="425"/>
        <w:jc w:val="left"/>
        <w:rPr>
          <w:rFonts w:ascii="宋体" w:hAnsi="宋体"/>
          <w:szCs w:val="21"/>
        </w:rPr>
      </w:pPr>
      <w:r>
        <w:rPr>
          <w:rFonts w:ascii="宋体" w:hAnsi="宋体" w:cs="宋体"/>
          <w:szCs w:val="21"/>
        </w:rPr>
        <w:t>4</w:t>
      </w:r>
      <w:r>
        <w:rPr>
          <w:rFonts w:hint="eastAsia" w:ascii="宋体" w:hAnsi="宋体" w:cs="宋体"/>
          <w:szCs w:val="21"/>
        </w:rPr>
        <w:t>.</w:t>
      </w:r>
      <w:r>
        <w:rPr>
          <w:rFonts w:ascii="宋体" w:hAnsi="宋体" w:cs="宋体"/>
          <w:szCs w:val="21"/>
        </w:rPr>
        <w:t>7.1</w:t>
      </w:r>
      <w:r>
        <w:rPr>
          <w:rFonts w:ascii="宋体" w:hAnsi="宋体"/>
          <w:szCs w:val="21"/>
        </w:rPr>
        <w:t xml:space="preserve">本工程项目采用总价包干合同，工程结算时，项目总价不做调整。 </w:t>
      </w:r>
    </w:p>
    <w:p>
      <w:pPr>
        <w:tabs>
          <w:tab w:val="left" w:pos="425"/>
        </w:tabs>
        <w:adjustRightInd w:val="0"/>
        <w:snapToGrid w:val="0"/>
        <w:spacing w:line="360" w:lineRule="auto"/>
        <w:ind w:left="425"/>
        <w:jc w:val="left"/>
        <w:rPr>
          <w:rFonts w:ascii="宋体" w:hAnsi="宋体" w:cs="宋体"/>
          <w:szCs w:val="21"/>
        </w:rPr>
      </w:pPr>
      <w:r>
        <w:rPr>
          <w:rFonts w:ascii="宋体" w:hAnsi="宋体"/>
          <w:szCs w:val="21"/>
        </w:rPr>
        <w:t xml:space="preserve">本次投标报价方式为：报价上限为人民币 80 万元，投标人针对下述要求填报统一折扣率： </w:t>
      </w:r>
    </w:p>
    <w:p>
      <w:pPr>
        <w:tabs>
          <w:tab w:val="left" w:pos="425"/>
        </w:tabs>
        <w:adjustRightInd w:val="0"/>
        <w:snapToGrid w:val="0"/>
        <w:spacing w:line="360" w:lineRule="auto"/>
        <w:ind w:left="425"/>
        <w:jc w:val="left"/>
        <w:rPr>
          <w:rFonts w:ascii="宋体" w:hAnsi="宋体"/>
          <w:szCs w:val="21"/>
        </w:rPr>
      </w:pPr>
      <w:r>
        <w:rPr>
          <w:rFonts w:ascii="宋体" w:hAnsi="宋体"/>
          <w:szCs w:val="21"/>
        </w:rPr>
        <w:t xml:space="preserve">（1）室内方案设计、（含概算及工程量清单编制）费及室内施工图、二次机电施工图、竣工图 设计费，合并按核算审定概算的 6%为基准做折扣率报价； </w:t>
      </w:r>
    </w:p>
    <w:p>
      <w:pPr>
        <w:tabs>
          <w:tab w:val="left" w:pos="425"/>
        </w:tabs>
        <w:adjustRightInd w:val="0"/>
        <w:snapToGrid w:val="0"/>
        <w:spacing w:line="360" w:lineRule="auto"/>
        <w:ind w:left="425"/>
        <w:jc w:val="left"/>
        <w:rPr>
          <w:rFonts w:ascii="宋体" w:hAnsi="宋体"/>
          <w:szCs w:val="21"/>
        </w:rPr>
      </w:pPr>
      <w:r>
        <w:rPr>
          <w:rFonts w:ascii="宋体" w:hAnsi="宋体"/>
          <w:szCs w:val="21"/>
        </w:rPr>
        <w:t>（2）建安工程费、软硬件采购费用，按核算审定概算扣除方案设计、二次机电深化设计（含概 算及工程量清单编制）费及施工图、竣工图设计费后金额为基准，做折扣率报价；</w:t>
      </w:r>
    </w:p>
    <w:p>
      <w:pPr>
        <w:tabs>
          <w:tab w:val="left" w:pos="425"/>
        </w:tabs>
        <w:adjustRightInd w:val="0"/>
        <w:snapToGrid w:val="0"/>
        <w:spacing w:line="360" w:lineRule="auto"/>
        <w:ind w:left="425"/>
        <w:jc w:val="left"/>
        <w:rPr>
          <w:rFonts w:ascii="宋体" w:hAnsi="宋体"/>
          <w:szCs w:val="21"/>
        </w:rPr>
      </w:pPr>
      <w:r>
        <w:rPr>
          <w:rFonts w:ascii="宋体" w:hAnsi="宋体"/>
          <w:szCs w:val="21"/>
        </w:rPr>
        <w:t xml:space="preserve">（3）上述两项应当合并仅报送一个折扣率； </w:t>
      </w:r>
    </w:p>
    <w:p>
      <w:pPr>
        <w:tabs>
          <w:tab w:val="left" w:pos="425"/>
        </w:tabs>
        <w:adjustRightInd w:val="0"/>
        <w:snapToGrid w:val="0"/>
        <w:spacing w:line="360" w:lineRule="auto"/>
        <w:ind w:left="425"/>
        <w:jc w:val="left"/>
        <w:rPr>
          <w:rFonts w:ascii="宋体" w:hAnsi="宋体"/>
          <w:szCs w:val="21"/>
        </w:rPr>
      </w:pPr>
      <w:r>
        <w:rPr>
          <w:rFonts w:ascii="宋体" w:hAnsi="宋体"/>
          <w:szCs w:val="21"/>
        </w:rPr>
        <w:t xml:space="preserve">（4）投标人自主报价，折扣率在中标后固定不变； </w:t>
      </w:r>
    </w:p>
    <w:p>
      <w:pPr>
        <w:tabs>
          <w:tab w:val="left" w:pos="425"/>
        </w:tabs>
        <w:adjustRightInd w:val="0"/>
        <w:snapToGrid w:val="0"/>
        <w:spacing w:line="360" w:lineRule="auto"/>
        <w:ind w:left="425"/>
        <w:jc w:val="left"/>
        <w:rPr>
          <w:rFonts w:ascii="宋体" w:hAnsi="宋体"/>
          <w:szCs w:val="21"/>
        </w:rPr>
      </w:pPr>
      <w:r>
        <w:rPr>
          <w:rFonts w:ascii="宋体" w:hAnsi="宋体"/>
          <w:szCs w:val="21"/>
        </w:rPr>
        <w:t xml:space="preserve">（5）“折扣率”填写要求 1）填写要求：0＜折扣率≤1，未按此要求填写将作投标无效处理。 2）填写的“折扣率”应为小数，如 0.95、0.80、0.78； 3）投标人参与投标只允许填报一个“折扣率”，不允许填报 2 个（或以上）的“折扣率”； 填报了 2 个或以上“折扣率”的，其投标将直接作投标无效处理； 4）“折扣率”缺填、漏填将直接作投标无效处理。 </w:t>
      </w:r>
    </w:p>
    <w:p>
      <w:pPr>
        <w:tabs>
          <w:tab w:val="left" w:pos="425"/>
        </w:tabs>
        <w:adjustRightInd w:val="0"/>
        <w:snapToGrid w:val="0"/>
        <w:spacing w:line="360" w:lineRule="auto"/>
        <w:ind w:left="425"/>
        <w:jc w:val="left"/>
        <w:rPr>
          <w:rFonts w:ascii="宋体" w:hAnsi="宋体"/>
          <w:szCs w:val="21"/>
        </w:rPr>
      </w:pPr>
      <w:r>
        <w:rPr>
          <w:rFonts w:ascii="宋体" w:hAnsi="宋体"/>
          <w:szCs w:val="21"/>
        </w:rPr>
        <w:t>4.7.2.工程量清单不再重复或概括工程及材料的一般说明，在编制和填写工程量清单的每一项的综合单价和合价时应参考招标文件中的有关条款。</w:t>
      </w:r>
    </w:p>
    <w:p>
      <w:pPr>
        <w:tabs>
          <w:tab w:val="left" w:pos="425"/>
        </w:tabs>
        <w:adjustRightInd w:val="0"/>
        <w:snapToGrid w:val="0"/>
        <w:spacing w:line="360" w:lineRule="auto"/>
        <w:ind w:left="425"/>
        <w:jc w:val="left"/>
        <w:rPr>
          <w:rFonts w:ascii="宋体" w:hAnsi="宋体"/>
          <w:szCs w:val="21"/>
        </w:rPr>
      </w:pPr>
      <w:r>
        <w:rPr>
          <w:rFonts w:ascii="宋体" w:hAnsi="宋体"/>
          <w:szCs w:val="21"/>
        </w:rPr>
        <w:t xml:space="preserve">4.7.3.除涉及重大工程变更外，总价、单价均以中标价为准，不予调整。 </w:t>
      </w:r>
    </w:p>
    <w:p>
      <w:pPr>
        <w:tabs>
          <w:tab w:val="left" w:pos="425"/>
        </w:tabs>
        <w:adjustRightInd w:val="0"/>
        <w:snapToGrid w:val="0"/>
        <w:spacing w:line="360" w:lineRule="auto"/>
        <w:ind w:left="425"/>
        <w:jc w:val="left"/>
        <w:rPr>
          <w:rFonts w:ascii="宋体" w:hAnsi="宋体"/>
          <w:szCs w:val="21"/>
        </w:rPr>
      </w:pPr>
      <w:r>
        <w:rPr>
          <w:rFonts w:ascii="宋体" w:hAnsi="宋体"/>
          <w:szCs w:val="21"/>
        </w:rPr>
        <w:t>4.7.4.投标人不得低于企业自身成本竞投，评标委员会认为投标人的报价明显低于其他通过符合性审查 投标人的报价，有可能影响产品质量或者不能诚信履约的，应当要求其在评标现场合理的时间内 提供书面说明，必要时提交相关证明材料，投标人不能证明其报价合理性的，评标委员会应当将 其作为无效投标处理</w:t>
      </w:r>
    </w:p>
    <w:p>
      <w:pPr>
        <w:tabs>
          <w:tab w:val="left" w:pos="425"/>
        </w:tabs>
        <w:adjustRightInd w:val="0"/>
        <w:snapToGrid w:val="0"/>
        <w:spacing w:line="360" w:lineRule="auto"/>
        <w:ind w:left="425"/>
        <w:jc w:val="left"/>
        <w:rPr>
          <w:rFonts w:ascii="宋体" w:hAnsi="宋体" w:cs="宋体"/>
          <w:szCs w:val="21"/>
        </w:rPr>
      </w:pPr>
      <w:r>
        <w:rPr>
          <w:rFonts w:ascii="宋体" w:hAnsi="宋体"/>
          <w:szCs w:val="21"/>
        </w:rPr>
        <w:t>4.7.5</w:t>
      </w:r>
      <w:r>
        <w:rPr>
          <w:rFonts w:hint="eastAsia" w:ascii="宋体" w:hAnsi="宋体" w:cs="宋体"/>
          <w:szCs w:val="21"/>
        </w:rPr>
        <w:t>投标人应根据本企业的成本自行决定报价，但不得以低于其企业成本的报价竞标；</w:t>
      </w:r>
    </w:p>
    <w:p>
      <w:pPr>
        <w:tabs>
          <w:tab w:val="left" w:pos="425"/>
        </w:tabs>
        <w:adjustRightInd w:val="0"/>
        <w:snapToGrid w:val="0"/>
        <w:spacing w:line="360" w:lineRule="auto"/>
        <w:ind w:left="425"/>
        <w:jc w:val="left"/>
        <w:rPr>
          <w:rFonts w:ascii="宋体" w:hAnsi="宋体" w:cs="宋体"/>
          <w:szCs w:val="21"/>
        </w:rPr>
      </w:pPr>
      <w:r>
        <w:rPr>
          <w:rFonts w:ascii="宋体" w:hAnsi="宋体"/>
          <w:szCs w:val="21"/>
        </w:rPr>
        <w:t>4.7.6</w:t>
      </w:r>
      <w:r>
        <w:rPr>
          <w:rFonts w:hint="eastAsia" w:ascii="宋体" w:hAnsi="宋体" w:cs="宋体"/>
          <w:szCs w:val="21"/>
        </w:rPr>
        <w:t>本项目控制金额为人民币元，超出该预算控制金额的投标报价将导致其无效投标；</w:t>
      </w:r>
    </w:p>
    <w:p>
      <w:pPr>
        <w:tabs>
          <w:tab w:val="left" w:pos="425"/>
        </w:tabs>
        <w:adjustRightInd w:val="0"/>
        <w:snapToGrid w:val="0"/>
        <w:spacing w:line="360" w:lineRule="auto"/>
        <w:ind w:left="425"/>
        <w:jc w:val="left"/>
        <w:rPr>
          <w:rFonts w:ascii="宋体" w:hAnsi="宋体" w:cs="宋体"/>
          <w:szCs w:val="21"/>
        </w:rPr>
      </w:pPr>
      <w:r>
        <w:rPr>
          <w:rFonts w:ascii="宋体" w:hAnsi="宋体"/>
          <w:szCs w:val="21"/>
        </w:rPr>
        <w:t>4.7.7</w:t>
      </w:r>
      <w:r>
        <w:rPr>
          <w:rFonts w:hint="eastAsia" w:ascii="宋体" w:hAnsi="宋体" w:cs="宋体"/>
          <w:szCs w:val="21"/>
        </w:rPr>
        <w:t>投标人的投标报价，应是本项目招标范围和招标文件及合同条款上所列的各项内容中所述的全部，不得以任何理由予以重复，并以投标人在工程报价单中提出的综合单价或总价为依据；</w:t>
      </w:r>
    </w:p>
    <w:p>
      <w:pPr>
        <w:tabs>
          <w:tab w:val="left" w:pos="425"/>
        </w:tabs>
        <w:adjustRightInd w:val="0"/>
        <w:snapToGrid w:val="0"/>
        <w:spacing w:line="360" w:lineRule="auto"/>
        <w:ind w:left="425"/>
        <w:jc w:val="left"/>
        <w:rPr>
          <w:rFonts w:ascii="宋体" w:hAnsi="宋体" w:cs="宋体"/>
          <w:szCs w:val="21"/>
        </w:rPr>
      </w:pPr>
      <w:r>
        <w:rPr>
          <w:rFonts w:ascii="宋体" w:hAnsi="宋体"/>
          <w:szCs w:val="21"/>
        </w:rPr>
        <w:t>4.7.8</w:t>
      </w:r>
      <w:r>
        <w:rPr>
          <w:rFonts w:hint="eastAsia" w:ascii="宋体" w:hAnsi="宋体" w:cs="宋体"/>
          <w:szCs w:val="21"/>
        </w:rPr>
        <w:t>除非采购人或采购代理机构通过修改招标文件予以更正，否则，投标人应毫无例外地按工程报价单中列出的工程项目和数量填报综合单价和合价。投标人未填综合单价或合价的项目，在实施后，将不得以支付，并视作该项费用已包括在其它有价款的综合单价或合价内；</w:t>
      </w:r>
    </w:p>
    <w:p>
      <w:pPr>
        <w:tabs>
          <w:tab w:val="left" w:pos="425"/>
        </w:tabs>
        <w:adjustRightInd w:val="0"/>
        <w:snapToGrid w:val="0"/>
        <w:spacing w:line="360" w:lineRule="auto"/>
        <w:ind w:left="425"/>
        <w:jc w:val="left"/>
        <w:rPr>
          <w:rFonts w:ascii="宋体" w:hAnsi="宋体" w:cs="宋体"/>
          <w:szCs w:val="21"/>
        </w:rPr>
      </w:pPr>
      <w:r>
        <w:rPr>
          <w:rFonts w:ascii="宋体" w:hAnsi="宋体"/>
          <w:szCs w:val="21"/>
        </w:rPr>
        <w:t>4.7.9</w:t>
      </w:r>
      <w:r>
        <w:rPr>
          <w:rFonts w:hint="eastAsia" w:ascii="宋体" w:hAnsi="宋体" w:cs="宋体"/>
          <w:szCs w:val="21"/>
        </w:rPr>
        <w:t>投标人应先到工地踏勘以充分了解工地的位置、情况、道路、储存空间、装卸限制及任何其它足以影响投标报价的情况，任何因忽视或误解工地情况而导致的索赔或工期延长申请将不获批准；</w:t>
      </w:r>
    </w:p>
    <w:p>
      <w:pPr>
        <w:tabs>
          <w:tab w:val="left" w:pos="425"/>
        </w:tabs>
        <w:adjustRightInd w:val="0"/>
        <w:snapToGrid w:val="0"/>
        <w:spacing w:line="360" w:lineRule="auto"/>
        <w:ind w:left="425"/>
        <w:jc w:val="left"/>
        <w:rPr>
          <w:rFonts w:ascii="宋体" w:hAnsi="宋体" w:cs="宋体"/>
          <w:szCs w:val="21"/>
        </w:rPr>
      </w:pPr>
      <w:r>
        <w:rPr>
          <w:rFonts w:ascii="宋体" w:hAnsi="宋体"/>
          <w:szCs w:val="21"/>
        </w:rPr>
        <w:t>4.7.10</w:t>
      </w:r>
      <w:r>
        <w:rPr>
          <w:rFonts w:hint="eastAsia" w:ascii="宋体" w:hAnsi="宋体" w:cs="宋体"/>
          <w:szCs w:val="21"/>
        </w:rPr>
        <w:t>投标人不得期望通过索赔、签证等方式获取补偿，否则，除可能遭到拒绝外，还可能将被作为不良行为记录在案，并可能影响其以后参加政府采购的项目投标。各投标人在投标报价时，应充分考虑投标报价的风险。</w:t>
      </w:r>
    </w:p>
    <w:p>
      <w:pPr>
        <w:tabs>
          <w:tab w:val="left" w:pos="425"/>
        </w:tabs>
        <w:adjustRightInd w:val="0"/>
        <w:snapToGrid w:val="0"/>
        <w:spacing w:line="360" w:lineRule="auto"/>
        <w:ind w:firstLine="420" w:firstLineChars="200"/>
        <w:jc w:val="left"/>
        <w:rPr>
          <w:rFonts w:ascii="宋体" w:hAnsi="宋体" w:cs="宋体"/>
          <w:szCs w:val="21"/>
        </w:rPr>
      </w:pPr>
      <w:r>
        <w:rPr>
          <w:rFonts w:ascii="宋体" w:hAnsi="宋体"/>
          <w:szCs w:val="21"/>
        </w:rPr>
        <w:t>4.7.11</w:t>
      </w:r>
      <w:r>
        <w:rPr>
          <w:rFonts w:hint="eastAsia" w:ascii="宋体" w:hAnsi="宋体" w:cs="宋体"/>
          <w:szCs w:val="21"/>
        </w:rPr>
        <w:t>中标人投标总价即为中标人与采购人签订该项目合同的总价。</w:t>
      </w:r>
    </w:p>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本项目采用总价包干。对没有填写综合单价与合价的项目费用，应视为已包括在工程报价单的其他综合单价与合价之中。如有工程报价单未包含特征描述内容的漏项，视同已包含在其他项目中，综合单价不予调整。</w:t>
      </w:r>
    </w:p>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投标人的投标报价必须充分考虑到在施工中实施的施工组织设计对工程造价的影响,并在投标报价中反映出来。</w:t>
      </w:r>
    </w:p>
    <w:p>
      <w:pPr>
        <w:tabs>
          <w:tab w:val="left" w:pos="425"/>
        </w:tabs>
        <w:adjustRightInd w:val="0"/>
        <w:snapToGrid w:val="0"/>
        <w:spacing w:line="360" w:lineRule="auto"/>
        <w:ind w:left="425"/>
        <w:jc w:val="left"/>
        <w:rPr>
          <w:rFonts w:ascii="宋体" w:hAnsi="宋体" w:cs="宋体"/>
          <w:szCs w:val="21"/>
        </w:rPr>
      </w:pPr>
      <w:r>
        <w:rPr>
          <w:rFonts w:ascii="宋体" w:hAnsi="宋体" w:cs="宋体"/>
          <w:szCs w:val="21"/>
        </w:rPr>
        <w:t>4.7.12</w:t>
      </w:r>
      <w:r>
        <w:rPr>
          <w:rFonts w:hint="eastAsia" w:ascii="宋体" w:hAnsi="宋体" w:cs="宋体"/>
          <w:szCs w:val="21"/>
        </w:rPr>
        <w:t>采购人委托中标人办理的保险事项：建设工程一切险和第三者责任险，所需的保险费应包含在投标价中，施工中若发生安全事故，一切责任及费用由中标人负责。</w:t>
      </w:r>
    </w:p>
    <w:p>
      <w:pPr>
        <w:tabs>
          <w:tab w:val="left" w:pos="425"/>
        </w:tabs>
        <w:adjustRightInd w:val="0"/>
        <w:snapToGrid w:val="0"/>
        <w:spacing w:line="360" w:lineRule="auto"/>
        <w:ind w:left="425"/>
        <w:jc w:val="left"/>
        <w:rPr>
          <w:rFonts w:ascii="宋体" w:hAnsi="宋体" w:cs="宋体"/>
          <w:szCs w:val="21"/>
        </w:rPr>
      </w:pPr>
      <w:r>
        <w:rPr>
          <w:rFonts w:ascii="宋体" w:hAnsi="宋体" w:cs="宋体"/>
          <w:szCs w:val="21"/>
        </w:rPr>
        <w:t>4.7.13</w:t>
      </w:r>
      <w:r>
        <w:rPr>
          <w:rFonts w:hint="eastAsia" w:ascii="宋体" w:hAnsi="宋体" w:cs="宋体"/>
          <w:szCs w:val="21"/>
        </w:rPr>
        <w:t>工程完工后，中标人应恢复修建前的原有状态（工程量按实计算），并使甲方代表和采购人满意，满足政府管理部门的规定和要求。</w:t>
      </w:r>
    </w:p>
    <w:p>
      <w:pPr>
        <w:tabs>
          <w:tab w:val="left" w:pos="425"/>
        </w:tabs>
        <w:adjustRightInd w:val="0"/>
        <w:snapToGrid w:val="0"/>
        <w:spacing w:line="360" w:lineRule="auto"/>
        <w:ind w:left="425"/>
        <w:jc w:val="left"/>
        <w:rPr>
          <w:rFonts w:ascii="宋体" w:hAnsi="宋体" w:cs="宋体"/>
          <w:szCs w:val="21"/>
        </w:rPr>
      </w:pPr>
      <w:r>
        <w:rPr>
          <w:rFonts w:ascii="宋体" w:hAnsi="宋体" w:cs="宋体"/>
          <w:szCs w:val="21"/>
        </w:rPr>
        <w:t>4.7.14</w:t>
      </w:r>
      <w:r>
        <w:rPr>
          <w:rFonts w:hint="eastAsia" w:ascii="宋体" w:hAnsi="宋体" w:cs="宋体"/>
          <w:szCs w:val="21"/>
        </w:rPr>
        <w:t>如本工程涉及取土和弃土项目，地点、时间、路线中标人应取得国土、城管部门的同意，不得由此带给采购人任何费用的增加。凡是因中标人措施不当而引起的罚款、索赔和指控等由中标人自行承担。投标价不因取土或弃土实际运距与分部分项工程报价单不同而作调整。土方回填料必须满足国家技术规范之要求，绿化填土面层必须选用适宜种植的填土。</w:t>
      </w:r>
    </w:p>
    <w:p>
      <w:pPr>
        <w:tabs>
          <w:tab w:val="left" w:pos="425"/>
        </w:tabs>
        <w:adjustRightInd w:val="0"/>
        <w:snapToGrid w:val="0"/>
        <w:spacing w:line="360" w:lineRule="auto"/>
        <w:ind w:left="425"/>
        <w:jc w:val="left"/>
        <w:rPr>
          <w:rFonts w:ascii="宋体" w:hAnsi="宋体" w:cs="宋体"/>
          <w:szCs w:val="21"/>
        </w:rPr>
      </w:pPr>
      <w:r>
        <w:rPr>
          <w:rFonts w:hint="eastAsia" w:ascii="宋体" w:hAnsi="宋体" w:cs="宋体"/>
          <w:szCs w:val="21"/>
        </w:rPr>
        <w:t>4</w:t>
      </w:r>
      <w:r>
        <w:rPr>
          <w:rFonts w:ascii="宋体" w:hAnsi="宋体" w:cs="宋体"/>
          <w:szCs w:val="21"/>
        </w:rPr>
        <w:t>.7.15</w:t>
      </w:r>
      <w:r>
        <w:rPr>
          <w:rFonts w:hint="eastAsia" w:ascii="宋体" w:hAnsi="宋体" w:cs="宋体"/>
          <w:szCs w:val="21"/>
        </w:rPr>
        <w:t>中标人的交通维护方案必须保证施工期间的交通组织符合深圳市公安交通管理的有关规定，保证车辆运行通畅和施工安全，其费用已含在投标价中。</w:t>
      </w:r>
    </w:p>
    <w:p>
      <w:pPr>
        <w:jc w:val="left"/>
        <w:rPr>
          <w:rFonts w:ascii="宋体" w:hAnsi="宋体"/>
          <w:szCs w:val="21"/>
        </w:rPr>
      </w:pPr>
    </w:p>
    <w:p>
      <w:pPr>
        <w:ind w:firstLine="420" w:firstLineChars="200"/>
        <w:jc w:val="left"/>
        <w:rPr>
          <w:rFonts w:ascii="宋体" w:hAnsi="宋体"/>
          <w:szCs w:val="21"/>
        </w:rPr>
      </w:pPr>
      <w:r>
        <w:rPr>
          <w:rFonts w:ascii="宋体" w:hAnsi="宋体"/>
          <w:szCs w:val="21"/>
        </w:rPr>
        <w:br w:type="page"/>
      </w:r>
    </w:p>
    <w:p>
      <w:pPr>
        <w:tabs>
          <w:tab w:val="left" w:pos="5559"/>
        </w:tabs>
        <w:ind w:leftChars="-135" w:hanging="282" w:hangingChars="101"/>
        <w:rPr>
          <w:rFonts w:ascii="宋体" w:hAnsi="宋体"/>
          <w:bCs/>
          <w:sz w:val="28"/>
          <w:szCs w:val="28"/>
        </w:rPr>
      </w:pPr>
      <w:r>
        <w:rPr>
          <w:rFonts w:hint="eastAsia" w:ascii="宋体" w:hAnsi="宋体"/>
          <w:bCs/>
          <w:sz w:val="28"/>
          <w:szCs w:val="28"/>
        </w:rPr>
        <w:t>附件1：</w:t>
      </w:r>
    </w:p>
    <w:p>
      <w:pPr>
        <w:widowControl/>
        <w:tabs>
          <w:tab w:val="left" w:pos="0"/>
        </w:tabs>
        <w:autoSpaceDE w:val="0"/>
        <w:autoSpaceDN w:val="0"/>
        <w:spacing w:line="240" w:lineRule="auto"/>
        <w:ind w:right="893"/>
        <w:textAlignment w:val="bottom"/>
        <w:rPr>
          <w:rFonts w:ascii="宋体" w:hAnsi="宋体" w:cs="宋体"/>
          <w:b/>
          <w:bCs/>
          <w:szCs w:val="21"/>
        </w:rPr>
      </w:pPr>
    </w:p>
    <w:p>
      <w:pPr>
        <w:spacing w:line="240" w:lineRule="auto"/>
        <w:jc w:val="center"/>
        <w:rPr>
          <w:rFonts w:ascii="宋体" w:hAnsi="宋体"/>
          <w:b/>
          <w:bCs/>
          <w:szCs w:val="21"/>
        </w:rPr>
      </w:pPr>
      <w:r>
        <w:rPr>
          <w:rFonts w:hint="eastAsia" w:ascii="宋体" w:hAnsi="宋体"/>
          <w:b/>
          <w:bCs/>
          <w:szCs w:val="21"/>
        </w:rPr>
        <w:t>政府采购投标及履约承诺函</w:t>
      </w:r>
    </w:p>
    <w:p>
      <w:pPr>
        <w:spacing w:line="240" w:lineRule="auto"/>
        <w:rPr>
          <w:rFonts w:ascii="宋体" w:hAnsi="宋体"/>
          <w:szCs w:val="21"/>
        </w:rPr>
      </w:pPr>
      <w:r>
        <w:rPr>
          <w:rFonts w:hint="eastAsia" w:ascii="宋体" w:hAnsi="宋体"/>
          <w:szCs w:val="21"/>
        </w:rPr>
        <w:t>深圳市规划国土发展研究中心：</w:t>
      </w:r>
    </w:p>
    <w:p>
      <w:pPr>
        <w:spacing w:line="240" w:lineRule="auto"/>
        <w:ind w:firstLine="420" w:firstLineChars="200"/>
        <w:rPr>
          <w:rFonts w:ascii="宋体" w:hAnsi="宋体" w:cs="宋体"/>
          <w:szCs w:val="21"/>
        </w:rPr>
      </w:pPr>
      <w:r>
        <w:rPr>
          <w:rFonts w:hint="eastAsia" w:ascii="宋体" w:hAnsi="宋体" w:cs="宋体"/>
          <w:szCs w:val="21"/>
        </w:rPr>
        <w:t>我单位深知本项目对贵单位的重要性和紧迫性，亦了解贵单位对廉政建设的相关要求，因此我单位承诺如下：</w:t>
      </w:r>
    </w:p>
    <w:p>
      <w:pPr>
        <w:spacing w:line="240" w:lineRule="auto"/>
        <w:ind w:firstLine="420" w:firstLineChars="200"/>
        <w:rPr>
          <w:rFonts w:ascii="宋体" w:hAnsi="宋体" w:cs="宋体"/>
          <w:szCs w:val="21"/>
        </w:rPr>
      </w:pPr>
      <w:r>
        <w:rPr>
          <w:rFonts w:hint="eastAsia" w:ascii="宋体" w:hAnsi="宋体" w:cs="宋体"/>
          <w:szCs w:val="21"/>
        </w:rPr>
        <w:t>1.我单位本招标项目所提供的货物或服务未侵犯知识产权。</w:t>
      </w:r>
    </w:p>
    <w:p>
      <w:pPr>
        <w:spacing w:line="240" w:lineRule="auto"/>
        <w:ind w:firstLine="420" w:firstLineChars="200"/>
        <w:rPr>
          <w:rFonts w:ascii="宋体" w:hAnsi="宋体"/>
          <w:szCs w:val="21"/>
        </w:rPr>
      </w:pPr>
      <w:r>
        <w:rPr>
          <w:rFonts w:hint="eastAsia" w:ascii="宋体" w:hAnsi="宋体"/>
          <w:szCs w:val="21"/>
        </w:rPr>
        <w:t>2.我单位参与本项目投标前三年内，在经营活动中没有违法记录。</w:t>
      </w:r>
    </w:p>
    <w:p>
      <w:pPr>
        <w:spacing w:line="240" w:lineRule="auto"/>
        <w:ind w:firstLine="420" w:firstLineChars="200"/>
        <w:rPr>
          <w:rFonts w:ascii="宋体" w:hAnsi="宋体"/>
          <w:szCs w:val="21"/>
        </w:rPr>
      </w:pPr>
      <w:r>
        <w:rPr>
          <w:rFonts w:hint="eastAsia" w:ascii="宋体" w:hAnsi="宋体"/>
          <w:szCs w:val="21"/>
        </w:rPr>
        <w:t>3.我单位参与本项目政府采购活动时不存在被有关部门禁止参与政府采购活动且在有效期内的情况。</w:t>
      </w:r>
    </w:p>
    <w:p>
      <w:pPr>
        <w:spacing w:line="240" w:lineRule="auto"/>
        <w:ind w:firstLine="420" w:firstLineChars="200"/>
        <w:rPr>
          <w:rFonts w:ascii="宋体" w:hAnsi="宋体"/>
          <w:szCs w:val="21"/>
        </w:rPr>
      </w:pPr>
      <w:r>
        <w:rPr>
          <w:rFonts w:hint="eastAsia" w:ascii="宋体" w:hAnsi="宋体"/>
          <w:szCs w:val="21"/>
        </w:rPr>
        <w:t>4.我单位具备《中华人民共和国政府采购法》第二十二条第一款的条件。</w:t>
      </w:r>
    </w:p>
    <w:p>
      <w:pPr>
        <w:spacing w:line="240" w:lineRule="auto"/>
        <w:ind w:firstLine="420" w:firstLineChars="200"/>
        <w:rPr>
          <w:rFonts w:ascii="宋体" w:hAnsi="宋体"/>
          <w:szCs w:val="21"/>
        </w:rPr>
      </w:pPr>
      <w:r>
        <w:rPr>
          <w:rFonts w:hint="eastAsia" w:ascii="宋体" w:hAnsi="宋体"/>
          <w:szCs w:val="21"/>
        </w:rPr>
        <w:t>5.我单位未被列入失信被执行人、税收违法案件当事人名单、政府采购严重违法失信行为记录名单。</w:t>
      </w:r>
    </w:p>
    <w:p>
      <w:pPr>
        <w:spacing w:line="240" w:lineRule="auto"/>
        <w:ind w:firstLine="420" w:firstLineChars="200"/>
        <w:rPr>
          <w:rFonts w:ascii="宋体" w:hAnsi="宋体"/>
          <w:szCs w:val="21"/>
        </w:rPr>
      </w:pPr>
      <w:r>
        <w:rPr>
          <w:rFonts w:hint="eastAsia" w:ascii="宋体" w:hAnsi="宋体"/>
          <w:szCs w:val="21"/>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240" w:lineRule="auto"/>
        <w:ind w:firstLine="420" w:firstLineChars="200"/>
        <w:rPr>
          <w:rFonts w:ascii="宋体" w:hAnsi="宋体"/>
          <w:szCs w:val="21"/>
        </w:rPr>
      </w:pPr>
      <w:r>
        <w:rPr>
          <w:rFonts w:hint="eastAsia" w:ascii="宋体" w:hAnsi="宋体"/>
          <w:szCs w:val="21"/>
        </w:rPr>
        <w:t>7.我单位如果中标，做到诚实守信，依照本项目招标文件需求内容、签署的采购合同及本单位在投标中所作的一切承诺履约。</w:t>
      </w:r>
    </w:p>
    <w:p>
      <w:pPr>
        <w:spacing w:line="240" w:lineRule="auto"/>
        <w:ind w:firstLine="420" w:firstLineChars="200"/>
        <w:rPr>
          <w:rFonts w:ascii="宋体" w:hAnsi="宋体"/>
          <w:szCs w:val="21"/>
        </w:rPr>
      </w:pPr>
      <w:r>
        <w:rPr>
          <w:rFonts w:hint="eastAsia" w:ascii="宋体" w:hAnsi="宋体"/>
          <w:szCs w:val="21"/>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240" w:lineRule="auto"/>
        <w:ind w:firstLine="420" w:firstLineChars="200"/>
        <w:rPr>
          <w:rFonts w:ascii="宋体" w:hAnsi="宋体"/>
          <w:szCs w:val="21"/>
        </w:rPr>
      </w:pPr>
      <w:r>
        <w:rPr>
          <w:rFonts w:hint="eastAsia" w:ascii="宋体" w:hAnsi="宋体"/>
          <w:szCs w:val="21"/>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240" w:lineRule="auto"/>
        <w:ind w:firstLine="420" w:firstLineChars="200"/>
        <w:rPr>
          <w:rFonts w:ascii="宋体" w:hAnsi="宋体"/>
          <w:szCs w:val="21"/>
        </w:rPr>
      </w:pPr>
      <w:r>
        <w:rPr>
          <w:rFonts w:hint="eastAsia" w:ascii="宋体" w:hAnsi="宋体"/>
          <w:szCs w:val="21"/>
        </w:rPr>
        <w:t>10.我单位承诺不非法转包、分包。</w:t>
      </w:r>
    </w:p>
    <w:p>
      <w:pPr>
        <w:spacing w:line="240" w:lineRule="auto"/>
        <w:ind w:firstLine="420" w:firstLineChars="200"/>
        <w:rPr>
          <w:rFonts w:ascii="宋体" w:hAnsi="宋体"/>
          <w:szCs w:val="21"/>
        </w:rPr>
      </w:pPr>
      <w:r>
        <w:rPr>
          <w:rFonts w:hint="eastAsia" w:ascii="宋体" w:hAnsi="宋体"/>
          <w:szCs w:val="21"/>
        </w:rPr>
        <w:t>11.我单位承诺未参与本项目的采购需求、技术指标、商务指标等内容的设定，不存在对其他投标单位不公平的行为。</w:t>
      </w:r>
    </w:p>
    <w:p>
      <w:pPr>
        <w:spacing w:line="240" w:lineRule="auto"/>
        <w:ind w:firstLine="420" w:firstLineChars="200"/>
        <w:rPr>
          <w:rFonts w:ascii="宋体" w:hAnsi="宋体"/>
          <w:szCs w:val="21"/>
        </w:rPr>
      </w:pPr>
      <w:r>
        <w:rPr>
          <w:rFonts w:hint="eastAsia" w:ascii="宋体" w:hAnsi="宋体"/>
          <w:szCs w:val="21"/>
        </w:rPr>
        <w:t>11.我单位承诺不对采购人进行贿赂，进行有偿报答。</w:t>
      </w:r>
    </w:p>
    <w:p>
      <w:pPr>
        <w:spacing w:line="240" w:lineRule="auto"/>
        <w:ind w:firstLine="420" w:firstLineChars="200"/>
        <w:rPr>
          <w:rFonts w:ascii="宋体" w:hAnsi="宋体"/>
          <w:szCs w:val="21"/>
        </w:rPr>
      </w:pPr>
      <w:r>
        <w:rPr>
          <w:rFonts w:hint="eastAsia" w:ascii="宋体" w:hAnsi="宋体"/>
          <w:szCs w:val="21"/>
        </w:rPr>
        <w:t>12.我单位承诺不对采购人进行任何形式的利益输送。</w:t>
      </w:r>
    </w:p>
    <w:p>
      <w:pPr>
        <w:spacing w:line="240" w:lineRule="auto"/>
        <w:ind w:firstLine="420" w:firstLineChars="200"/>
        <w:rPr>
          <w:rFonts w:ascii="宋体" w:hAnsi="宋体"/>
          <w:szCs w:val="21"/>
        </w:rPr>
      </w:pPr>
      <w:r>
        <w:rPr>
          <w:rFonts w:hint="eastAsia" w:ascii="宋体" w:hAnsi="宋体"/>
          <w:szCs w:val="21"/>
        </w:rPr>
        <w:t>13.我单位承诺不对采购人进行宴请和娱乐等消费活动。</w:t>
      </w:r>
    </w:p>
    <w:p>
      <w:pPr>
        <w:spacing w:line="240" w:lineRule="auto"/>
        <w:ind w:firstLine="420" w:firstLineChars="200"/>
        <w:rPr>
          <w:rFonts w:ascii="宋体" w:hAnsi="宋体"/>
          <w:szCs w:val="21"/>
        </w:rPr>
      </w:pPr>
      <w:r>
        <w:rPr>
          <w:rFonts w:hint="eastAsia" w:ascii="宋体" w:hAnsi="宋体"/>
          <w:szCs w:val="21"/>
        </w:rPr>
        <w:t>14.我单位承诺不对采购人进行赠送各种礼品、现金、有价证券、中介费、好处费等行为。</w:t>
      </w:r>
    </w:p>
    <w:p>
      <w:pPr>
        <w:spacing w:line="240" w:lineRule="auto"/>
        <w:ind w:firstLine="420" w:firstLineChars="200"/>
        <w:rPr>
          <w:rFonts w:ascii="宋体" w:hAnsi="宋体" w:cs="宋体"/>
          <w:szCs w:val="21"/>
        </w:rPr>
      </w:pPr>
      <w:r>
        <w:rPr>
          <w:rFonts w:hint="eastAsia" w:ascii="宋体" w:hAnsi="宋体" w:cs="宋体"/>
          <w:szCs w:val="21"/>
        </w:rPr>
        <w:t>以上承诺，如有违反，愿依照国家相关法律处理，并承担由此给采购人带来的损失。</w:t>
      </w:r>
    </w:p>
    <w:p>
      <w:pPr>
        <w:tabs>
          <w:tab w:val="left" w:pos="4860"/>
        </w:tabs>
        <w:adjustRightInd w:val="0"/>
        <w:snapToGrid w:val="0"/>
        <w:spacing w:line="240" w:lineRule="auto"/>
        <w:ind w:right="105" w:rightChars="50" w:firstLine="210" w:firstLineChars="100"/>
        <w:rPr>
          <w:rFonts w:ascii="宋体" w:hAnsi="宋体"/>
          <w:szCs w:val="21"/>
        </w:rPr>
      </w:pPr>
    </w:p>
    <w:p>
      <w:pPr>
        <w:tabs>
          <w:tab w:val="left" w:pos="4860"/>
        </w:tabs>
        <w:adjustRightInd w:val="0"/>
        <w:snapToGrid w:val="0"/>
        <w:spacing w:line="240" w:lineRule="auto"/>
        <w:ind w:right="105" w:rightChars="50" w:firstLine="210" w:firstLineChars="100"/>
        <w:rPr>
          <w:rFonts w:ascii="宋体" w:hAnsi="宋体"/>
          <w:szCs w:val="21"/>
        </w:rPr>
      </w:pPr>
      <w:r>
        <w:rPr>
          <w:rFonts w:hint="eastAsia" w:ascii="宋体" w:hAnsi="宋体"/>
          <w:szCs w:val="21"/>
        </w:rPr>
        <w:t>法定代表人或授权代表（签字）：                  供应商（盖章）：</w:t>
      </w:r>
    </w:p>
    <w:p>
      <w:pPr>
        <w:tabs>
          <w:tab w:val="left" w:pos="4860"/>
        </w:tabs>
        <w:adjustRightInd w:val="0"/>
        <w:snapToGrid w:val="0"/>
        <w:spacing w:line="240" w:lineRule="auto"/>
        <w:ind w:right="105" w:rightChars="50" w:firstLine="210" w:firstLineChars="100"/>
        <w:rPr>
          <w:rFonts w:ascii="宋体" w:hAnsi="宋体"/>
          <w:szCs w:val="21"/>
        </w:rPr>
      </w:pPr>
      <w:r>
        <w:rPr>
          <w:rFonts w:hint="eastAsia" w:ascii="宋体" w:hAnsi="宋体"/>
          <w:szCs w:val="21"/>
        </w:rPr>
        <w:t>日期：   年  月  日                             日期：   年  月   日</w:t>
      </w:r>
    </w:p>
    <w:p>
      <w:pPr>
        <w:tabs>
          <w:tab w:val="left" w:pos="4860"/>
        </w:tabs>
        <w:adjustRightInd w:val="0"/>
        <w:snapToGrid w:val="0"/>
        <w:spacing w:line="360" w:lineRule="auto"/>
        <w:ind w:right="105" w:rightChars="50" w:firstLine="210" w:firstLineChars="100"/>
        <w:rPr>
          <w:rFonts w:ascii="宋体" w:hAnsi="宋体"/>
          <w:szCs w:val="21"/>
        </w:rPr>
      </w:pPr>
    </w:p>
    <w:p>
      <w:pPr>
        <w:tabs>
          <w:tab w:val="left" w:pos="4860"/>
        </w:tabs>
        <w:adjustRightInd w:val="0"/>
        <w:snapToGrid w:val="0"/>
        <w:spacing w:line="360" w:lineRule="auto"/>
        <w:ind w:right="105" w:rightChars="50" w:firstLine="210" w:firstLineChars="100"/>
        <w:rPr>
          <w:rFonts w:ascii="宋体" w:hAnsi="宋体"/>
          <w:szCs w:val="21"/>
        </w:rPr>
      </w:pPr>
    </w:p>
    <w:p>
      <w:pPr>
        <w:tabs>
          <w:tab w:val="left" w:pos="4860"/>
        </w:tabs>
        <w:adjustRightInd w:val="0"/>
        <w:snapToGrid w:val="0"/>
        <w:spacing w:line="360" w:lineRule="auto"/>
        <w:ind w:right="105" w:rightChars="50" w:firstLine="210" w:firstLineChars="100"/>
        <w:rPr>
          <w:rFonts w:ascii="宋体" w:hAnsi="宋体"/>
          <w:szCs w:val="21"/>
        </w:rPr>
      </w:pPr>
    </w:p>
    <w:p>
      <w:pPr>
        <w:tabs>
          <w:tab w:val="left" w:pos="5559"/>
        </w:tabs>
        <w:ind w:leftChars="-135" w:hanging="282" w:hangingChars="101"/>
        <w:rPr>
          <w:rFonts w:ascii="宋体" w:hAnsi="宋体"/>
          <w:bCs/>
          <w:sz w:val="28"/>
          <w:szCs w:val="28"/>
        </w:rPr>
      </w:pPr>
    </w:p>
    <w:p>
      <w:pPr>
        <w:tabs>
          <w:tab w:val="left" w:pos="5559"/>
        </w:tabs>
        <w:ind w:leftChars="-135" w:hanging="282" w:hangingChars="101"/>
        <w:rPr>
          <w:rFonts w:ascii="宋体" w:hAnsi="宋体"/>
          <w:bCs/>
          <w:sz w:val="28"/>
          <w:szCs w:val="28"/>
        </w:rPr>
      </w:pPr>
    </w:p>
    <w:p>
      <w:pPr>
        <w:tabs>
          <w:tab w:val="left" w:pos="5559"/>
        </w:tabs>
        <w:ind w:leftChars="-135" w:hanging="282" w:hangingChars="101"/>
        <w:rPr>
          <w:rFonts w:ascii="宋体" w:hAnsi="宋体"/>
          <w:bCs/>
          <w:sz w:val="28"/>
          <w:szCs w:val="28"/>
        </w:rPr>
      </w:pPr>
    </w:p>
    <w:p>
      <w:pPr>
        <w:tabs>
          <w:tab w:val="left" w:pos="5559"/>
        </w:tabs>
        <w:ind w:leftChars="-135" w:hanging="282" w:hangingChars="101"/>
        <w:rPr>
          <w:rFonts w:ascii="宋体" w:hAnsi="宋体"/>
          <w:bCs/>
          <w:sz w:val="28"/>
          <w:szCs w:val="28"/>
        </w:rPr>
      </w:pPr>
    </w:p>
    <w:p>
      <w:pPr>
        <w:tabs>
          <w:tab w:val="left" w:pos="5559"/>
        </w:tabs>
        <w:ind w:leftChars="-135" w:hanging="282" w:hangingChars="101"/>
        <w:rPr>
          <w:rFonts w:ascii="宋体" w:hAnsi="宋体"/>
          <w:bCs/>
          <w:sz w:val="28"/>
          <w:szCs w:val="28"/>
        </w:rPr>
      </w:pPr>
      <w:r>
        <w:rPr>
          <w:rFonts w:hint="eastAsia" w:ascii="宋体" w:hAnsi="宋体"/>
          <w:bCs/>
          <w:sz w:val="28"/>
          <w:szCs w:val="28"/>
        </w:rPr>
        <w:t>附件2：</w:t>
      </w:r>
    </w:p>
    <w:p>
      <w:pPr>
        <w:jc w:val="center"/>
        <w:rPr>
          <w:rFonts w:ascii="黑体" w:hAnsi="黑体" w:eastAsia="黑体"/>
          <w:sz w:val="36"/>
          <w:szCs w:val="36"/>
        </w:rPr>
      </w:pPr>
      <w:r>
        <w:rPr>
          <w:rFonts w:hint="eastAsia" w:ascii="黑体" w:hAnsi="黑体" w:eastAsia="黑体"/>
          <w:sz w:val="36"/>
          <w:szCs w:val="36"/>
        </w:rPr>
        <w:t>企业概况一览表</w:t>
      </w:r>
    </w:p>
    <w:tbl>
      <w:tblPr>
        <w:tblStyle w:val="54"/>
        <w:tblW w:w="8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2959"/>
        <w:gridCol w:w="1697"/>
        <w:gridCol w:w="2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980" w:type="dxa"/>
            <w:shd w:val="clear" w:color="auto" w:fill="auto"/>
          </w:tcPr>
          <w:p>
            <w:pPr>
              <w:jc w:val="left"/>
            </w:pPr>
            <w:r>
              <w:rPr>
                <w:rFonts w:hint="eastAsia"/>
              </w:rPr>
              <w:t>单位名称</w:t>
            </w:r>
          </w:p>
        </w:tc>
        <w:tc>
          <w:tcPr>
            <w:tcW w:w="2959" w:type="dxa"/>
            <w:shd w:val="clear" w:color="auto" w:fill="auto"/>
          </w:tcPr>
          <w:p/>
        </w:tc>
        <w:tc>
          <w:tcPr>
            <w:tcW w:w="1697" w:type="dxa"/>
            <w:shd w:val="clear" w:color="auto" w:fill="auto"/>
          </w:tcPr>
          <w:p>
            <w:r>
              <w:rPr>
                <w:rFonts w:hint="eastAsia"/>
              </w:rPr>
              <w:t>组织机构代码</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1980" w:type="dxa"/>
            <w:shd w:val="clear" w:color="auto" w:fill="auto"/>
          </w:tcPr>
          <w:p>
            <w:r>
              <w:rPr>
                <w:rFonts w:hint="eastAsia"/>
              </w:rPr>
              <w:t>单位性质</w:t>
            </w:r>
          </w:p>
        </w:tc>
        <w:tc>
          <w:tcPr>
            <w:tcW w:w="2959" w:type="dxa"/>
            <w:shd w:val="clear" w:color="auto" w:fill="auto"/>
          </w:tcPr>
          <w:p/>
        </w:tc>
        <w:tc>
          <w:tcPr>
            <w:tcW w:w="1697" w:type="dxa"/>
            <w:shd w:val="clear" w:color="auto" w:fill="auto"/>
          </w:tcPr>
          <w:p>
            <w:r>
              <w:rPr>
                <w:rFonts w:hint="eastAsia"/>
              </w:rPr>
              <w:t>注册资本</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1980" w:type="dxa"/>
            <w:shd w:val="clear" w:color="auto" w:fill="auto"/>
          </w:tcPr>
          <w:p>
            <w:r>
              <w:rPr>
                <w:rFonts w:hint="eastAsia"/>
              </w:rPr>
              <w:t>注册地址</w:t>
            </w:r>
          </w:p>
        </w:tc>
        <w:tc>
          <w:tcPr>
            <w:tcW w:w="2959" w:type="dxa"/>
            <w:shd w:val="clear" w:color="auto" w:fill="auto"/>
          </w:tcPr>
          <w:p/>
        </w:tc>
        <w:tc>
          <w:tcPr>
            <w:tcW w:w="1697" w:type="dxa"/>
            <w:shd w:val="clear" w:color="auto" w:fill="auto"/>
          </w:tcPr>
          <w:p>
            <w:r>
              <w:rPr>
                <w:rFonts w:hint="eastAsia"/>
              </w:rPr>
              <w:t>注册登记号</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980" w:type="dxa"/>
            <w:shd w:val="clear" w:color="auto" w:fill="auto"/>
          </w:tcPr>
          <w:p>
            <w:r>
              <w:rPr>
                <w:rFonts w:hint="eastAsia"/>
              </w:rPr>
              <w:t>经营地址</w:t>
            </w:r>
          </w:p>
        </w:tc>
        <w:tc>
          <w:tcPr>
            <w:tcW w:w="2959" w:type="dxa"/>
            <w:shd w:val="clear" w:color="auto" w:fill="auto"/>
          </w:tcPr>
          <w:p/>
        </w:tc>
        <w:tc>
          <w:tcPr>
            <w:tcW w:w="1697" w:type="dxa"/>
            <w:shd w:val="clear" w:color="auto" w:fill="auto"/>
          </w:tcPr>
          <w:p>
            <w:r>
              <w:rPr>
                <w:rFonts w:hint="eastAsia"/>
              </w:rPr>
              <w:t>税务登记证号</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980" w:type="dxa"/>
            <w:shd w:val="clear" w:color="auto" w:fill="auto"/>
          </w:tcPr>
          <w:p>
            <w:r>
              <w:rPr>
                <w:rFonts w:hint="eastAsia"/>
              </w:rPr>
              <w:t>经营范围</w:t>
            </w:r>
          </w:p>
        </w:tc>
        <w:tc>
          <w:tcPr>
            <w:tcW w:w="2959" w:type="dxa"/>
            <w:shd w:val="clear" w:color="auto" w:fill="auto"/>
          </w:tcPr>
          <w:p/>
        </w:tc>
        <w:tc>
          <w:tcPr>
            <w:tcW w:w="1697" w:type="dxa"/>
            <w:shd w:val="clear" w:color="auto" w:fill="auto"/>
          </w:tcPr>
          <w:p>
            <w:r>
              <w:rPr>
                <w:rFonts w:hint="eastAsia"/>
              </w:rPr>
              <w:t>营业期限</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980" w:type="dxa"/>
            <w:shd w:val="clear" w:color="auto" w:fill="auto"/>
          </w:tcPr>
          <w:p>
            <w:r>
              <w:rPr>
                <w:rFonts w:hint="eastAsia"/>
              </w:rPr>
              <w:t>资质情况</w:t>
            </w:r>
          </w:p>
        </w:tc>
        <w:tc>
          <w:tcPr>
            <w:tcW w:w="2959" w:type="dxa"/>
            <w:shd w:val="clear" w:color="auto" w:fill="auto"/>
          </w:tcPr>
          <w:p/>
        </w:tc>
        <w:tc>
          <w:tcPr>
            <w:tcW w:w="1697" w:type="dxa"/>
            <w:shd w:val="clear" w:color="auto" w:fill="auto"/>
          </w:tcP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1980" w:type="dxa"/>
            <w:shd w:val="clear" w:color="auto" w:fill="auto"/>
          </w:tcPr>
          <w:p>
            <w:r>
              <w:rPr>
                <w:rFonts w:hint="eastAsia"/>
              </w:rPr>
              <w:t>员工人数（总人数、高级职称人数、中级职称人数）</w:t>
            </w:r>
          </w:p>
        </w:tc>
        <w:tc>
          <w:tcPr>
            <w:tcW w:w="6869" w:type="dxa"/>
            <w:gridSpan w:val="3"/>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980" w:type="dxa"/>
            <w:shd w:val="clear" w:color="auto" w:fill="auto"/>
          </w:tcPr>
          <w:p>
            <w:r>
              <w:rPr>
                <w:rFonts w:hint="eastAsia"/>
              </w:rPr>
              <w:t>联系电话</w:t>
            </w:r>
          </w:p>
        </w:tc>
        <w:tc>
          <w:tcPr>
            <w:tcW w:w="2959" w:type="dxa"/>
            <w:shd w:val="clear" w:color="auto" w:fill="auto"/>
          </w:tcPr>
          <w:p/>
        </w:tc>
        <w:tc>
          <w:tcPr>
            <w:tcW w:w="1697" w:type="dxa"/>
            <w:shd w:val="clear" w:color="auto" w:fill="auto"/>
          </w:tcPr>
          <w:p>
            <w:r>
              <w:rPr>
                <w:rFonts w:hint="eastAsia"/>
              </w:rPr>
              <w:t>传真</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1980" w:type="dxa"/>
            <w:shd w:val="clear" w:color="auto" w:fill="auto"/>
          </w:tcPr>
          <w:p>
            <w:r>
              <w:rPr>
                <w:rFonts w:hint="eastAsia"/>
              </w:rPr>
              <w:t>主要业绩</w:t>
            </w:r>
          </w:p>
        </w:tc>
        <w:tc>
          <w:tcPr>
            <w:tcW w:w="6869" w:type="dxa"/>
            <w:gridSpan w:val="3"/>
            <w:shd w:val="clear" w:color="auto" w:fill="auto"/>
          </w:tcPr>
          <w:p/>
        </w:tc>
      </w:tr>
    </w:tbl>
    <w:p/>
    <w:p>
      <w:pPr>
        <w:widowControl/>
        <w:jc w:val="left"/>
        <w:rPr>
          <w:sz w:val="30"/>
          <w:szCs w:val="30"/>
        </w:rPr>
      </w:pPr>
    </w:p>
    <w:p>
      <w:pPr>
        <w:tabs>
          <w:tab w:val="left" w:pos="5559"/>
        </w:tabs>
        <w:rPr>
          <w:rFonts w:ascii="宋体" w:hAnsi="宋体"/>
          <w:b/>
          <w:sz w:val="28"/>
          <w:szCs w:val="28"/>
        </w:rPr>
      </w:pPr>
      <w:r>
        <w:rPr>
          <w:rFonts w:ascii="宋体" w:hAnsi="宋体"/>
          <w:b/>
          <w:sz w:val="28"/>
          <w:szCs w:val="28"/>
        </w:rPr>
        <w:br w:type="page"/>
      </w:r>
    </w:p>
    <w:p>
      <w:pPr>
        <w:tabs>
          <w:tab w:val="left" w:pos="5559"/>
        </w:tabs>
        <w:ind w:leftChars="-135" w:hanging="282" w:hangingChars="101"/>
        <w:rPr>
          <w:rFonts w:ascii="宋体" w:hAnsi="宋体"/>
          <w:bCs/>
          <w:sz w:val="28"/>
          <w:szCs w:val="28"/>
        </w:rPr>
      </w:pPr>
      <w:r>
        <w:rPr>
          <w:rFonts w:hint="eastAsia" w:ascii="宋体" w:hAnsi="宋体"/>
          <w:bCs/>
          <w:sz w:val="28"/>
          <w:szCs w:val="28"/>
        </w:rPr>
        <w:t>附件3：</w:t>
      </w:r>
    </w:p>
    <w:p>
      <w:pPr>
        <w:widowControl/>
        <w:jc w:val="left"/>
        <w:rPr>
          <w:rFonts w:ascii="仿宋" w:hAnsi="仿宋" w:eastAsia="仿宋"/>
          <w:sz w:val="32"/>
          <w:szCs w:val="32"/>
        </w:rPr>
      </w:pPr>
      <w:r>
        <w:rPr>
          <w:rFonts w:hint="eastAsia" w:ascii="仿宋" w:hAnsi="仿宋" w:eastAsia="仿宋"/>
          <w:sz w:val="32"/>
          <w:szCs w:val="32"/>
        </w:rPr>
        <mc:AlternateContent>
          <mc:Choice Requires="wps">
            <w:drawing>
              <wp:anchor distT="0" distB="0" distL="114300" distR="114300" simplePos="0" relativeHeight="251659264" behindDoc="1" locked="0" layoutInCell="1" allowOverlap="1">
                <wp:simplePos x="0" y="0"/>
                <wp:positionH relativeFrom="column">
                  <wp:posOffset>-265430</wp:posOffset>
                </wp:positionH>
                <wp:positionV relativeFrom="paragraph">
                  <wp:posOffset>349885</wp:posOffset>
                </wp:positionV>
                <wp:extent cx="6153150" cy="8172450"/>
                <wp:effectExtent l="13970" t="11430" r="5080" b="7620"/>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0.9pt;margin-top:27.55pt;height:643.5pt;width:484.5pt;z-index:-251657216;mso-width-relative:page;mso-height-relative:page;" fillcolor="#FFFFFF" filled="t" stroked="t" coordsize="21600,21600" o:gfxdata="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bU503ZAAAACwEAAA8AAAAAAAAAAQAgAAAAIgAAAGRycy9kb3ducmV2Lnht&#10;bFBLAQIUABQAAAAIAIdO4kAflEHkMQIAAHAEAAAOAAAAAAAAAAEAIAAAACgBAABkcnMvZTJvRG9j&#10;LnhtbFBLBQYAAAAABgAGAFkBAADLBQAAAAA=&#10;">
                <v:fill on="t" focussize="0,0"/>
                <v:stroke color="#000000" miterlimit="8" joinstyle="miter"/>
                <v:imagedata o:title=""/>
                <o:lock v:ext="edit" aspectratio="f"/>
              </v:rect>
            </w:pict>
          </mc:Fallback>
        </mc:AlternateContent>
      </w:r>
      <w:r>
        <w:rPr>
          <w:rFonts w:hint="eastAsia" w:ascii="仿宋" w:hAnsi="仿宋" w:eastAsia="仿宋"/>
          <w:sz w:val="32"/>
          <w:szCs w:val="32"/>
        </w:rPr>
        <w:t>投标文件包装封面参考</w:t>
      </w:r>
    </w:p>
    <w:p>
      <w:pPr>
        <w:tabs>
          <w:tab w:val="left" w:pos="5559"/>
        </w:tabs>
        <w:rPr>
          <w:rFonts w:ascii="宋体" w:hAnsi="宋体"/>
          <w:b/>
          <w:sz w:val="28"/>
          <w:szCs w:val="28"/>
        </w:rPr>
      </w:pPr>
    </w:p>
    <w:p>
      <w:pPr>
        <w:tabs>
          <w:tab w:val="left" w:pos="5559"/>
        </w:tabs>
        <w:rPr>
          <w:rFonts w:ascii="宋体" w:hAnsi="宋体"/>
          <w:b/>
          <w:sz w:val="28"/>
          <w:szCs w:val="28"/>
        </w:rPr>
      </w:pPr>
    </w:p>
    <w:p>
      <w:pPr>
        <w:widowControl/>
        <w:jc w:val="center"/>
        <w:rPr>
          <w:rFonts w:ascii="黑体" w:hAnsi="黑体" w:eastAsia="黑体"/>
          <w:sz w:val="72"/>
          <w:szCs w:val="72"/>
        </w:rPr>
      </w:pPr>
      <w:r>
        <w:rPr>
          <w:rFonts w:hint="eastAsia" w:ascii="黑体" w:hAnsi="黑体" w:eastAsia="黑体"/>
          <w:sz w:val="72"/>
          <w:szCs w:val="72"/>
        </w:rPr>
        <w:t>投标文件</w:t>
      </w:r>
    </w:p>
    <w:p>
      <w:pPr>
        <w:widowControl/>
        <w:jc w:val="center"/>
        <w:rPr>
          <w:rFonts w:ascii="黑体" w:hAnsi="黑体" w:eastAsia="黑体"/>
          <w:sz w:val="32"/>
          <w:szCs w:val="32"/>
        </w:rPr>
      </w:pPr>
    </w:p>
    <w:p>
      <w:pPr>
        <w:widowControl/>
        <w:jc w:val="center"/>
        <w:rPr>
          <w:rFonts w:ascii="黑体" w:hAnsi="黑体" w:eastAsia="黑体"/>
          <w:sz w:val="32"/>
          <w:szCs w:val="32"/>
        </w:rPr>
      </w:pPr>
    </w:p>
    <w:p>
      <w:pPr>
        <w:widowControl/>
        <w:jc w:val="center"/>
        <w:rPr>
          <w:rFonts w:ascii="黑体" w:hAnsi="黑体" w:eastAsia="黑体"/>
          <w:sz w:val="32"/>
          <w:szCs w:val="32"/>
        </w:rPr>
      </w:pPr>
    </w:p>
    <w:p>
      <w:pPr>
        <w:widowControl/>
        <w:jc w:val="center"/>
        <w:rPr>
          <w:rFonts w:ascii="黑体" w:hAnsi="黑体" w:eastAsia="黑体"/>
          <w:sz w:val="32"/>
          <w:szCs w:val="32"/>
        </w:rPr>
      </w:pPr>
    </w:p>
    <w:p>
      <w:pPr>
        <w:widowControl/>
        <w:ind w:firstLine="3080" w:firstLineChars="700"/>
        <w:rPr>
          <w:rFonts w:ascii="黑体" w:hAnsi="黑体" w:eastAsia="黑体"/>
          <w:sz w:val="44"/>
          <w:szCs w:val="44"/>
        </w:rPr>
      </w:pPr>
      <w:r>
        <w:rPr>
          <w:rFonts w:hint="eastAsia" w:ascii="黑体" w:hAnsi="黑体" w:eastAsia="黑体"/>
          <w:sz w:val="44"/>
          <w:szCs w:val="44"/>
        </w:rPr>
        <w:t>□资信证明材料</w:t>
      </w:r>
    </w:p>
    <w:p>
      <w:pPr>
        <w:widowControl/>
        <w:ind w:firstLine="3520" w:firstLineChars="800"/>
        <w:rPr>
          <w:rFonts w:ascii="黑体" w:hAnsi="黑体" w:eastAsia="黑体"/>
          <w:sz w:val="44"/>
          <w:szCs w:val="44"/>
        </w:rPr>
      </w:pPr>
    </w:p>
    <w:p>
      <w:pPr>
        <w:widowControl/>
        <w:ind w:firstLine="3080" w:firstLineChars="700"/>
        <w:rPr>
          <w:rFonts w:ascii="黑体" w:hAnsi="黑体" w:eastAsia="黑体"/>
          <w:sz w:val="44"/>
          <w:szCs w:val="44"/>
        </w:rPr>
      </w:pPr>
      <w:r>
        <w:rPr>
          <w:rFonts w:hint="eastAsia" w:ascii="黑体" w:hAnsi="黑体" w:eastAsia="黑体"/>
          <w:sz w:val="44"/>
          <w:szCs w:val="44"/>
        </w:rPr>
        <w:t>□参评材料</w:t>
      </w:r>
    </w:p>
    <w:p>
      <w:pPr>
        <w:widowControl/>
        <w:ind w:firstLine="3520" w:firstLineChars="800"/>
        <w:rPr>
          <w:rFonts w:ascii="黑体" w:hAnsi="黑体" w:eastAsia="黑体"/>
          <w:sz w:val="44"/>
          <w:szCs w:val="44"/>
        </w:rPr>
      </w:pPr>
    </w:p>
    <w:p>
      <w:pPr>
        <w:widowControl/>
        <w:ind w:firstLine="3520" w:firstLineChars="800"/>
        <w:rPr>
          <w:rFonts w:ascii="黑体" w:hAnsi="黑体" w:eastAsia="黑体"/>
          <w:sz w:val="44"/>
          <w:szCs w:val="44"/>
        </w:rPr>
      </w:pPr>
    </w:p>
    <w:p>
      <w:pPr>
        <w:widowControl/>
        <w:rPr>
          <w:rFonts w:ascii="黑体" w:hAnsi="黑体" w:eastAsia="黑体"/>
          <w:sz w:val="44"/>
          <w:szCs w:val="44"/>
        </w:rPr>
      </w:pPr>
    </w:p>
    <w:p>
      <w:pPr>
        <w:widowControl/>
        <w:rPr>
          <w:rFonts w:ascii="黑体" w:hAnsi="黑体" w:eastAsia="黑体"/>
          <w:sz w:val="44"/>
          <w:szCs w:val="44"/>
        </w:rPr>
      </w:pPr>
    </w:p>
    <w:p>
      <w:pPr>
        <w:widowControl/>
        <w:spacing w:line="360" w:lineRule="auto"/>
        <w:rPr>
          <w:rFonts w:ascii="黑体" w:hAnsi="黑体" w:eastAsia="黑体"/>
          <w:sz w:val="32"/>
          <w:szCs w:val="32"/>
        </w:rPr>
      </w:pPr>
      <w:r>
        <w:rPr>
          <w:rFonts w:hint="eastAsia" w:ascii="黑体" w:hAnsi="黑体" w:eastAsia="黑体"/>
          <w:sz w:val="32"/>
          <w:szCs w:val="32"/>
        </w:rPr>
        <w:t>项目名称：</w:t>
      </w:r>
    </w:p>
    <w:p>
      <w:pPr>
        <w:widowControl/>
        <w:spacing w:line="360" w:lineRule="auto"/>
        <w:rPr>
          <w:rFonts w:ascii="黑体" w:hAnsi="黑体" w:eastAsia="黑体"/>
          <w:sz w:val="32"/>
          <w:szCs w:val="32"/>
        </w:rPr>
      </w:pPr>
      <w:r>
        <w:rPr>
          <w:rFonts w:hint="eastAsia" w:ascii="黑体" w:hAnsi="黑体" w:eastAsia="黑体"/>
          <w:sz w:val="32"/>
          <w:szCs w:val="32"/>
        </w:rPr>
        <w:t>投标人名称：</w:t>
      </w:r>
    </w:p>
    <w:p>
      <w:pPr>
        <w:widowControl/>
        <w:jc w:val="left"/>
        <w:rPr>
          <w:sz w:val="44"/>
          <w:szCs w:val="44"/>
        </w:rPr>
      </w:pPr>
    </w:p>
    <w:p>
      <w:pPr>
        <w:widowControl/>
        <w:jc w:val="left"/>
        <w:rPr>
          <w:sz w:val="30"/>
          <w:szCs w:val="30"/>
        </w:rPr>
      </w:pPr>
      <w:r>
        <w:rPr>
          <w:rFonts w:hint="eastAsia"/>
          <w:sz w:val="30"/>
          <w:szCs w:val="30"/>
        </w:rPr>
        <w:t xml:space="preserve">（ </w:t>
      </w:r>
      <w:r>
        <w:rPr>
          <w:sz w:val="30"/>
          <w:szCs w:val="30"/>
        </w:rPr>
        <w:t xml:space="preserve">     </w:t>
      </w:r>
      <w:r>
        <w:rPr>
          <w:rFonts w:hint="eastAsia"/>
          <w:sz w:val="30"/>
          <w:szCs w:val="30"/>
        </w:rPr>
        <w:t xml:space="preserve">年  </w:t>
      </w:r>
      <w:r>
        <w:rPr>
          <w:sz w:val="30"/>
          <w:szCs w:val="30"/>
        </w:rPr>
        <w:t xml:space="preserve">  </w:t>
      </w:r>
      <w:r>
        <w:rPr>
          <w:rFonts w:hint="eastAsia"/>
          <w:sz w:val="30"/>
          <w:szCs w:val="30"/>
        </w:rPr>
        <w:t xml:space="preserve">月 </w:t>
      </w:r>
      <w:r>
        <w:rPr>
          <w:sz w:val="30"/>
          <w:szCs w:val="30"/>
        </w:rPr>
        <w:t xml:space="preserve"> </w:t>
      </w:r>
      <w:r>
        <w:rPr>
          <w:rFonts w:hint="eastAsia"/>
          <w:sz w:val="30"/>
          <w:szCs w:val="30"/>
        </w:rPr>
        <w:t xml:space="preserve"> </w:t>
      </w:r>
      <w:r>
        <w:rPr>
          <w:sz w:val="30"/>
          <w:szCs w:val="30"/>
        </w:rPr>
        <w:t xml:space="preserve"> </w:t>
      </w:r>
      <w:r>
        <w:rPr>
          <w:rFonts w:hint="eastAsia"/>
          <w:sz w:val="30"/>
          <w:szCs w:val="30"/>
        </w:rPr>
        <w:t xml:space="preserve">日 </w:t>
      </w:r>
      <w:r>
        <w:rPr>
          <w:sz w:val="30"/>
          <w:szCs w:val="30"/>
        </w:rPr>
        <w:t xml:space="preserve">  </w:t>
      </w:r>
      <w:r>
        <w:rPr>
          <w:rFonts w:hint="eastAsia"/>
          <w:sz w:val="30"/>
          <w:szCs w:val="30"/>
        </w:rPr>
        <w:t xml:space="preserve"> 时 </w:t>
      </w:r>
      <w:r>
        <w:rPr>
          <w:sz w:val="30"/>
          <w:szCs w:val="30"/>
        </w:rPr>
        <w:t xml:space="preserve">   </w:t>
      </w:r>
      <w:r>
        <w:rPr>
          <w:rFonts w:hint="eastAsia"/>
          <w:sz w:val="30"/>
          <w:szCs w:val="30"/>
        </w:rPr>
        <w:t>分）之前不得启封</w:t>
      </w:r>
    </w:p>
    <w:p>
      <w:pPr>
        <w:widowControl/>
        <w:jc w:val="left"/>
        <w:rPr>
          <w:sz w:val="30"/>
          <w:szCs w:val="30"/>
        </w:rPr>
      </w:pPr>
    </w:p>
    <w:sectPr>
      <w:footerReference r:id="rId3" w:type="default"/>
      <w:footerReference r:id="rId4" w:type="even"/>
      <w:pgSz w:w="11907" w:h="16840"/>
      <w:pgMar w:top="1440" w:right="1797" w:bottom="1440" w:left="1797" w:header="851" w:footer="992" w:gutter="0"/>
      <w:pgNumType w:start="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创艺简黑体">
    <w:altName w:val="黑体"/>
    <w:panose1 w:val="00000000000000000000"/>
    <w:charset w:val="86"/>
    <w:family w:val="auto"/>
    <w:pitch w:val="default"/>
    <w:sig w:usb0="00000000" w:usb1="00000000" w:usb2="00000010" w:usb3="00000000" w:csb0="00040000" w:csb1="00000000"/>
  </w:font>
  <w:font w:name="文鼎CS书宋二">
    <w:altName w:val="宋体"/>
    <w:panose1 w:val="00000000000000000000"/>
    <w:charset w:val="86"/>
    <w:family w:val="modern"/>
    <w:pitch w:val="default"/>
    <w:sig w:usb0="00000000" w:usb1="00000000" w:usb2="00000010" w:usb3="00000000" w:csb0="00040000" w:csb1="00000000"/>
  </w:font>
  <w:font w:name="文鼎中楷">
    <w:altName w:val="宋体"/>
    <w:panose1 w:val="00000000000000000000"/>
    <w:charset w:val="86"/>
    <w:family w:val="modern"/>
    <w:pitch w:val="default"/>
    <w:sig w:usb0="00000000" w:usb1="00000000" w:usb2="00000010" w:usb3="00000000" w:csb0="00040000" w:csb1="00000000"/>
  </w:font>
  <w:font w:name="文鼎粗黑">
    <w:altName w:val="黑体"/>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Tunga">
    <w:altName w:val="Segoe Print"/>
    <w:panose1 w:val="000004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文鼎CS大宋">
    <w:altName w:val="宋体"/>
    <w:panose1 w:val="00000000000000000000"/>
    <w:charset w:val="86"/>
    <w:family w:val="modern"/>
    <w:pitch w:val="default"/>
    <w:sig w:usb0="00000000" w:usb1="00000000" w:usb2="00000010" w:usb3="00000000" w:csb0="00040000" w:csb1="00000000"/>
  </w:font>
  <w:font w:name="文鼎CS长美黑">
    <w:altName w:val="黑体"/>
    <w:panose1 w:val="00000000000000000000"/>
    <w:charset w:val="86"/>
    <w:family w:val="modern"/>
    <w:pitch w:val="default"/>
    <w:sig w:usb0="00000000" w:usb1="00000000" w:usb2="0000001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_x000B__x000C_">
    <w:altName w:val="Noto Serif JP"/>
    <w:panose1 w:val="00000000000000000000"/>
    <w:charset w:val="00"/>
    <w:family w:val="roman"/>
    <w:pitch w:val="default"/>
    <w:sig w:usb0="00000000" w:usb1="00000000" w:usb2="00000000" w:usb3="00000000" w:csb0="00040001" w:csb1="00000000"/>
  </w:font>
  <w:font w:name="Noto Serif JP">
    <w:panose1 w:val="020207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center"/>
    </w:pPr>
    <w:r>
      <w:fldChar w:fldCharType="begin"/>
    </w:r>
    <w:r>
      <w:instrText xml:space="preserve">PAGE   \* MERGEFORMAT</w:instrText>
    </w:r>
    <w:r>
      <w:fldChar w:fldCharType="separate"/>
    </w:r>
    <w:r>
      <w:rPr>
        <w:lang w:val="zh-CN"/>
      </w:rPr>
      <w:t>3</w:t>
    </w:r>
    <w:r>
      <w:fldChar w:fldCharType="end"/>
    </w:r>
  </w:p>
  <w:p>
    <w:pPr>
      <w:pStyle w:val="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60"/>
      </w:rPr>
    </w:pPr>
    <w:r>
      <w:fldChar w:fldCharType="begin"/>
    </w:r>
    <w:r>
      <w:rPr>
        <w:rStyle w:val="60"/>
      </w:rPr>
      <w:instrText xml:space="preserve">PAGE  </w:instrText>
    </w:r>
    <w:r>
      <w:fldChar w:fldCharType="end"/>
    </w:r>
  </w:p>
  <w:p>
    <w:pPr>
      <w:pStyle w:val="3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860DCB"/>
    <w:multiLevelType w:val="singleLevel"/>
    <w:tmpl w:val="B9860DCB"/>
    <w:lvl w:ilvl="0" w:tentative="0">
      <w:start w:val="1"/>
      <w:numFmt w:val="decimal"/>
      <w:lvlText w:val="%1."/>
      <w:lvlJc w:val="left"/>
      <w:pPr>
        <w:tabs>
          <w:tab w:val="left" w:pos="425"/>
        </w:tabs>
        <w:ind w:left="425" w:hanging="425"/>
      </w:pPr>
      <w:rPr>
        <w:rFonts w:hint="default"/>
      </w:rPr>
    </w:lvl>
  </w:abstractNum>
  <w:abstractNum w:abstractNumId="1">
    <w:nsid w:val="FFFFFF7C"/>
    <w:multiLevelType w:val="singleLevel"/>
    <w:tmpl w:val="FFFFFF7C"/>
    <w:lvl w:ilvl="0" w:tentative="0">
      <w:start w:val="1"/>
      <w:numFmt w:val="decimal"/>
      <w:pStyle w:val="147"/>
      <w:lvlText w:val="%1."/>
      <w:lvlJc w:val="left"/>
      <w:pPr>
        <w:tabs>
          <w:tab w:val="left" w:pos="2040"/>
        </w:tabs>
        <w:ind w:left="2040" w:hanging="360"/>
      </w:pPr>
    </w:lvl>
  </w:abstractNum>
  <w:abstractNum w:abstractNumId="2">
    <w:nsid w:val="FFFFFF89"/>
    <w:multiLevelType w:val="singleLevel"/>
    <w:tmpl w:val="FFFFFF89"/>
    <w:lvl w:ilvl="0" w:tentative="0">
      <w:start w:val="1"/>
      <w:numFmt w:val="bullet"/>
      <w:pStyle w:val="16"/>
      <w:lvlText w:val=""/>
      <w:lvlJc w:val="left"/>
      <w:pPr>
        <w:tabs>
          <w:tab w:val="left" w:pos="360"/>
        </w:tabs>
        <w:ind w:left="360" w:hanging="360"/>
      </w:pPr>
      <w:rPr>
        <w:rFonts w:hint="default" w:ascii="Wingdings" w:hAnsi="Wingdings"/>
      </w:rPr>
    </w:lvl>
  </w:abstractNum>
  <w:abstractNum w:abstractNumId="3">
    <w:nsid w:val="3AE1101E"/>
    <w:multiLevelType w:val="multilevel"/>
    <w:tmpl w:val="3AE1101E"/>
    <w:lvl w:ilvl="0" w:tentative="0">
      <w:start w:val="1"/>
      <w:numFmt w:val="decimal"/>
      <w:lvlText w:val="%1."/>
      <w:lvlJc w:val="left"/>
      <w:pPr>
        <w:tabs>
          <w:tab w:val="left" w:pos="567"/>
        </w:tabs>
        <w:ind w:left="567" w:hanging="113"/>
      </w:pPr>
      <w:rPr>
        <w:rFonts w:hint="eastAsia"/>
      </w:rPr>
    </w:lvl>
    <w:lvl w:ilvl="1" w:tentative="0">
      <w:start w:val="1"/>
      <w:numFmt w:val="decimal"/>
      <w:suff w:val="space"/>
      <w:lvlText w:val="%1.%2"/>
      <w:lvlJc w:val="left"/>
      <w:pPr>
        <w:ind w:left="0" w:firstLine="454"/>
      </w:pPr>
      <w:rPr>
        <w:rFonts w:hint="eastAsia"/>
      </w:rPr>
    </w:lvl>
    <w:lvl w:ilvl="2" w:tentative="0">
      <w:start w:val="1"/>
      <w:numFmt w:val="lowerLetter"/>
      <w:suff w:val="space"/>
      <w:lvlText w:val="(%3) "/>
      <w:lvlJc w:val="left"/>
      <w:pPr>
        <w:ind w:left="851" w:hanging="397"/>
      </w:pPr>
      <w:rPr>
        <w:rFonts w:hint="eastAsia"/>
      </w:rPr>
    </w:lvl>
    <w:lvl w:ilvl="3" w:tentative="0">
      <w:start w:val="1"/>
      <w:numFmt w:val="decimal"/>
      <w:suff w:val="space"/>
      <w:lvlText w:val="(%4) "/>
      <w:lvlJc w:val="left"/>
      <w:pPr>
        <w:ind w:left="851" w:hanging="397"/>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4">
    <w:nsid w:val="4BD739BA"/>
    <w:multiLevelType w:val="multilevel"/>
    <w:tmpl w:val="4BD739B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57AB88B"/>
    <w:multiLevelType w:val="singleLevel"/>
    <w:tmpl w:val="557AB88B"/>
    <w:lvl w:ilvl="0" w:tentative="0">
      <w:start w:val="1"/>
      <w:numFmt w:val="decimal"/>
      <w:lvlText w:val="%1."/>
      <w:lvlJc w:val="left"/>
      <w:pPr>
        <w:tabs>
          <w:tab w:val="left" w:pos="425"/>
        </w:tabs>
        <w:ind w:left="425" w:hanging="425"/>
      </w:pPr>
      <w:rPr>
        <w:rFonts w:hint="default"/>
      </w:rPr>
    </w:lvl>
  </w:abstractNum>
  <w:abstractNum w:abstractNumId="6">
    <w:nsid w:val="581F5E12"/>
    <w:multiLevelType w:val="multilevel"/>
    <w:tmpl w:val="581F5E12"/>
    <w:lvl w:ilvl="0" w:tentative="0">
      <w:start w:val="1"/>
      <w:numFmt w:val="japaneseCounting"/>
      <w:lvlText w:val="第%1章"/>
      <w:lvlJc w:val="left"/>
      <w:pPr>
        <w:ind w:left="848" w:hanging="848"/>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B5CB5FD"/>
    <w:multiLevelType w:val="singleLevel"/>
    <w:tmpl w:val="5B5CB5FD"/>
    <w:lvl w:ilvl="0" w:tentative="0">
      <w:start w:val="1"/>
      <w:numFmt w:val="decimal"/>
      <w:lvlText w:val="%1."/>
      <w:lvlJc w:val="left"/>
      <w:pPr>
        <w:tabs>
          <w:tab w:val="left" w:pos="425"/>
        </w:tabs>
        <w:ind w:left="425" w:hanging="425"/>
      </w:pPr>
      <w:rPr>
        <w:rFonts w:hint="default"/>
      </w:rPr>
    </w:lvl>
  </w:abstractNum>
  <w:abstractNum w:abstractNumId="8">
    <w:nsid w:val="65BD6CD5"/>
    <w:multiLevelType w:val="singleLevel"/>
    <w:tmpl w:val="65BD6CD5"/>
    <w:lvl w:ilvl="0" w:tentative="0">
      <w:start w:val="1"/>
      <w:numFmt w:val="decimal"/>
      <w:lvlText w:val="%1."/>
      <w:lvlJc w:val="left"/>
      <w:pPr>
        <w:tabs>
          <w:tab w:val="left" w:pos="425"/>
        </w:tabs>
        <w:ind w:left="425" w:hanging="425"/>
      </w:pPr>
      <w:rPr>
        <w:rFonts w:hint="default"/>
      </w:rPr>
    </w:lvl>
  </w:abstractNum>
  <w:abstractNum w:abstractNumId="9">
    <w:nsid w:val="7AE81865"/>
    <w:multiLevelType w:val="singleLevel"/>
    <w:tmpl w:val="7AE81865"/>
    <w:lvl w:ilvl="0" w:tentative="0">
      <w:start w:val="1"/>
      <w:numFmt w:val="decimal"/>
      <w:lvlText w:val="%1."/>
      <w:lvlJc w:val="left"/>
      <w:pPr>
        <w:tabs>
          <w:tab w:val="left" w:pos="425"/>
        </w:tabs>
        <w:ind w:left="425" w:hanging="425"/>
      </w:pPr>
      <w:rPr>
        <w:rFonts w:hint="default"/>
      </w:rPr>
    </w:lvl>
  </w:abstractNum>
  <w:num w:numId="1">
    <w:abstractNumId w:val="2"/>
  </w:num>
  <w:num w:numId="2">
    <w:abstractNumId w:val="3"/>
    <w:lvlOverride w:ilvl="0">
      <w:lvl w:ilvl="0" w:tentative="1">
        <w:start w:val="1"/>
        <w:numFmt w:val="decimal"/>
        <w:pStyle w:val="78"/>
        <w:suff w:val="space"/>
        <w:lvlText w:val="%1."/>
        <w:lvlJc w:val="left"/>
        <w:pPr>
          <w:ind w:left="833" w:hanging="113"/>
        </w:pPr>
        <w:rPr>
          <w:rFonts w:hint="eastAsia" w:ascii="Times New Roman" w:hAnsi="Times New Roman" w:eastAsia="宋体"/>
          <w:b/>
          <w:bCs/>
          <w:i w:val="0"/>
          <w:iCs w:val="0"/>
          <w:caps w:val="0"/>
          <w:smallCaps w:val="0"/>
          <w:strike w:val="0"/>
          <w:dstrike w:val="0"/>
          <w:outline w:val="0"/>
          <w:shadow w:val="0"/>
          <w:emboss w:val="0"/>
          <w:imprint w:val="0"/>
          <w:color w:val="auto"/>
          <w:spacing w:val="0"/>
          <w:w w:val="100"/>
          <w:kern w:val="2"/>
          <w:position w:val="0"/>
          <w:sz w:val="24"/>
          <w:u w:val="none"/>
        </w:rPr>
      </w:lvl>
    </w:lvlOverride>
    <w:lvlOverride w:ilvl="1">
      <w:lvl w:ilvl="1" w:tentative="1">
        <w:start w:val="1"/>
        <w:numFmt w:val="decimal"/>
        <w:pStyle w:val="120"/>
        <w:suff w:val="space"/>
        <w:lvlText w:val="%1.%2"/>
        <w:lvlJc w:val="left"/>
        <w:pPr>
          <w:ind w:left="653" w:hanging="113"/>
        </w:pPr>
        <w:rPr>
          <w:rFonts w:hint="default" w:ascii="Times New Roman" w:hAnsi="Times New Roman" w:cs="Times New Roman"/>
          <w:b w:val="0"/>
        </w:rPr>
      </w:lvl>
    </w:lvlOverride>
    <w:lvlOverride w:ilvl="2">
      <w:lvl w:ilvl="2" w:tentative="1">
        <w:start w:val="1"/>
        <w:numFmt w:val="lowerLetter"/>
        <w:pStyle w:val="65"/>
        <w:suff w:val="space"/>
        <w:lvlText w:val="(%3) "/>
        <w:lvlJc w:val="left"/>
        <w:pPr>
          <w:ind w:left="679" w:hanging="225"/>
        </w:pPr>
        <w:rPr>
          <w:rFonts w:hint="eastAsia"/>
        </w:rPr>
      </w:lvl>
    </w:lvlOverride>
    <w:lvlOverride w:ilvl="3">
      <w:lvl w:ilvl="3" w:tentative="1">
        <w:start w:val="1"/>
        <w:numFmt w:val="decimal"/>
        <w:pStyle w:val="159"/>
        <w:suff w:val="space"/>
        <w:lvlText w:val="(%4) "/>
        <w:lvlJc w:val="left"/>
        <w:pPr>
          <w:ind w:left="765" w:hanging="397"/>
        </w:pPr>
        <w:rPr>
          <w:rFonts w:hint="eastAsia"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Override>
    <w:lvlOverride w:ilvl="4">
      <w:lvl w:ilvl="4" w:tentative="1">
        <w:start w:val="1"/>
        <w:numFmt w:val="decimal"/>
        <w:lvlText w:val="%1.%2.%3.%4.%5"/>
        <w:lvlJc w:val="left"/>
        <w:pPr>
          <w:tabs>
            <w:tab w:val="left" w:pos="2609"/>
          </w:tabs>
          <w:ind w:left="2379" w:hanging="850"/>
        </w:pPr>
        <w:rPr>
          <w:rFonts w:hint="eastAsia"/>
        </w:rPr>
      </w:lvl>
    </w:lvlOverride>
    <w:lvlOverride w:ilvl="5">
      <w:lvl w:ilvl="5" w:tentative="1">
        <w:start w:val="1"/>
        <w:numFmt w:val="decimal"/>
        <w:lvlText w:val="%1.%2.%3.%4.%5.%6"/>
        <w:lvlJc w:val="left"/>
        <w:pPr>
          <w:tabs>
            <w:tab w:val="left" w:pos="3394"/>
          </w:tabs>
          <w:ind w:left="3088" w:hanging="1134"/>
        </w:pPr>
        <w:rPr>
          <w:rFonts w:hint="eastAsia"/>
        </w:rPr>
      </w:lvl>
    </w:lvlOverride>
    <w:lvlOverride w:ilvl="6">
      <w:lvl w:ilvl="6" w:tentative="1">
        <w:start w:val="1"/>
        <w:numFmt w:val="decimal"/>
        <w:lvlText w:val="%1.%2.%3.%4.%5.%6.%7"/>
        <w:lvlJc w:val="left"/>
        <w:pPr>
          <w:tabs>
            <w:tab w:val="left" w:pos="4179"/>
          </w:tabs>
          <w:ind w:left="3655" w:hanging="1276"/>
        </w:pPr>
        <w:rPr>
          <w:rFonts w:hint="eastAsia"/>
        </w:rPr>
      </w:lvl>
    </w:lvlOverride>
    <w:lvlOverride w:ilvl="7">
      <w:lvl w:ilvl="7" w:tentative="1">
        <w:start w:val="1"/>
        <w:numFmt w:val="decimal"/>
        <w:lvlText w:val="%1.%2.%3.%4.%5.%6.%7.%8"/>
        <w:lvlJc w:val="left"/>
        <w:pPr>
          <w:tabs>
            <w:tab w:val="left" w:pos="4604"/>
          </w:tabs>
          <w:ind w:left="4222" w:hanging="1418"/>
        </w:pPr>
        <w:rPr>
          <w:rFonts w:hint="eastAsia"/>
        </w:rPr>
      </w:lvl>
    </w:lvlOverride>
    <w:lvlOverride w:ilvl="8">
      <w:lvl w:ilvl="8" w:tentative="1">
        <w:start w:val="1"/>
        <w:numFmt w:val="decimal"/>
        <w:lvlText w:val="%1.%2.%3.%4.%5.%6.%7.%8.%9"/>
        <w:lvlJc w:val="left"/>
        <w:pPr>
          <w:tabs>
            <w:tab w:val="left" w:pos="5390"/>
          </w:tabs>
          <w:ind w:left="4930" w:hanging="1700"/>
        </w:pPr>
        <w:rPr>
          <w:rFonts w:hint="eastAsia"/>
        </w:rPr>
      </w:lvl>
    </w:lvlOverride>
  </w:num>
  <w:num w:numId="3">
    <w:abstractNumId w:val="1"/>
  </w:num>
  <w:num w:numId="4">
    <w:abstractNumId w:val="6"/>
  </w:num>
  <w:num w:numId="5">
    <w:abstractNumId w:val="4"/>
  </w:num>
  <w:num w:numId="6">
    <w:abstractNumId w:val="5"/>
  </w:num>
  <w:num w:numId="7">
    <w:abstractNumId w:val="7"/>
  </w:num>
  <w:num w:numId="8">
    <w:abstractNumId w:val="0"/>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83"/>
    <w:rsid w:val="00001B0D"/>
    <w:rsid w:val="00002627"/>
    <w:rsid w:val="00005215"/>
    <w:rsid w:val="00005A10"/>
    <w:rsid w:val="00006D04"/>
    <w:rsid w:val="00010102"/>
    <w:rsid w:val="000106C6"/>
    <w:rsid w:val="00012D63"/>
    <w:rsid w:val="00012E8E"/>
    <w:rsid w:val="000130CB"/>
    <w:rsid w:val="00013A28"/>
    <w:rsid w:val="000155A1"/>
    <w:rsid w:val="00015A86"/>
    <w:rsid w:val="000164AF"/>
    <w:rsid w:val="00016F99"/>
    <w:rsid w:val="0001716B"/>
    <w:rsid w:val="000200C1"/>
    <w:rsid w:val="000211EA"/>
    <w:rsid w:val="000218C9"/>
    <w:rsid w:val="0002323A"/>
    <w:rsid w:val="000234B2"/>
    <w:rsid w:val="000306B4"/>
    <w:rsid w:val="00031700"/>
    <w:rsid w:val="00031832"/>
    <w:rsid w:val="00031F6E"/>
    <w:rsid w:val="00032406"/>
    <w:rsid w:val="00032D1B"/>
    <w:rsid w:val="00034614"/>
    <w:rsid w:val="000376C9"/>
    <w:rsid w:val="00037D22"/>
    <w:rsid w:val="00040D3C"/>
    <w:rsid w:val="00042950"/>
    <w:rsid w:val="0004380D"/>
    <w:rsid w:val="00043A89"/>
    <w:rsid w:val="00045693"/>
    <w:rsid w:val="00045739"/>
    <w:rsid w:val="00045D94"/>
    <w:rsid w:val="00046CEE"/>
    <w:rsid w:val="0005077A"/>
    <w:rsid w:val="000510B6"/>
    <w:rsid w:val="00051F3F"/>
    <w:rsid w:val="00052BC1"/>
    <w:rsid w:val="00052ED3"/>
    <w:rsid w:val="00053B66"/>
    <w:rsid w:val="0005501F"/>
    <w:rsid w:val="000550CB"/>
    <w:rsid w:val="0005582B"/>
    <w:rsid w:val="00057332"/>
    <w:rsid w:val="000604A8"/>
    <w:rsid w:val="00061771"/>
    <w:rsid w:val="0006267A"/>
    <w:rsid w:val="00062D88"/>
    <w:rsid w:val="0006335B"/>
    <w:rsid w:val="000646AF"/>
    <w:rsid w:val="00064A07"/>
    <w:rsid w:val="00065106"/>
    <w:rsid w:val="00065942"/>
    <w:rsid w:val="0006670C"/>
    <w:rsid w:val="000669C1"/>
    <w:rsid w:val="00067D92"/>
    <w:rsid w:val="00071F1A"/>
    <w:rsid w:val="000750DC"/>
    <w:rsid w:val="00075D7A"/>
    <w:rsid w:val="00077B52"/>
    <w:rsid w:val="00082493"/>
    <w:rsid w:val="00082667"/>
    <w:rsid w:val="00082D35"/>
    <w:rsid w:val="00083DC6"/>
    <w:rsid w:val="000869D8"/>
    <w:rsid w:val="00086ABA"/>
    <w:rsid w:val="00087FB3"/>
    <w:rsid w:val="000908CF"/>
    <w:rsid w:val="00092FC7"/>
    <w:rsid w:val="0009376D"/>
    <w:rsid w:val="00093CC0"/>
    <w:rsid w:val="000954D5"/>
    <w:rsid w:val="0009618D"/>
    <w:rsid w:val="0009709B"/>
    <w:rsid w:val="000977EC"/>
    <w:rsid w:val="000A253C"/>
    <w:rsid w:val="000A283E"/>
    <w:rsid w:val="000A2D2F"/>
    <w:rsid w:val="000A40E0"/>
    <w:rsid w:val="000A43A7"/>
    <w:rsid w:val="000A55D8"/>
    <w:rsid w:val="000A6434"/>
    <w:rsid w:val="000B00CC"/>
    <w:rsid w:val="000B05E2"/>
    <w:rsid w:val="000B0D8E"/>
    <w:rsid w:val="000B2568"/>
    <w:rsid w:val="000B3C10"/>
    <w:rsid w:val="000B4287"/>
    <w:rsid w:val="000B627F"/>
    <w:rsid w:val="000B7211"/>
    <w:rsid w:val="000B75EC"/>
    <w:rsid w:val="000C1EE4"/>
    <w:rsid w:val="000C3832"/>
    <w:rsid w:val="000C4425"/>
    <w:rsid w:val="000C60F0"/>
    <w:rsid w:val="000C611D"/>
    <w:rsid w:val="000C6956"/>
    <w:rsid w:val="000C6C59"/>
    <w:rsid w:val="000C7CC8"/>
    <w:rsid w:val="000D1063"/>
    <w:rsid w:val="000D1A7D"/>
    <w:rsid w:val="000D2309"/>
    <w:rsid w:val="000D38F9"/>
    <w:rsid w:val="000D5510"/>
    <w:rsid w:val="000D6F5C"/>
    <w:rsid w:val="000D784E"/>
    <w:rsid w:val="000E0070"/>
    <w:rsid w:val="000E4DE8"/>
    <w:rsid w:val="000E5421"/>
    <w:rsid w:val="000E5A27"/>
    <w:rsid w:val="000F0D94"/>
    <w:rsid w:val="000F2065"/>
    <w:rsid w:val="000F2A88"/>
    <w:rsid w:val="000F2C23"/>
    <w:rsid w:val="000F2D1B"/>
    <w:rsid w:val="000F3403"/>
    <w:rsid w:val="000F565B"/>
    <w:rsid w:val="000F5F3F"/>
    <w:rsid w:val="00101486"/>
    <w:rsid w:val="00101DD0"/>
    <w:rsid w:val="00102037"/>
    <w:rsid w:val="00102555"/>
    <w:rsid w:val="00103FB2"/>
    <w:rsid w:val="00104CBB"/>
    <w:rsid w:val="00107D54"/>
    <w:rsid w:val="0011089A"/>
    <w:rsid w:val="0011501D"/>
    <w:rsid w:val="0011521A"/>
    <w:rsid w:val="001153D0"/>
    <w:rsid w:val="00115A55"/>
    <w:rsid w:val="00115E6D"/>
    <w:rsid w:val="00117322"/>
    <w:rsid w:val="001212EF"/>
    <w:rsid w:val="0012144B"/>
    <w:rsid w:val="001217DC"/>
    <w:rsid w:val="0012203F"/>
    <w:rsid w:val="00122CB4"/>
    <w:rsid w:val="00123422"/>
    <w:rsid w:val="00123CC6"/>
    <w:rsid w:val="00123F9A"/>
    <w:rsid w:val="00125C8A"/>
    <w:rsid w:val="001262BD"/>
    <w:rsid w:val="00127BED"/>
    <w:rsid w:val="00130827"/>
    <w:rsid w:val="001308A2"/>
    <w:rsid w:val="0013390A"/>
    <w:rsid w:val="00134A9B"/>
    <w:rsid w:val="001350AC"/>
    <w:rsid w:val="00142222"/>
    <w:rsid w:val="00143653"/>
    <w:rsid w:val="00143B3A"/>
    <w:rsid w:val="00144DDF"/>
    <w:rsid w:val="00146978"/>
    <w:rsid w:val="0014765D"/>
    <w:rsid w:val="00150190"/>
    <w:rsid w:val="00156E3B"/>
    <w:rsid w:val="00157E23"/>
    <w:rsid w:val="00157FC3"/>
    <w:rsid w:val="00161C84"/>
    <w:rsid w:val="001626BD"/>
    <w:rsid w:val="00163120"/>
    <w:rsid w:val="00164E23"/>
    <w:rsid w:val="0016595F"/>
    <w:rsid w:val="00166754"/>
    <w:rsid w:val="00166A2C"/>
    <w:rsid w:val="001701B5"/>
    <w:rsid w:val="00170FE0"/>
    <w:rsid w:val="001712D1"/>
    <w:rsid w:val="00171CAB"/>
    <w:rsid w:val="00174D6D"/>
    <w:rsid w:val="00175101"/>
    <w:rsid w:val="00175466"/>
    <w:rsid w:val="00175D9D"/>
    <w:rsid w:val="00177167"/>
    <w:rsid w:val="001815EB"/>
    <w:rsid w:val="00181A66"/>
    <w:rsid w:val="00181B0A"/>
    <w:rsid w:val="00183264"/>
    <w:rsid w:val="00183C79"/>
    <w:rsid w:val="00183C8B"/>
    <w:rsid w:val="00183E75"/>
    <w:rsid w:val="001845CF"/>
    <w:rsid w:val="001862DA"/>
    <w:rsid w:val="001865BB"/>
    <w:rsid w:val="00187518"/>
    <w:rsid w:val="00187700"/>
    <w:rsid w:val="00190932"/>
    <w:rsid w:val="001928AF"/>
    <w:rsid w:val="00195110"/>
    <w:rsid w:val="00195FE1"/>
    <w:rsid w:val="00196B4E"/>
    <w:rsid w:val="001A027A"/>
    <w:rsid w:val="001A0A63"/>
    <w:rsid w:val="001A0D2C"/>
    <w:rsid w:val="001A422B"/>
    <w:rsid w:val="001A440A"/>
    <w:rsid w:val="001A4A55"/>
    <w:rsid w:val="001A6A4F"/>
    <w:rsid w:val="001A7098"/>
    <w:rsid w:val="001A76B7"/>
    <w:rsid w:val="001A7E72"/>
    <w:rsid w:val="001B08E1"/>
    <w:rsid w:val="001B1339"/>
    <w:rsid w:val="001B1804"/>
    <w:rsid w:val="001B24AF"/>
    <w:rsid w:val="001B2E6C"/>
    <w:rsid w:val="001B47E4"/>
    <w:rsid w:val="001B615A"/>
    <w:rsid w:val="001B6FAD"/>
    <w:rsid w:val="001C04B2"/>
    <w:rsid w:val="001C1C85"/>
    <w:rsid w:val="001C1FDE"/>
    <w:rsid w:val="001C371D"/>
    <w:rsid w:val="001C453A"/>
    <w:rsid w:val="001C5839"/>
    <w:rsid w:val="001C77E1"/>
    <w:rsid w:val="001C7ADA"/>
    <w:rsid w:val="001D0E67"/>
    <w:rsid w:val="001D0FF3"/>
    <w:rsid w:val="001D3543"/>
    <w:rsid w:val="001D58E5"/>
    <w:rsid w:val="001D5D08"/>
    <w:rsid w:val="001E085F"/>
    <w:rsid w:val="001E2502"/>
    <w:rsid w:val="001E2692"/>
    <w:rsid w:val="001E292F"/>
    <w:rsid w:val="001E2B8B"/>
    <w:rsid w:val="001E3C03"/>
    <w:rsid w:val="001E45F6"/>
    <w:rsid w:val="001E474D"/>
    <w:rsid w:val="001E48A2"/>
    <w:rsid w:val="001E5A81"/>
    <w:rsid w:val="001F0349"/>
    <w:rsid w:val="001F0B74"/>
    <w:rsid w:val="001F0F96"/>
    <w:rsid w:val="001F3C04"/>
    <w:rsid w:val="001F4EB8"/>
    <w:rsid w:val="001F602F"/>
    <w:rsid w:val="001F6122"/>
    <w:rsid w:val="001F6F6A"/>
    <w:rsid w:val="001F7595"/>
    <w:rsid w:val="00200B4C"/>
    <w:rsid w:val="00202802"/>
    <w:rsid w:val="00203267"/>
    <w:rsid w:val="0020391D"/>
    <w:rsid w:val="00205F9C"/>
    <w:rsid w:val="0021031B"/>
    <w:rsid w:val="00210771"/>
    <w:rsid w:val="00211885"/>
    <w:rsid w:val="00211B75"/>
    <w:rsid w:val="00215699"/>
    <w:rsid w:val="002159DE"/>
    <w:rsid w:val="00215E99"/>
    <w:rsid w:val="002166A6"/>
    <w:rsid w:val="00216BB6"/>
    <w:rsid w:val="00216C18"/>
    <w:rsid w:val="0022048B"/>
    <w:rsid w:val="00222261"/>
    <w:rsid w:val="0022634D"/>
    <w:rsid w:val="00226C55"/>
    <w:rsid w:val="00227D49"/>
    <w:rsid w:val="00227FC7"/>
    <w:rsid w:val="00230D46"/>
    <w:rsid w:val="002313B4"/>
    <w:rsid w:val="0023276B"/>
    <w:rsid w:val="002336B7"/>
    <w:rsid w:val="00236E72"/>
    <w:rsid w:val="00237E33"/>
    <w:rsid w:val="00237E42"/>
    <w:rsid w:val="00250818"/>
    <w:rsid w:val="00250D11"/>
    <w:rsid w:val="00250F42"/>
    <w:rsid w:val="0025396F"/>
    <w:rsid w:val="00254518"/>
    <w:rsid w:val="00254B44"/>
    <w:rsid w:val="00254E99"/>
    <w:rsid w:val="00255B14"/>
    <w:rsid w:val="0026027A"/>
    <w:rsid w:val="00260533"/>
    <w:rsid w:val="00261367"/>
    <w:rsid w:val="00261A54"/>
    <w:rsid w:val="00261D37"/>
    <w:rsid w:val="00263607"/>
    <w:rsid w:val="0026456B"/>
    <w:rsid w:val="00264D4D"/>
    <w:rsid w:val="002656E1"/>
    <w:rsid w:val="00265CFF"/>
    <w:rsid w:val="00266386"/>
    <w:rsid w:val="002673AB"/>
    <w:rsid w:val="00271400"/>
    <w:rsid w:val="0027162B"/>
    <w:rsid w:val="00274563"/>
    <w:rsid w:val="00275641"/>
    <w:rsid w:val="00275A58"/>
    <w:rsid w:val="00277E97"/>
    <w:rsid w:val="002821E9"/>
    <w:rsid w:val="002829A0"/>
    <w:rsid w:val="002834EA"/>
    <w:rsid w:val="002842BE"/>
    <w:rsid w:val="0028787B"/>
    <w:rsid w:val="002908A7"/>
    <w:rsid w:val="00291796"/>
    <w:rsid w:val="00292F66"/>
    <w:rsid w:val="0029315D"/>
    <w:rsid w:val="00294309"/>
    <w:rsid w:val="0029449E"/>
    <w:rsid w:val="00295866"/>
    <w:rsid w:val="00295A05"/>
    <w:rsid w:val="00296043"/>
    <w:rsid w:val="002969C6"/>
    <w:rsid w:val="00296F46"/>
    <w:rsid w:val="00296F8A"/>
    <w:rsid w:val="00297A89"/>
    <w:rsid w:val="002A180F"/>
    <w:rsid w:val="002A4597"/>
    <w:rsid w:val="002A58C9"/>
    <w:rsid w:val="002A63A6"/>
    <w:rsid w:val="002A6AAF"/>
    <w:rsid w:val="002A7ED8"/>
    <w:rsid w:val="002B188A"/>
    <w:rsid w:val="002B22D4"/>
    <w:rsid w:val="002B2C0A"/>
    <w:rsid w:val="002B37BD"/>
    <w:rsid w:val="002B404C"/>
    <w:rsid w:val="002B5F60"/>
    <w:rsid w:val="002B7684"/>
    <w:rsid w:val="002B7969"/>
    <w:rsid w:val="002C1398"/>
    <w:rsid w:val="002C2050"/>
    <w:rsid w:val="002C257A"/>
    <w:rsid w:val="002C3077"/>
    <w:rsid w:val="002C3550"/>
    <w:rsid w:val="002C5D1B"/>
    <w:rsid w:val="002C7DAA"/>
    <w:rsid w:val="002D0356"/>
    <w:rsid w:val="002D07C0"/>
    <w:rsid w:val="002D1DFB"/>
    <w:rsid w:val="002D45BF"/>
    <w:rsid w:val="002D4A85"/>
    <w:rsid w:val="002D64DF"/>
    <w:rsid w:val="002E0F88"/>
    <w:rsid w:val="002E36BC"/>
    <w:rsid w:val="002E38DB"/>
    <w:rsid w:val="002E4BAF"/>
    <w:rsid w:val="002E7510"/>
    <w:rsid w:val="002E7A8B"/>
    <w:rsid w:val="002F027E"/>
    <w:rsid w:val="002F1ADA"/>
    <w:rsid w:val="002F1BD1"/>
    <w:rsid w:val="002F1DB6"/>
    <w:rsid w:val="002F2B7A"/>
    <w:rsid w:val="002F3105"/>
    <w:rsid w:val="002F3248"/>
    <w:rsid w:val="002F41A5"/>
    <w:rsid w:val="002F4C44"/>
    <w:rsid w:val="002F555A"/>
    <w:rsid w:val="002F6441"/>
    <w:rsid w:val="002F72FF"/>
    <w:rsid w:val="00301BCD"/>
    <w:rsid w:val="0030463E"/>
    <w:rsid w:val="0030471F"/>
    <w:rsid w:val="00304ED6"/>
    <w:rsid w:val="00306FF4"/>
    <w:rsid w:val="00307C9E"/>
    <w:rsid w:val="00307D6E"/>
    <w:rsid w:val="00310454"/>
    <w:rsid w:val="00312AD3"/>
    <w:rsid w:val="00312E47"/>
    <w:rsid w:val="00315A06"/>
    <w:rsid w:val="00316C35"/>
    <w:rsid w:val="00317D36"/>
    <w:rsid w:val="003219B7"/>
    <w:rsid w:val="00321CB1"/>
    <w:rsid w:val="003225FB"/>
    <w:rsid w:val="003238CB"/>
    <w:rsid w:val="00323A7C"/>
    <w:rsid w:val="00323BE9"/>
    <w:rsid w:val="00323C32"/>
    <w:rsid w:val="003247C8"/>
    <w:rsid w:val="00324A1D"/>
    <w:rsid w:val="00325742"/>
    <w:rsid w:val="00327948"/>
    <w:rsid w:val="00327AB3"/>
    <w:rsid w:val="00334400"/>
    <w:rsid w:val="00336171"/>
    <w:rsid w:val="0033739F"/>
    <w:rsid w:val="0034054B"/>
    <w:rsid w:val="00342DC1"/>
    <w:rsid w:val="0034317E"/>
    <w:rsid w:val="00343F41"/>
    <w:rsid w:val="00345EA7"/>
    <w:rsid w:val="0034652C"/>
    <w:rsid w:val="00346D46"/>
    <w:rsid w:val="00347724"/>
    <w:rsid w:val="0035067B"/>
    <w:rsid w:val="00351A4A"/>
    <w:rsid w:val="00351BE3"/>
    <w:rsid w:val="00351FB4"/>
    <w:rsid w:val="00352C9B"/>
    <w:rsid w:val="0035346F"/>
    <w:rsid w:val="00360494"/>
    <w:rsid w:val="00361C35"/>
    <w:rsid w:val="003621BA"/>
    <w:rsid w:val="0036508D"/>
    <w:rsid w:val="003651C8"/>
    <w:rsid w:val="003664F5"/>
    <w:rsid w:val="003666DE"/>
    <w:rsid w:val="003669F1"/>
    <w:rsid w:val="00366BB7"/>
    <w:rsid w:val="003700A3"/>
    <w:rsid w:val="00370B40"/>
    <w:rsid w:val="003729FB"/>
    <w:rsid w:val="00373411"/>
    <w:rsid w:val="00373D40"/>
    <w:rsid w:val="00374C8B"/>
    <w:rsid w:val="003758BB"/>
    <w:rsid w:val="00376B8B"/>
    <w:rsid w:val="00380094"/>
    <w:rsid w:val="0038165D"/>
    <w:rsid w:val="003822D1"/>
    <w:rsid w:val="00383071"/>
    <w:rsid w:val="00383F15"/>
    <w:rsid w:val="00383F97"/>
    <w:rsid w:val="00385F39"/>
    <w:rsid w:val="00386EAA"/>
    <w:rsid w:val="00391FAB"/>
    <w:rsid w:val="00392539"/>
    <w:rsid w:val="00392677"/>
    <w:rsid w:val="003930CE"/>
    <w:rsid w:val="00394981"/>
    <w:rsid w:val="00394A36"/>
    <w:rsid w:val="00394D94"/>
    <w:rsid w:val="003953A8"/>
    <w:rsid w:val="0039542D"/>
    <w:rsid w:val="003955C9"/>
    <w:rsid w:val="00395CC5"/>
    <w:rsid w:val="0039788E"/>
    <w:rsid w:val="003A33B5"/>
    <w:rsid w:val="003A3551"/>
    <w:rsid w:val="003A38F0"/>
    <w:rsid w:val="003A3B5D"/>
    <w:rsid w:val="003A443D"/>
    <w:rsid w:val="003A525B"/>
    <w:rsid w:val="003A5E1D"/>
    <w:rsid w:val="003A6A5A"/>
    <w:rsid w:val="003A6BB4"/>
    <w:rsid w:val="003A72E9"/>
    <w:rsid w:val="003B183C"/>
    <w:rsid w:val="003B3629"/>
    <w:rsid w:val="003B444A"/>
    <w:rsid w:val="003B5A08"/>
    <w:rsid w:val="003B5EF3"/>
    <w:rsid w:val="003C274D"/>
    <w:rsid w:val="003C4A14"/>
    <w:rsid w:val="003C5B3E"/>
    <w:rsid w:val="003D03BB"/>
    <w:rsid w:val="003D2333"/>
    <w:rsid w:val="003D5413"/>
    <w:rsid w:val="003D7D9F"/>
    <w:rsid w:val="003E26DE"/>
    <w:rsid w:val="003E37AA"/>
    <w:rsid w:val="003E47DE"/>
    <w:rsid w:val="003E7F84"/>
    <w:rsid w:val="003F10D3"/>
    <w:rsid w:val="003F1548"/>
    <w:rsid w:val="003F2B3D"/>
    <w:rsid w:val="003F3105"/>
    <w:rsid w:val="003F4172"/>
    <w:rsid w:val="003F4249"/>
    <w:rsid w:val="003F5086"/>
    <w:rsid w:val="003F6E39"/>
    <w:rsid w:val="003F7EBD"/>
    <w:rsid w:val="003F7EC2"/>
    <w:rsid w:val="00400346"/>
    <w:rsid w:val="00403364"/>
    <w:rsid w:val="0040415C"/>
    <w:rsid w:val="0041450E"/>
    <w:rsid w:val="00415370"/>
    <w:rsid w:val="00415781"/>
    <w:rsid w:val="00416F40"/>
    <w:rsid w:val="004176B9"/>
    <w:rsid w:val="00417769"/>
    <w:rsid w:val="00421EF2"/>
    <w:rsid w:val="00422668"/>
    <w:rsid w:val="00422E97"/>
    <w:rsid w:val="0042469B"/>
    <w:rsid w:val="0042602D"/>
    <w:rsid w:val="00427D3D"/>
    <w:rsid w:val="00431AC1"/>
    <w:rsid w:val="004329C9"/>
    <w:rsid w:val="00432A55"/>
    <w:rsid w:val="00432CD5"/>
    <w:rsid w:val="00435683"/>
    <w:rsid w:val="004363AE"/>
    <w:rsid w:val="004363FA"/>
    <w:rsid w:val="004364CC"/>
    <w:rsid w:val="00436B3B"/>
    <w:rsid w:val="0044020B"/>
    <w:rsid w:val="004405B0"/>
    <w:rsid w:val="00441C9A"/>
    <w:rsid w:val="00441FF9"/>
    <w:rsid w:val="00442C5D"/>
    <w:rsid w:val="004433D8"/>
    <w:rsid w:val="0044382F"/>
    <w:rsid w:val="004442EB"/>
    <w:rsid w:val="0045106C"/>
    <w:rsid w:val="0045135E"/>
    <w:rsid w:val="00452C53"/>
    <w:rsid w:val="00453377"/>
    <w:rsid w:val="00454597"/>
    <w:rsid w:val="004548E6"/>
    <w:rsid w:val="0045543A"/>
    <w:rsid w:val="004561F9"/>
    <w:rsid w:val="0045637C"/>
    <w:rsid w:val="00456F7B"/>
    <w:rsid w:val="0045748B"/>
    <w:rsid w:val="0045769D"/>
    <w:rsid w:val="004600C9"/>
    <w:rsid w:val="004603D6"/>
    <w:rsid w:val="00462B8A"/>
    <w:rsid w:val="00463F8B"/>
    <w:rsid w:val="00465C1D"/>
    <w:rsid w:val="0046687B"/>
    <w:rsid w:val="00467F12"/>
    <w:rsid w:val="00470418"/>
    <w:rsid w:val="0047173E"/>
    <w:rsid w:val="004727C4"/>
    <w:rsid w:val="00473579"/>
    <w:rsid w:val="004767F2"/>
    <w:rsid w:val="0047738F"/>
    <w:rsid w:val="00482104"/>
    <w:rsid w:val="0048231B"/>
    <w:rsid w:val="0048233B"/>
    <w:rsid w:val="004838D4"/>
    <w:rsid w:val="00483D7F"/>
    <w:rsid w:val="004845AC"/>
    <w:rsid w:val="00485044"/>
    <w:rsid w:val="00485E3C"/>
    <w:rsid w:val="00486BCD"/>
    <w:rsid w:val="00486EE4"/>
    <w:rsid w:val="00487C76"/>
    <w:rsid w:val="00487E80"/>
    <w:rsid w:val="0049131E"/>
    <w:rsid w:val="004915C1"/>
    <w:rsid w:val="00492735"/>
    <w:rsid w:val="004938B5"/>
    <w:rsid w:val="00494FC9"/>
    <w:rsid w:val="00495A2D"/>
    <w:rsid w:val="004A1BC0"/>
    <w:rsid w:val="004A201B"/>
    <w:rsid w:val="004A2B99"/>
    <w:rsid w:val="004A3423"/>
    <w:rsid w:val="004A4377"/>
    <w:rsid w:val="004A4F8A"/>
    <w:rsid w:val="004A5643"/>
    <w:rsid w:val="004A57EB"/>
    <w:rsid w:val="004A5824"/>
    <w:rsid w:val="004A7D3F"/>
    <w:rsid w:val="004B1A8A"/>
    <w:rsid w:val="004B1CAB"/>
    <w:rsid w:val="004B24C7"/>
    <w:rsid w:val="004B36ED"/>
    <w:rsid w:val="004B612E"/>
    <w:rsid w:val="004B623B"/>
    <w:rsid w:val="004B6C30"/>
    <w:rsid w:val="004B7B6B"/>
    <w:rsid w:val="004C0A72"/>
    <w:rsid w:val="004C343E"/>
    <w:rsid w:val="004C3E02"/>
    <w:rsid w:val="004C422D"/>
    <w:rsid w:val="004C4CEB"/>
    <w:rsid w:val="004C600A"/>
    <w:rsid w:val="004C76D6"/>
    <w:rsid w:val="004D000F"/>
    <w:rsid w:val="004D0B1F"/>
    <w:rsid w:val="004D4AE0"/>
    <w:rsid w:val="004D7092"/>
    <w:rsid w:val="004D7A6D"/>
    <w:rsid w:val="004D7BF4"/>
    <w:rsid w:val="004D7C92"/>
    <w:rsid w:val="004E1A92"/>
    <w:rsid w:val="004E25FE"/>
    <w:rsid w:val="004E38B2"/>
    <w:rsid w:val="004E3936"/>
    <w:rsid w:val="004E4375"/>
    <w:rsid w:val="004E57F7"/>
    <w:rsid w:val="004E5D9C"/>
    <w:rsid w:val="004E6B8E"/>
    <w:rsid w:val="004F0543"/>
    <w:rsid w:val="004F2464"/>
    <w:rsid w:val="004F39E6"/>
    <w:rsid w:val="004F5309"/>
    <w:rsid w:val="004F7578"/>
    <w:rsid w:val="00500F7A"/>
    <w:rsid w:val="005011F2"/>
    <w:rsid w:val="005012AD"/>
    <w:rsid w:val="005027BB"/>
    <w:rsid w:val="005027FF"/>
    <w:rsid w:val="005037E1"/>
    <w:rsid w:val="00503B5C"/>
    <w:rsid w:val="0050456A"/>
    <w:rsid w:val="005068E1"/>
    <w:rsid w:val="005077B8"/>
    <w:rsid w:val="005077C5"/>
    <w:rsid w:val="005109C3"/>
    <w:rsid w:val="005114A3"/>
    <w:rsid w:val="00511578"/>
    <w:rsid w:val="0051168A"/>
    <w:rsid w:val="005122F4"/>
    <w:rsid w:val="0051378D"/>
    <w:rsid w:val="005156A6"/>
    <w:rsid w:val="00516393"/>
    <w:rsid w:val="00517CBD"/>
    <w:rsid w:val="0052007F"/>
    <w:rsid w:val="00520B4F"/>
    <w:rsid w:val="00523FDE"/>
    <w:rsid w:val="00524AD7"/>
    <w:rsid w:val="00524C32"/>
    <w:rsid w:val="00525C95"/>
    <w:rsid w:val="0052720F"/>
    <w:rsid w:val="0052777E"/>
    <w:rsid w:val="00527D36"/>
    <w:rsid w:val="0053016F"/>
    <w:rsid w:val="005328A8"/>
    <w:rsid w:val="00532ED1"/>
    <w:rsid w:val="005333A6"/>
    <w:rsid w:val="00533920"/>
    <w:rsid w:val="00535324"/>
    <w:rsid w:val="00535BCB"/>
    <w:rsid w:val="005362F0"/>
    <w:rsid w:val="0054216F"/>
    <w:rsid w:val="0054217F"/>
    <w:rsid w:val="00542F18"/>
    <w:rsid w:val="00543D3F"/>
    <w:rsid w:val="00544853"/>
    <w:rsid w:val="005450E2"/>
    <w:rsid w:val="00546BC1"/>
    <w:rsid w:val="00547B51"/>
    <w:rsid w:val="005508BA"/>
    <w:rsid w:val="00551BC0"/>
    <w:rsid w:val="0055232C"/>
    <w:rsid w:val="00552D5B"/>
    <w:rsid w:val="00556A77"/>
    <w:rsid w:val="00557006"/>
    <w:rsid w:val="0055764E"/>
    <w:rsid w:val="0056017B"/>
    <w:rsid w:val="00560528"/>
    <w:rsid w:val="005608A8"/>
    <w:rsid w:val="00561923"/>
    <w:rsid w:val="00562773"/>
    <w:rsid w:val="00562A9F"/>
    <w:rsid w:val="00562DC0"/>
    <w:rsid w:val="0056310A"/>
    <w:rsid w:val="0056336F"/>
    <w:rsid w:val="00563CF8"/>
    <w:rsid w:val="0056404F"/>
    <w:rsid w:val="00567598"/>
    <w:rsid w:val="0056793E"/>
    <w:rsid w:val="005705B8"/>
    <w:rsid w:val="00571319"/>
    <w:rsid w:val="00571D59"/>
    <w:rsid w:val="00572093"/>
    <w:rsid w:val="00572E3E"/>
    <w:rsid w:val="005738BA"/>
    <w:rsid w:val="0057420B"/>
    <w:rsid w:val="00574FEE"/>
    <w:rsid w:val="00575E20"/>
    <w:rsid w:val="00580280"/>
    <w:rsid w:val="0058135A"/>
    <w:rsid w:val="00582129"/>
    <w:rsid w:val="005825B0"/>
    <w:rsid w:val="00584058"/>
    <w:rsid w:val="005851E0"/>
    <w:rsid w:val="00585571"/>
    <w:rsid w:val="00585B91"/>
    <w:rsid w:val="00585EB3"/>
    <w:rsid w:val="00586BF1"/>
    <w:rsid w:val="0058770D"/>
    <w:rsid w:val="005903E4"/>
    <w:rsid w:val="0059059E"/>
    <w:rsid w:val="005909BC"/>
    <w:rsid w:val="00590C1C"/>
    <w:rsid w:val="0059288B"/>
    <w:rsid w:val="00592E36"/>
    <w:rsid w:val="00593678"/>
    <w:rsid w:val="005950D6"/>
    <w:rsid w:val="00595802"/>
    <w:rsid w:val="00595F05"/>
    <w:rsid w:val="0059751C"/>
    <w:rsid w:val="00597919"/>
    <w:rsid w:val="00597C3D"/>
    <w:rsid w:val="005A0B9F"/>
    <w:rsid w:val="005A0DA9"/>
    <w:rsid w:val="005A50E7"/>
    <w:rsid w:val="005A63D8"/>
    <w:rsid w:val="005A7B1A"/>
    <w:rsid w:val="005A7DBE"/>
    <w:rsid w:val="005B1244"/>
    <w:rsid w:val="005B35FA"/>
    <w:rsid w:val="005B3606"/>
    <w:rsid w:val="005B49B6"/>
    <w:rsid w:val="005B7733"/>
    <w:rsid w:val="005B7744"/>
    <w:rsid w:val="005B7A22"/>
    <w:rsid w:val="005C0213"/>
    <w:rsid w:val="005C0263"/>
    <w:rsid w:val="005C0602"/>
    <w:rsid w:val="005C0EBC"/>
    <w:rsid w:val="005C1BC0"/>
    <w:rsid w:val="005C274D"/>
    <w:rsid w:val="005C40C7"/>
    <w:rsid w:val="005C56DF"/>
    <w:rsid w:val="005C6321"/>
    <w:rsid w:val="005C6323"/>
    <w:rsid w:val="005C7DE4"/>
    <w:rsid w:val="005C7EB5"/>
    <w:rsid w:val="005D25C8"/>
    <w:rsid w:val="005D3771"/>
    <w:rsid w:val="005D4CF7"/>
    <w:rsid w:val="005D4E66"/>
    <w:rsid w:val="005D5347"/>
    <w:rsid w:val="005D5CC5"/>
    <w:rsid w:val="005D61EA"/>
    <w:rsid w:val="005D787B"/>
    <w:rsid w:val="005D7B2B"/>
    <w:rsid w:val="005E04B5"/>
    <w:rsid w:val="005E12BE"/>
    <w:rsid w:val="005E1C53"/>
    <w:rsid w:val="005E24F2"/>
    <w:rsid w:val="005E3FDD"/>
    <w:rsid w:val="005E603B"/>
    <w:rsid w:val="005E7ECB"/>
    <w:rsid w:val="005F2EA8"/>
    <w:rsid w:val="005F6315"/>
    <w:rsid w:val="005F64C6"/>
    <w:rsid w:val="005F784E"/>
    <w:rsid w:val="00600286"/>
    <w:rsid w:val="006008F1"/>
    <w:rsid w:val="00601484"/>
    <w:rsid w:val="00601735"/>
    <w:rsid w:val="00602081"/>
    <w:rsid w:val="00602761"/>
    <w:rsid w:val="00602BD2"/>
    <w:rsid w:val="00605C53"/>
    <w:rsid w:val="006105FE"/>
    <w:rsid w:val="0061104C"/>
    <w:rsid w:val="006138AC"/>
    <w:rsid w:val="00613C47"/>
    <w:rsid w:val="00615021"/>
    <w:rsid w:val="00616201"/>
    <w:rsid w:val="00616225"/>
    <w:rsid w:val="006162DA"/>
    <w:rsid w:val="006163FB"/>
    <w:rsid w:val="00617A8B"/>
    <w:rsid w:val="00620499"/>
    <w:rsid w:val="00620E1B"/>
    <w:rsid w:val="00620F9D"/>
    <w:rsid w:val="00621904"/>
    <w:rsid w:val="00622FEA"/>
    <w:rsid w:val="00623CDF"/>
    <w:rsid w:val="00623DB1"/>
    <w:rsid w:val="00623E83"/>
    <w:rsid w:val="006245F3"/>
    <w:rsid w:val="0062520A"/>
    <w:rsid w:val="00626576"/>
    <w:rsid w:val="006304F9"/>
    <w:rsid w:val="00630CF6"/>
    <w:rsid w:val="006319CA"/>
    <w:rsid w:val="00632355"/>
    <w:rsid w:val="00632820"/>
    <w:rsid w:val="00634EC0"/>
    <w:rsid w:val="0063627F"/>
    <w:rsid w:val="006368FD"/>
    <w:rsid w:val="00636F3A"/>
    <w:rsid w:val="00640C1A"/>
    <w:rsid w:val="00640E88"/>
    <w:rsid w:val="00642320"/>
    <w:rsid w:val="006425D2"/>
    <w:rsid w:val="00642D72"/>
    <w:rsid w:val="006440DC"/>
    <w:rsid w:val="006443CB"/>
    <w:rsid w:val="00644F80"/>
    <w:rsid w:val="00645874"/>
    <w:rsid w:val="00645BAA"/>
    <w:rsid w:val="00650271"/>
    <w:rsid w:val="006508BE"/>
    <w:rsid w:val="0065106B"/>
    <w:rsid w:val="00651ADF"/>
    <w:rsid w:val="006529D2"/>
    <w:rsid w:val="00653F11"/>
    <w:rsid w:val="006569DD"/>
    <w:rsid w:val="006605B1"/>
    <w:rsid w:val="00660B74"/>
    <w:rsid w:val="00661918"/>
    <w:rsid w:val="00662A5A"/>
    <w:rsid w:val="00662FB7"/>
    <w:rsid w:val="006636D0"/>
    <w:rsid w:val="006653D7"/>
    <w:rsid w:val="0066601D"/>
    <w:rsid w:val="006663B6"/>
    <w:rsid w:val="006665BA"/>
    <w:rsid w:val="00666A4F"/>
    <w:rsid w:val="00667D28"/>
    <w:rsid w:val="006703D9"/>
    <w:rsid w:val="00671402"/>
    <w:rsid w:val="00673586"/>
    <w:rsid w:val="006756C7"/>
    <w:rsid w:val="006768B0"/>
    <w:rsid w:val="00680936"/>
    <w:rsid w:val="00680D8C"/>
    <w:rsid w:val="006818BA"/>
    <w:rsid w:val="00681BC4"/>
    <w:rsid w:val="00681F7E"/>
    <w:rsid w:val="006826B3"/>
    <w:rsid w:val="00682725"/>
    <w:rsid w:val="00682ED3"/>
    <w:rsid w:val="006836D4"/>
    <w:rsid w:val="00690A31"/>
    <w:rsid w:val="00690AA5"/>
    <w:rsid w:val="00692582"/>
    <w:rsid w:val="00693652"/>
    <w:rsid w:val="006939E7"/>
    <w:rsid w:val="00693D3E"/>
    <w:rsid w:val="006942F7"/>
    <w:rsid w:val="00695E60"/>
    <w:rsid w:val="00696195"/>
    <w:rsid w:val="00696B0E"/>
    <w:rsid w:val="00697FE8"/>
    <w:rsid w:val="006A2150"/>
    <w:rsid w:val="006A241D"/>
    <w:rsid w:val="006A2F71"/>
    <w:rsid w:val="006A3288"/>
    <w:rsid w:val="006A421F"/>
    <w:rsid w:val="006A43E6"/>
    <w:rsid w:val="006A50CF"/>
    <w:rsid w:val="006A70BE"/>
    <w:rsid w:val="006B059F"/>
    <w:rsid w:val="006B45F6"/>
    <w:rsid w:val="006B59DA"/>
    <w:rsid w:val="006B65CD"/>
    <w:rsid w:val="006B6F32"/>
    <w:rsid w:val="006B7130"/>
    <w:rsid w:val="006B74B5"/>
    <w:rsid w:val="006C16B0"/>
    <w:rsid w:val="006C1941"/>
    <w:rsid w:val="006C3E5D"/>
    <w:rsid w:val="006C4150"/>
    <w:rsid w:val="006C5683"/>
    <w:rsid w:val="006C5E33"/>
    <w:rsid w:val="006C5E48"/>
    <w:rsid w:val="006C5ED1"/>
    <w:rsid w:val="006C6434"/>
    <w:rsid w:val="006C6CD8"/>
    <w:rsid w:val="006D013F"/>
    <w:rsid w:val="006D017F"/>
    <w:rsid w:val="006D1D3F"/>
    <w:rsid w:val="006D253B"/>
    <w:rsid w:val="006D262F"/>
    <w:rsid w:val="006D3CD8"/>
    <w:rsid w:val="006D4C8F"/>
    <w:rsid w:val="006D4ECB"/>
    <w:rsid w:val="006D57CB"/>
    <w:rsid w:val="006D5AA9"/>
    <w:rsid w:val="006D6CDD"/>
    <w:rsid w:val="006E0CD0"/>
    <w:rsid w:val="006E3844"/>
    <w:rsid w:val="006E4238"/>
    <w:rsid w:val="006E7404"/>
    <w:rsid w:val="006E7B97"/>
    <w:rsid w:val="006E7E0C"/>
    <w:rsid w:val="006F03F3"/>
    <w:rsid w:val="006F10EC"/>
    <w:rsid w:val="006F2627"/>
    <w:rsid w:val="006F2C32"/>
    <w:rsid w:val="006F3C14"/>
    <w:rsid w:val="006F5031"/>
    <w:rsid w:val="006F5B2E"/>
    <w:rsid w:val="006F62AD"/>
    <w:rsid w:val="006F6D4C"/>
    <w:rsid w:val="006F6E67"/>
    <w:rsid w:val="006F7036"/>
    <w:rsid w:val="006F7157"/>
    <w:rsid w:val="006F721B"/>
    <w:rsid w:val="006F78E0"/>
    <w:rsid w:val="00700A1E"/>
    <w:rsid w:val="00701957"/>
    <w:rsid w:val="00702B1B"/>
    <w:rsid w:val="007030FA"/>
    <w:rsid w:val="00704117"/>
    <w:rsid w:val="00704164"/>
    <w:rsid w:val="00705197"/>
    <w:rsid w:val="0070619F"/>
    <w:rsid w:val="00706A58"/>
    <w:rsid w:val="00707AC7"/>
    <w:rsid w:val="007110E1"/>
    <w:rsid w:val="00714394"/>
    <w:rsid w:val="00717B25"/>
    <w:rsid w:val="00717C8C"/>
    <w:rsid w:val="00721C26"/>
    <w:rsid w:val="00721F06"/>
    <w:rsid w:val="00721F7E"/>
    <w:rsid w:val="00722E29"/>
    <w:rsid w:val="007238B5"/>
    <w:rsid w:val="00724606"/>
    <w:rsid w:val="007248EA"/>
    <w:rsid w:val="00724E85"/>
    <w:rsid w:val="00731391"/>
    <w:rsid w:val="007347F9"/>
    <w:rsid w:val="00734887"/>
    <w:rsid w:val="007365B6"/>
    <w:rsid w:val="007401E2"/>
    <w:rsid w:val="00740C05"/>
    <w:rsid w:val="00740F18"/>
    <w:rsid w:val="007411E5"/>
    <w:rsid w:val="0074324F"/>
    <w:rsid w:val="00746951"/>
    <w:rsid w:val="007476B0"/>
    <w:rsid w:val="0074791E"/>
    <w:rsid w:val="00750C5F"/>
    <w:rsid w:val="0075115D"/>
    <w:rsid w:val="00751A33"/>
    <w:rsid w:val="00752609"/>
    <w:rsid w:val="00753890"/>
    <w:rsid w:val="007555DF"/>
    <w:rsid w:val="007565CF"/>
    <w:rsid w:val="007567E2"/>
    <w:rsid w:val="00761434"/>
    <w:rsid w:val="007617E4"/>
    <w:rsid w:val="00761FD5"/>
    <w:rsid w:val="00765DD8"/>
    <w:rsid w:val="00766D36"/>
    <w:rsid w:val="00767607"/>
    <w:rsid w:val="00767EC5"/>
    <w:rsid w:val="00771AFC"/>
    <w:rsid w:val="0077233F"/>
    <w:rsid w:val="00772857"/>
    <w:rsid w:val="007735A0"/>
    <w:rsid w:val="00773874"/>
    <w:rsid w:val="00775114"/>
    <w:rsid w:val="007805FD"/>
    <w:rsid w:val="007806A0"/>
    <w:rsid w:val="00780F0B"/>
    <w:rsid w:val="0078243A"/>
    <w:rsid w:val="007840F3"/>
    <w:rsid w:val="00785491"/>
    <w:rsid w:val="007858C0"/>
    <w:rsid w:val="007861D5"/>
    <w:rsid w:val="0078679A"/>
    <w:rsid w:val="00786CBC"/>
    <w:rsid w:val="007902C7"/>
    <w:rsid w:val="00790392"/>
    <w:rsid w:val="00791E50"/>
    <w:rsid w:val="00792447"/>
    <w:rsid w:val="0079694C"/>
    <w:rsid w:val="007A4A53"/>
    <w:rsid w:val="007A4E17"/>
    <w:rsid w:val="007A5E2E"/>
    <w:rsid w:val="007A7F6D"/>
    <w:rsid w:val="007B0FBD"/>
    <w:rsid w:val="007B14E4"/>
    <w:rsid w:val="007B1513"/>
    <w:rsid w:val="007B1BAF"/>
    <w:rsid w:val="007B2613"/>
    <w:rsid w:val="007B35F7"/>
    <w:rsid w:val="007B3F04"/>
    <w:rsid w:val="007B41AD"/>
    <w:rsid w:val="007B4F72"/>
    <w:rsid w:val="007B6E7F"/>
    <w:rsid w:val="007C0E04"/>
    <w:rsid w:val="007C2827"/>
    <w:rsid w:val="007C3084"/>
    <w:rsid w:val="007C33E9"/>
    <w:rsid w:val="007C3A26"/>
    <w:rsid w:val="007C4CE1"/>
    <w:rsid w:val="007C543F"/>
    <w:rsid w:val="007C597D"/>
    <w:rsid w:val="007C74E5"/>
    <w:rsid w:val="007C7F57"/>
    <w:rsid w:val="007D0CF3"/>
    <w:rsid w:val="007D0E43"/>
    <w:rsid w:val="007D1064"/>
    <w:rsid w:val="007D110D"/>
    <w:rsid w:val="007D13E7"/>
    <w:rsid w:val="007D1E37"/>
    <w:rsid w:val="007D2BEC"/>
    <w:rsid w:val="007D563E"/>
    <w:rsid w:val="007D5FC1"/>
    <w:rsid w:val="007D6274"/>
    <w:rsid w:val="007D715A"/>
    <w:rsid w:val="007E0956"/>
    <w:rsid w:val="007E0E9E"/>
    <w:rsid w:val="007E1760"/>
    <w:rsid w:val="007E21FB"/>
    <w:rsid w:val="007E420B"/>
    <w:rsid w:val="007E4932"/>
    <w:rsid w:val="007E502C"/>
    <w:rsid w:val="007E5BD7"/>
    <w:rsid w:val="007E75F0"/>
    <w:rsid w:val="007E7968"/>
    <w:rsid w:val="007F013A"/>
    <w:rsid w:val="007F0438"/>
    <w:rsid w:val="007F15DB"/>
    <w:rsid w:val="007F20BF"/>
    <w:rsid w:val="007F2D90"/>
    <w:rsid w:val="007F2E3A"/>
    <w:rsid w:val="007F4F82"/>
    <w:rsid w:val="007F5E16"/>
    <w:rsid w:val="008022B0"/>
    <w:rsid w:val="00802FF0"/>
    <w:rsid w:val="00803B66"/>
    <w:rsid w:val="00804653"/>
    <w:rsid w:val="008048E6"/>
    <w:rsid w:val="00804FDA"/>
    <w:rsid w:val="00805FFC"/>
    <w:rsid w:val="00806A84"/>
    <w:rsid w:val="00807A9F"/>
    <w:rsid w:val="00807C6C"/>
    <w:rsid w:val="00807DA4"/>
    <w:rsid w:val="00807E48"/>
    <w:rsid w:val="008100B5"/>
    <w:rsid w:val="00810B5A"/>
    <w:rsid w:val="0081340B"/>
    <w:rsid w:val="00813815"/>
    <w:rsid w:val="00814F7B"/>
    <w:rsid w:val="00814F7C"/>
    <w:rsid w:val="008176F6"/>
    <w:rsid w:val="00817796"/>
    <w:rsid w:val="00817BB4"/>
    <w:rsid w:val="00821021"/>
    <w:rsid w:val="0082103F"/>
    <w:rsid w:val="008214BB"/>
    <w:rsid w:val="00821B58"/>
    <w:rsid w:val="00822D4E"/>
    <w:rsid w:val="00824A69"/>
    <w:rsid w:val="00826F4C"/>
    <w:rsid w:val="008305A4"/>
    <w:rsid w:val="00833DE9"/>
    <w:rsid w:val="00834991"/>
    <w:rsid w:val="00834C3F"/>
    <w:rsid w:val="008377DA"/>
    <w:rsid w:val="008401A7"/>
    <w:rsid w:val="00840A75"/>
    <w:rsid w:val="00841B84"/>
    <w:rsid w:val="00844A5E"/>
    <w:rsid w:val="00845303"/>
    <w:rsid w:val="00845A15"/>
    <w:rsid w:val="0084632F"/>
    <w:rsid w:val="00846C97"/>
    <w:rsid w:val="00850399"/>
    <w:rsid w:val="008516D4"/>
    <w:rsid w:val="00853025"/>
    <w:rsid w:val="00855B06"/>
    <w:rsid w:val="00855EF0"/>
    <w:rsid w:val="00857D29"/>
    <w:rsid w:val="00857EDE"/>
    <w:rsid w:val="00860FDE"/>
    <w:rsid w:val="008629A8"/>
    <w:rsid w:val="008660F7"/>
    <w:rsid w:val="00870CB6"/>
    <w:rsid w:val="008710E8"/>
    <w:rsid w:val="00871311"/>
    <w:rsid w:val="00872301"/>
    <w:rsid w:val="00872DED"/>
    <w:rsid w:val="00873514"/>
    <w:rsid w:val="008738A4"/>
    <w:rsid w:val="00873946"/>
    <w:rsid w:val="00873DF8"/>
    <w:rsid w:val="00873FEA"/>
    <w:rsid w:val="0087419B"/>
    <w:rsid w:val="00874592"/>
    <w:rsid w:val="00877936"/>
    <w:rsid w:val="00877A1C"/>
    <w:rsid w:val="008818F6"/>
    <w:rsid w:val="0088398E"/>
    <w:rsid w:val="0088409D"/>
    <w:rsid w:val="00885182"/>
    <w:rsid w:val="00887E02"/>
    <w:rsid w:val="00891106"/>
    <w:rsid w:val="0089177F"/>
    <w:rsid w:val="008917BA"/>
    <w:rsid w:val="00891F81"/>
    <w:rsid w:val="008925F5"/>
    <w:rsid w:val="00892887"/>
    <w:rsid w:val="00893479"/>
    <w:rsid w:val="00897A5D"/>
    <w:rsid w:val="008A0D86"/>
    <w:rsid w:val="008A0EAA"/>
    <w:rsid w:val="008A1698"/>
    <w:rsid w:val="008A1C47"/>
    <w:rsid w:val="008A37A4"/>
    <w:rsid w:val="008A5290"/>
    <w:rsid w:val="008A593A"/>
    <w:rsid w:val="008A6C5A"/>
    <w:rsid w:val="008B2032"/>
    <w:rsid w:val="008B244C"/>
    <w:rsid w:val="008B28C8"/>
    <w:rsid w:val="008B2DF3"/>
    <w:rsid w:val="008B302B"/>
    <w:rsid w:val="008B3310"/>
    <w:rsid w:val="008B376A"/>
    <w:rsid w:val="008B43B3"/>
    <w:rsid w:val="008B7220"/>
    <w:rsid w:val="008B72EB"/>
    <w:rsid w:val="008B7C19"/>
    <w:rsid w:val="008C08A5"/>
    <w:rsid w:val="008C1DD7"/>
    <w:rsid w:val="008C4350"/>
    <w:rsid w:val="008C5190"/>
    <w:rsid w:val="008C5770"/>
    <w:rsid w:val="008C5AF9"/>
    <w:rsid w:val="008C5D44"/>
    <w:rsid w:val="008C6166"/>
    <w:rsid w:val="008C64E3"/>
    <w:rsid w:val="008D0D1E"/>
    <w:rsid w:val="008D4181"/>
    <w:rsid w:val="008D67DF"/>
    <w:rsid w:val="008E14EA"/>
    <w:rsid w:val="008E1E54"/>
    <w:rsid w:val="008E221C"/>
    <w:rsid w:val="008E3C88"/>
    <w:rsid w:val="008E3F00"/>
    <w:rsid w:val="008E406F"/>
    <w:rsid w:val="008E539C"/>
    <w:rsid w:val="008E78F2"/>
    <w:rsid w:val="008E7BC8"/>
    <w:rsid w:val="008F022C"/>
    <w:rsid w:val="008F1645"/>
    <w:rsid w:val="008F20AC"/>
    <w:rsid w:val="008F3B22"/>
    <w:rsid w:val="008F4D98"/>
    <w:rsid w:val="008F4E36"/>
    <w:rsid w:val="00901DE1"/>
    <w:rsid w:val="0090293A"/>
    <w:rsid w:val="009041DF"/>
    <w:rsid w:val="009054E0"/>
    <w:rsid w:val="00907B84"/>
    <w:rsid w:val="00910101"/>
    <w:rsid w:val="009109E3"/>
    <w:rsid w:val="00911947"/>
    <w:rsid w:val="009160D6"/>
    <w:rsid w:val="0091746C"/>
    <w:rsid w:val="009207DB"/>
    <w:rsid w:val="00921AB5"/>
    <w:rsid w:val="00922024"/>
    <w:rsid w:val="00922823"/>
    <w:rsid w:val="00923D4B"/>
    <w:rsid w:val="00925501"/>
    <w:rsid w:val="00925729"/>
    <w:rsid w:val="00926982"/>
    <w:rsid w:val="00926FAC"/>
    <w:rsid w:val="00927000"/>
    <w:rsid w:val="009270C4"/>
    <w:rsid w:val="00927C47"/>
    <w:rsid w:val="009308C6"/>
    <w:rsid w:val="0093114A"/>
    <w:rsid w:val="00932A4A"/>
    <w:rsid w:val="00933756"/>
    <w:rsid w:val="00934401"/>
    <w:rsid w:val="00934591"/>
    <w:rsid w:val="00934621"/>
    <w:rsid w:val="00935C0B"/>
    <w:rsid w:val="00936CAF"/>
    <w:rsid w:val="0093740F"/>
    <w:rsid w:val="009379C0"/>
    <w:rsid w:val="00937B4A"/>
    <w:rsid w:val="00937C1D"/>
    <w:rsid w:val="009401C3"/>
    <w:rsid w:val="00940FC3"/>
    <w:rsid w:val="0094131D"/>
    <w:rsid w:val="00942120"/>
    <w:rsid w:val="009425F7"/>
    <w:rsid w:val="009426CD"/>
    <w:rsid w:val="009444BE"/>
    <w:rsid w:val="00944BF0"/>
    <w:rsid w:val="00945657"/>
    <w:rsid w:val="00946136"/>
    <w:rsid w:val="00947046"/>
    <w:rsid w:val="00947EFF"/>
    <w:rsid w:val="00950305"/>
    <w:rsid w:val="00950D02"/>
    <w:rsid w:val="00952842"/>
    <w:rsid w:val="00953A5B"/>
    <w:rsid w:val="00954282"/>
    <w:rsid w:val="00954427"/>
    <w:rsid w:val="00956665"/>
    <w:rsid w:val="00956683"/>
    <w:rsid w:val="00961B8C"/>
    <w:rsid w:val="00965047"/>
    <w:rsid w:val="009660A0"/>
    <w:rsid w:val="0096797D"/>
    <w:rsid w:val="00970887"/>
    <w:rsid w:val="009731CA"/>
    <w:rsid w:val="00973295"/>
    <w:rsid w:val="00974307"/>
    <w:rsid w:val="00975C75"/>
    <w:rsid w:val="009765B8"/>
    <w:rsid w:val="009765F7"/>
    <w:rsid w:val="0097747E"/>
    <w:rsid w:val="0098177A"/>
    <w:rsid w:val="009820D6"/>
    <w:rsid w:val="00983EFD"/>
    <w:rsid w:val="00986257"/>
    <w:rsid w:val="00986861"/>
    <w:rsid w:val="0098791B"/>
    <w:rsid w:val="00987CBC"/>
    <w:rsid w:val="00990028"/>
    <w:rsid w:val="00991B2E"/>
    <w:rsid w:val="00991CE3"/>
    <w:rsid w:val="00992D67"/>
    <w:rsid w:val="00993A2E"/>
    <w:rsid w:val="00995768"/>
    <w:rsid w:val="00996326"/>
    <w:rsid w:val="009974A6"/>
    <w:rsid w:val="009A07D5"/>
    <w:rsid w:val="009A1722"/>
    <w:rsid w:val="009A2C63"/>
    <w:rsid w:val="009A3970"/>
    <w:rsid w:val="009A44E8"/>
    <w:rsid w:val="009A5867"/>
    <w:rsid w:val="009A67CC"/>
    <w:rsid w:val="009A71CF"/>
    <w:rsid w:val="009A72AB"/>
    <w:rsid w:val="009B198F"/>
    <w:rsid w:val="009B1DA5"/>
    <w:rsid w:val="009B1EBF"/>
    <w:rsid w:val="009B28FD"/>
    <w:rsid w:val="009B2AD6"/>
    <w:rsid w:val="009B5594"/>
    <w:rsid w:val="009B61E8"/>
    <w:rsid w:val="009B6AF2"/>
    <w:rsid w:val="009B729E"/>
    <w:rsid w:val="009B7498"/>
    <w:rsid w:val="009B75BD"/>
    <w:rsid w:val="009B77BA"/>
    <w:rsid w:val="009C14AD"/>
    <w:rsid w:val="009C325F"/>
    <w:rsid w:val="009C3D84"/>
    <w:rsid w:val="009C5B08"/>
    <w:rsid w:val="009C5FDE"/>
    <w:rsid w:val="009C7B1D"/>
    <w:rsid w:val="009D03F1"/>
    <w:rsid w:val="009D14D6"/>
    <w:rsid w:val="009D1CA3"/>
    <w:rsid w:val="009D1CF4"/>
    <w:rsid w:val="009D234F"/>
    <w:rsid w:val="009D380F"/>
    <w:rsid w:val="009D3BDD"/>
    <w:rsid w:val="009D42A6"/>
    <w:rsid w:val="009D496C"/>
    <w:rsid w:val="009D57A7"/>
    <w:rsid w:val="009D6D94"/>
    <w:rsid w:val="009D6EE2"/>
    <w:rsid w:val="009E0C37"/>
    <w:rsid w:val="009E16FB"/>
    <w:rsid w:val="009E3533"/>
    <w:rsid w:val="009E5690"/>
    <w:rsid w:val="009E56B0"/>
    <w:rsid w:val="009E6DD0"/>
    <w:rsid w:val="009E7C0E"/>
    <w:rsid w:val="009F0BD9"/>
    <w:rsid w:val="009F2035"/>
    <w:rsid w:val="009F2691"/>
    <w:rsid w:val="009F2B15"/>
    <w:rsid w:val="009F33FA"/>
    <w:rsid w:val="009F5324"/>
    <w:rsid w:val="009F78D8"/>
    <w:rsid w:val="00A01C1F"/>
    <w:rsid w:val="00A01C98"/>
    <w:rsid w:val="00A0203F"/>
    <w:rsid w:val="00A03585"/>
    <w:rsid w:val="00A06A54"/>
    <w:rsid w:val="00A10120"/>
    <w:rsid w:val="00A10423"/>
    <w:rsid w:val="00A1087D"/>
    <w:rsid w:val="00A1339A"/>
    <w:rsid w:val="00A14073"/>
    <w:rsid w:val="00A15A52"/>
    <w:rsid w:val="00A16703"/>
    <w:rsid w:val="00A17C61"/>
    <w:rsid w:val="00A25D45"/>
    <w:rsid w:val="00A261F6"/>
    <w:rsid w:val="00A276FF"/>
    <w:rsid w:val="00A31ECA"/>
    <w:rsid w:val="00A32211"/>
    <w:rsid w:val="00A324EA"/>
    <w:rsid w:val="00A33395"/>
    <w:rsid w:val="00A338A8"/>
    <w:rsid w:val="00A34114"/>
    <w:rsid w:val="00A34C81"/>
    <w:rsid w:val="00A34E19"/>
    <w:rsid w:val="00A40D0C"/>
    <w:rsid w:val="00A41302"/>
    <w:rsid w:val="00A419FF"/>
    <w:rsid w:val="00A41C59"/>
    <w:rsid w:val="00A45BA6"/>
    <w:rsid w:val="00A47029"/>
    <w:rsid w:val="00A47FB9"/>
    <w:rsid w:val="00A50299"/>
    <w:rsid w:val="00A50BD5"/>
    <w:rsid w:val="00A51165"/>
    <w:rsid w:val="00A52DC5"/>
    <w:rsid w:val="00A53B66"/>
    <w:rsid w:val="00A5510E"/>
    <w:rsid w:val="00A559F4"/>
    <w:rsid w:val="00A55DBD"/>
    <w:rsid w:val="00A56547"/>
    <w:rsid w:val="00A570E0"/>
    <w:rsid w:val="00A606A0"/>
    <w:rsid w:val="00A61263"/>
    <w:rsid w:val="00A61396"/>
    <w:rsid w:val="00A614AD"/>
    <w:rsid w:val="00A61607"/>
    <w:rsid w:val="00A61886"/>
    <w:rsid w:val="00A62E65"/>
    <w:rsid w:val="00A63D89"/>
    <w:rsid w:val="00A65127"/>
    <w:rsid w:val="00A66E04"/>
    <w:rsid w:val="00A671B3"/>
    <w:rsid w:val="00A67578"/>
    <w:rsid w:val="00A70177"/>
    <w:rsid w:val="00A70320"/>
    <w:rsid w:val="00A750C1"/>
    <w:rsid w:val="00A75116"/>
    <w:rsid w:val="00A753FD"/>
    <w:rsid w:val="00A76063"/>
    <w:rsid w:val="00A76BCE"/>
    <w:rsid w:val="00A77139"/>
    <w:rsid w:val="00A771BF"/>
    <w:rsid w:val="00A8052C"/>
    <w:rsid w:val="00A80729"/>
    <w:rsid w:val="00A80C37"/>
    <w:rsid w:val="00A81953"/>
    <w:rsid w:val="00A83DEB"/>
    <w:rsid w:val="00A861F3"/>
    <w:rsid w:val="00A8790F"/>
    <w:rsid w:val="00A90DB1"/>
    <w:rsid w:val="00A9147B"/>
    <w:rsid w:val="00A91A19"/>
    <w:rsid w:val="00A91BA8"/>
    <w:rsid w:val="00A91EF1"/>
    <w:rsid w:val="00A91EF2"/>
    <w:rsid w:val="00A9325C"/>
    <w:rsid w:val="00A93AFB"/>
    <w:rsid w:val="00A9670E"/>
    <w:rsid w:val="00A96A93"/>
    <w:rsid w:val="00A96FAB"/>
    <w:rsid w:val="00A96FC6"/>
    <w:rsid w:val="00A97B61"/>
    <w:rsid w:val="00AA01DA"/>
    <w:rsid w:val="00AA0844"/>
    <w:rsid w:val="00AA1E76"/>
    <w:rsid w:val="00AA2447"/>
    <w:rsid w:val="00AA3077"/>
    <w:rsid w:val="00AA31C1"/>
    <w:rsid w:val="00AA38AF"/>
    <w:rsid w:val="00AA3956"/>
    <w:rsid w:val="00AA450C"/>
    <w:rsid w:val="00AA59DF"/>
    <w:rsid w:val="00AA60C6"/>
    <w:rsid w:val="00AA64AB"/>
    <w:rsid w:val="00AA6924"/>
    <w:rsid w:val="00AA7FAD"/>
    <w:rsid w:val="00AB1287"/>
    <w:rsid w:val="00AB1CE8"/>
    <w:rsid w:val="00AB3766"/>
    <w:rsid w:val="00AB5582"/>
    <w:rsid w:val="00AB6DFC"/>
    <w:rsid w:val="00AB705A"/>
    <w:rsid w:val="00AC0D0A"/>
    <w:rsid w:val="00AC10C4"/>
    <w:rsid w:val="00AC3DB7"/>
    <w:rsid w:val="00AC4986"/>
    <w:rsid w:val="00AC4BAC"/>
    <w:rsid w:val="00AC7899"/>
    <w:rsid w:val="00AD2035"/>
    <w:rsid w:val="00AD752F"/>
    <w:rsid w:val="00AE059F"/>
    <w:rsid w:val="00AE300F"/>
    <w:rsid w:val="00AE41F2"/>
    <w:rsid w:val="00AE55BC"/>
    <w:rsid w:val="00AE686D"/>
    <w:rsid w:val="00AE6B27"/>
    <w:rsid w:val="00AE6F87"/>
    <w:rsid w:val="00AF013A"/>
    <w:rsid w:val="00AF0F96"/>
    <w:rsid w:val="00AF21D7"/>
    <w:rsid w:val="00AF28EB"/>
    <w:rsid w:val="00AF2B45"/>
    <w:rsid w:val="00AF36B6"/>
    <w:rsid w:val="00AF4715"/>
    <w:rsid w:val="00AF4803"/>
    <w:rsid w:val="00AF5D9D"/>
    <w:rsid w:val="00AF62ED"/>
    <w:rsid w:val="00AF62F2"/>
    <w:rsid w:val="00AF6A12"/>
    <w:rsid w:val="00AF7230"/>
    <w:rsid w:val="00B00597"/>
    <w:rsid w:val="00B00ED5"/>
    <w:rsid w:val="00B01ED2"/>
    <w:rsid w:val="00B02BF0"/>
    <w:rsid w:val="00B03AB4"/>
    <w:rsid w:val="00B04A23"/>
    <w:rsid w:val="00B0587A"/>
    <w:rsid w:val="00B05B91"/>
    <w:rsid w:val="00B077CC"/>
    <w:rsid w:val="00B07851"/>
    <w:rsid w:val="00B079DB"/>
    <w:rsid w:val="00B07DCF"/>
    <w:rsid w:val="00B11F99"/>
    <w:rsid w:val="00B13079"/>
    <w:rsid w:val="00B15731"/>
    <w:rsid w:val="00B15BB2"/>
    <w:rsid w:val="00B16C3B"/>
    <w:rsid w:val="00B204CA"/>
    <w:rsid w:val="00B21824"/>
    <w:rsid w:val="00B224EA"/>
    <w:rsid w:val="00B263AE"/>
    <w:rsid w:val="00B27A6D"/>
    <w:rsid w:val="00B327F9"/>
    <w:rsid w:val="00B33B36"/>
    <w:rsid w:val="00B34F22"/>
    <w:rsid w:val="00B371F8"/>
    <w:rsid w:val="00B372C4"/>
    <w:rsid w:val="00B42644"/>
    <w:rsid w:val="00B42825"/>
    <w:rsid w:val="00B42C20"/>
    <w:rsid w:val="00B43938"/>
    <w:rsid w:val="00B510F9"/>
    <w:rsid w:val="00B517E5"/>
    <w:rsid w:val="00B5214D"/>
    <w:rsid w:val="00B53440"/>
    <w:rsid w:val="00B539EB"/>
    <w:rsid w:val="00B542F2"/>
    <w:rsid w:val="00B576E1"/>
    <w:rsid w:val="00B5780E"/>
    <w:rsid w:val="00B608B1"/>
    <w:rsid w:val="00B608F1"/>
    <w:rsid w:val="00B60F79"/>
    <w:rsid w:val="00B63755"/>
    <w:rsid w:val="00B63B4A"/>
    <w:rsid w:val="00B63DD3"/>
    <w:rsid w:val="00B644A9"/>
    <w:rsid w:val="00B64BEE"/>
    <w:rsid w:val="00B673CA"/>
    <w:rsid w:val="00B67850"/>
    <w:rsid w:val="00B7117A"/>
    <w:rsid w:val="00B72053"/>
    <w:rsid w:val="00B72926"/>
    <w:rsid w:val="00B73057"/>
    <w:rsid w:val="00B738D3"/>
    <w:rsid w:val="00B74ECD"/>
    <w:rsid w:val="00B75D3F"/>
    <w:rsid w:val="00B773B1"/>
    <w:rsid w:val="00B77723"/>
    <w:rsid w:val="00B77D5F"/>
    <w:rsid w:val="00B801F8"/>
    <w:rsid w:val="00B80FB4"/>
    <w:rsid w:val="00B81503"/>
    <w:rsid w:val="00B815D3"/>
    <w:rsid w:val="00B82ADC"/>
    <w:rsid w:val="00B83FF7"/>
    <w:rsid w:val="00B843A1"/>
    <w:rsid w:val="00B84A45"/>
    <w:rsid w:val="00B8502F"/>
    <w:rsid w:val="00B868D6"/>
    <w:rsid w:val="00B8748B"/>
    <w:rsid w:val="00B87B55"/>
    <w:rsid w:val="00B914F2"/>
    <w:rsid w:val="00B91818"/>
    <w:rsid w:val="00B94B9E"/>
    <w:rsid w:val="00B94BE5"/>
    <w:rsid w:val="00B95AB4"/>
    <w:rsid w:val="00B960BD"/>
    <w:rsid w:val="00B97773"/>
    <w:rsid w:val="00BA0A76"/>
    <w:rsid w:val="00BA14A4"/>
    <w:rsid w:val="00BA20C2"/>
    <w:rsid w:val="00BA22D0"/>
    <w:rsid w:val="00BA4CF8"/>
    <w:rsid w:val="00BB0423"/>
    <w:rsid w:val="00BB32E4"/>
    <w:rsid w:val="00BB5BE0"/>
    <w:rsid w:val="00BB6ECF"/>
    <w:rsid w:val="00BB74B3"/>
    <w:rsid w:val="00BB76F0"/>
    <w:rsid w:val="00BB777A"/>
    <w:rsid w:val="00BC1765"/>
    <w:rsid w:val="00BC263E"/>
    <w:rsid w:val="00BC45FA"/>
    <w:rsid w:val="00BC50C9"/>
    <w:rsid w:val="00BC5454"/>
    <w:rsid w:val="00BD219A"/>
    <w:rsid w:val="00BD2C42"/>
    <w:rsid w:val="00BD32F9"/>
    <w:rsid w:val="00BD3E2E"/>
    <w:rsid w:val="00BD6EF9"/>
    <w:rsid w:val="00BD754C"/>
    <w:rsid w:val="00BD7B4F"/>
    <w:rsid w:val="00BE1AE9"/>
    <w:rsid w:val="00BE1C12"/>
    <w:rsid w:val="00BE20F5"/>
    <w:rsid w:val="00BE2683"/>
    <w:rsid w:val="00BE64B8"/>
    <w:rsid w:val="00BE72FD"/>
    <w:rsid w:val="00BF1412"/>
    <w:rsid w:val="00BF1952"/>
    <w:rsid w:val="00BF1EF8"/>
    <w:rsid w:val="00BF2DE5"/>
    <w:rsid w:val="00BF4915"/>
    <w:rsid w:val="00BF4C49"/>
    <w:rsid w:val="00BF6338"/>
    <w:rsid w:val="00BF6A08"/>
    <w:rsid w:val="00BF6D56"/>
    <w:rsid w:val="00BF6EF6"/>
    <w:rsid w:val="00C00416"/>
    <w:rsid w:val="00C0074C"/>
    <w:rsid w:val="00C00D03"/>
    <w:rsid w:val="00C01DFC"/>
    <w:rsid w:val="00C02131"/>
    <w:rsid w:val="00C0282B"/>
    <w:rsid w:val="00C04999"/>
    <w:rsid w:val="00C05CE6"/>
    <w:rsid w:val="00C067E0"/>
    <w:rsid w:val="00C07605"/>
    <w:rsid w:val="00C1025D"/>
    <w:rsid w:val="00C10336"/>
    <w:rsid w:val="00C12D93"/>
    <w:rsid w:val="00C12EE2"/>
    <w:rsid w:val="00C1336A"/>
    <w:rsid w:val="00C1376A"/>
    <w:rsid w:val="00C139DE"/>
    <w:rsid w:val="00C13B55"/>
    <w:rsid w:val="00C17CFB"/>
    <w:rsid w:val="00C2075F"/>
    <w:rsid w:val="00C22453"/>
    <w:rsid w:val="00C22B54"/>
    <w:rsid w:val="00C23520"/>
    <w:rsid w:val="00C24E0D"/>
    <w:rsid w:val="00C25082"/>
    <w:rsid w:val="00C265D4"/>
    <w:rsid w:val="00C275FC"/>
    <w:rsid w:val="00C30BD5"/>
    <w:rsid w:val="00C30D84"/>
    <w:rsid w:val="00C317A7"/>
    <w:rsid w:val="00C32E69"/>
    <w:rsid w:val="00C33AEC"/>
    <w:rsid w:val="00C35448"/>
    <w:rsid w:val="00C356DB"/>
    <w:rsid w:val="00C359B6"/>
    <w:rsid w:val="00C36BE5"/>
    <w:rsid w:val="00C3742C"/>
    <w:rsid w:val="00C410D2"/>
    <w:rsid w:val="00C42A78"/>
    <w:rsid w:val="00C437D6"/>
    <w:rsid w:val="00C4601D"/>
    <w:rsid w:val="00C51927"/>
    <w:rsid w:val="00C51CCA"/>
    <w:rsid w:val="00C524F4"/>
    <w:rsid w:val="00C533F6"/>
    <w:rsid w:val="00C54473"/>
    <w:rsid w:val="00C546A4"/>
    <w:rsid w:val="00C55D94"/>
    <w:rsid w:val="00C574D8"/>
    <w:rsid w:val="00C57582"/>
    <w:rsid w:val="00C57C81"/>
    <w:rsid w:val="00C608EF"/>
    <w:rsid w:val="00C612BB"/>
    <w:rsid w:val="00C612BF"/>
    <w:rsid w:val="00C61441"/>
    <w:rsid w:val="00C6207E"/>
    <w:rsid w:val="00C62BF2"/>
    <w:rsid w:val="00C637EF"/>
    <w:rsid w:val="00C64FAE"/>
    <w:rsid w:val="00C65E98"/>
    <w:rsid w:val="00C65F48"/>
    <w:rsid w:val="00C66344"/>
    <w:rsid w:val="00C674F7"/>
    <w:rsid w:val="00C70185"/>
    <w:rsid w:val="00C731E1"/>
    <w:rsid w:val="00C73686"/>
    <w:rsid w:val="00C74045"/>
    <w:rsid w:val="00C745D7"/>
    <w:rsid w:val="00C75CB5"/>
    <w:rsid w:val="00C75D6A"/>
    <w:rsid w:val="00C7702A"/>
    <w:rsid w:val="00C773C8"/>
    <w:rsid w:val="00C803A4"/>
    <w:rsid w:val="00C80A25"/>
    <w:rsid w:val="00C82223"/>
    <w:rsid w:val="00C82930"/>
    <w:rsid w:val="00C84918"/>
    <w:rsid w:val="00C8531E"/>
    <w:rsid w:val="00C85B6C"/>
    <w:rsid w:val="00C85BEA"/>
    <w:rsid w:val="00C86BFE"/>
    <w:rsid w:val="00C86D8A"/>
    <w:rsid w:val="00C87FF0"/>
    <w:rsid w:val="00C900B0"/>
    <w:rsid w:val="00C90767"/>
    <w:rsid w:val="00C9080B"/>
    <w:rsid w:val="00C90EF9"/>
    <w:rsid w:val="00C92931"/>
    <w:rsid w:val="00C92949"/>
    <w:rsid w:val="00C9312F"/>
    <w:rsid w:val="00C95ED6"/>
    <w:rsid w:val="00C95F91"/>
    <w:rsid w:val="00C95F9E"/>
    <w:rsid w:val="00CA17E2"/>
    <w:rsid w:val="00CA1FB0"/>
    <w:rsid w:val="00CA24D1"/>
    <w:rsid w:val="00CA3449"/>
    <w:rsid w:val="00CA39CC"/>
    <w:rsid w:val="00CA4743"/>
    <w:rsid w:val="00CA55A3"/>
    <w:rsid w:val="00CA6B5E"/>
    <w:rsid w:val="00CA735E"/>
    <w:rsid w:val="00CB138F"/>
    <w:rsid w:val="00CB13E0"/>
    <w:rsid w:val="00CB1B5F"/>
    <w:rsid w:val="00CB1CEF"/>
    <w:rsid w:val="00CB3187"/>
    <w:rsid w:val="00CB4F66"/>
    <w:rsid w:val="00CB76B8"/>
    <w:rsid w:val="00CB7703"/>
    <w:rsid w:val="00CB77EE"/>
    <w:rsid w:val="00CB783B"/>
    <w:rsid w:val="00CC18ED"/>
    <w:rsid w:val="00CC2677"/>
    <w:rsid w:val="00CC2803"/>
    <w:rsid w:val="00CC295E"/>
    <w:rsid w:val="00CC29C8"/>
    <w:rsid w:val="00CC2BEB"/>
    <w:rsid w:val="00CC3093"/>
    <w:rsid w:val="00CC3913"/>
    <w:rsid w:val="00CC707F"/>
    <w:rsid w:val="00CC79CD"/>
    <w:rsid w:val="00CD1841"/>
    <w:rsid w:val="00CD1BF1"/>
    <w:rsid w:val="00CD1F26"/>
    <w:rsid w:val="00CD21E7"/>
    <w:rsid w:val="00CD27CD"/>
    <w:rsid w:val="00CD324B"/>
    <w:rsid w:val="00CD327B"/>
    <w:rsid w:val="00CD4BF8"/>
    <w:rsid w:val="00CD5738"/>
    <w:rsid w:val="00CD6844"/>
    <w:rsid w:val="00CD68DD"/>
    <w:rsid w:val="00CD7B8B"/>
    <w:rsid w:val="00CE185A"/>
    <w:rsid w:val="00CE29F2"/>
    <w:rsid w:val="00CE2B04"/>
    <w:rsid w:val="00CE5298"/>
    <w:rsid w:val="00CE58EB"/>
    <w:rsid w:val="00CE6EAE"/>
    <w:rsid w:val="00CF31AB"/>
    <w:rsid w:val="00CF35B2"/>
    <w:rsid w:val="00CF38D4"/>
    <w:rsid w:val="00CF6FAC"/>
    <w:rsid w:val="00CF75A4"/>
    <w:rsid w:val="00CF7E8E"/>
    <w:rsid w:val="00D0099F"/>
    <w:rsid w:val="00D0107E"/>
    <w:rsid w:val="00D05197"/>
    <w:rsid w:val="00D05B9B"/>
    <w:rsid w:val="00D06C23"/>
    <w:rsid w:val="00D12B28"/>
    <w:rsid w:val="00D159F8"/>
    <w:rsid w:val="00D168C6"/>
    <w:rsid w:val="00D1695E"/>
    <w:rsid w:val="00D17CFB"/>
    <w:rsid w:val="00D20E04"/>
    <w:rsid w:val="00D213F3"/>
    <w:rsid w:val="00D21E00"/>
    <w:rsid w:val="00D2254B"/>
    <w:rsid w:val="00D226B9"/>
    <w:rsid w:val="00D23437"/>
    <w:rsid w:val="00D2459A"/>
    <w:rsid w:val="00D248D9"/>
    <w:rsid w:val="00D24A97"/>
    <w:rsid w:val="00D24CD7"/>
    <w:rsid w:val="00D26186"/>
    <w:rsid w:val="00D27131"/>
    <w:rsid w:val="00D27974"/>
    <w:rsid w:val="00D30BA4"/>
    <w:rsid w:val="00D31BBD"/>
    <w:rsid w:val="00D31D87"/>
    <w:rsid w:val="00D33815"/>
    <w:rsid w:val="00D367FC"/>
    <w:rsid w:val="00D376DD"/>
    <w:rsid w:val="00D404B1"/>
    <w:rsid w:val="00D4224A"/>
    <w:rsid w:val="00D43014"/>
    <w:rsid w:val="00D436C2"/>
    <w:rsid w:val="00D43988"/>
    <w:rsid w:val="00D43B85"/>
    <w:rsid w:val="00D46659"/>
    <w:rsid w:val="00D4707E"/>
    <w:rsid w:val="00D47867"/>
    <w:rsid w:val="00D47EAF"/>
    <w:rsid w:val="00D52186"/>
    <w:rsid w:val="00D52D7F"/>
    <w:rsid w:val="00D53034"/>
    <w:rsid w:val="00D53347"/>
    <w:rsid w:val="00D541A8"/>
    <w:rsid w:val="00D54C34"/>
    <w:rsid w:val="00D553EB"/>
    <w:rsid w:val="00D55A05"/>
    <w:rsid w:val="00D562A8"/>
    <w:rsid w:val="00D61A9F"/>
    <w:rsid w:val="00D61DF0"/>
    <w:rsid w:val="00D61EDD"/>
    <w:rsid w:val="00D62425"/>
    <w:rsid w:val="00D628AF"/>
    <w:rsid w:val="00D6294B"/>
    <w:rsid w:val="00D63BD2"/>
    <w:rsid w:val="00D65B72"/>
    <w:rsid w:val="00D66697"/>
    <w:rsid w:val="00D67ACA"/>
    <w:rsid w:val="00D67F69"/>
    <w:rsid w:val="00D71103"/>
    <w:rsid w:val="00D71642"/>
    <w:rsid w:val="00D72FAD"/>
    <w:rsid w:val="00D73303"/>
    <w:rsid w:val="00D73700"/>
    <w:rsid w:val="00D73AF1"/>
    <w:rsid w:val="00D74504"/>
    <w:rsid w:val="00D74639"/>
    <w:rsid w:val="00D77397"/>
    <w:rsid w:val="00D809B7"/>
    <w:rsid w:val="00D80C0C"/>
    <w:rsid w:val="00D80E6B"/>
    <w:rsid w:val="00D813B0"/>
    <w:rsid w:val="00D81A57"/>
    <w:rsid w:val="00D81D2F"/>
    <w:rsid w:val="00D820D8"/>
    <w:rsid w:val="00D82A4C"/>
    <w:rsid w:val="00D83544"/>
    <w:rsid w:val="00D85683"/>
    <w:rsid w:val="00D8589F"/>
    <w:rsid w:val="00D875C1"/>
    <w:rsid w:val="00D8772B"/>
    <w:rsid w:val="00D90494"/>
    <w:rsid w:val="00D907DF"/>
    <w:rsid w:val="00D90F8A"/>
    <w:rsid w:val="00D91071"/>
    <w:rsid w:val="00D91621"/>
    <w:rsid w:val="00D92C5D"/>
    <w:rsid w:val="00D946F5"/>
    <w:rsid w:val="00D9542F"/>
    <w:rsid w:val="00D9553A"/>
    <w:rsid w:val="00D95C5C"/>
    <w:rsid w:val="00D9740F"/>
    <w:rsid w:val="00D97846"/>
    <w:rsid w:val="00D97BA1"/>
    <w:rsid w:val="00DA09FC"/>
    <w:rsid w:val="00DA4FCE"/>
    <w:rsid w:val="00DA50BA"/>
    <w:rsid w:val="00DA59D2"/>
    <w:rsid w:val="00DB2B7E"/>
    <w:rsid w:val="00DB372E"/>
    <w:rsid w:val="00DB484E"/>
    <w:rsid w:val="00DB5719"/>
    <w:rsid w:val="00DB624E"/>
    <w:rsid w:val="00DC02EA"/>
    <w:rsid w:val="00DC1CA6"/>
    <w:rsid w:val="00DC20CF"/>
    <w:rsid w:val="00DC22DF"/>
    <w:rsid w:val="00DC63BA"/>
    <w:rsid w:val="00DC7901"/>
    <w:rsid w:val="00DC7E69"/>
    <w:rsid w:val="00DD0189"/>
    <w:rsid w:val="00DD021F"/>
    <w:rsid w:val="00DD0621"/>
    <w:rsid w:val="00DD2033"/>
    <w:rsid w:val="00DD3316"/>
    <w:rsid w:val="00DD5418"/>
    <w:rsid w:val="00DD5E57"/>
    <w:rsid w:val="00DE2738"/>
    <w:rsid w:val="00DE3385"/>
    <w:rsid w:val="00DE397C"/>
    <w:rsid w:val="00DE4007"/>
    <w:rsid w:val="00DE4638"/>
    <w:rsid w:val="00DE4651"/>
    <w:rsid w:val="00DE6E21"/>
    <w:rsid w:val="00DE7265"/>
    <w:rsid w:val="00DE7525"/>
    <w:rsid w:val="00DF0AC2"/>
    <w:rsid w:val="00DF2353"/>
    <w:rsid w:val="00DF2654"/>
    <w:rsid w:val="00DF2802"/>
    <w:rsid w:val="00DF3906"/>
    <w:rsid w:val="00DF3AB2"/>
    <w:rsid w:val="00DF46BF"/>
    <w:rsid w:val="00DF46C0"/>
    <w:rsid w:val="00DF5034"/>
    <w:rsid w:val="00DF5A3F"/>
    <w:rsid w:val="00DF6B09"/>
    <w:rsid w:val="00E00898"/>
    <w:rsid w:val="00E018EE"/>
    <w:rsid w:val="00E02545"/>
    <w:rsid w:val="00E04FAD"/>
    <w:rsid w:val="00E0628E"/>
    <w:rsid w:val="00E06460"/>
    <w:rsid w:val="00E0650E"/>
    <w:rsid w:val="00E073CF"/>
    <w:rsid w:val="00E10512"/>
    <w:rsid w:val="00E1187D"/>
    <w:rsid w:val="00E118AE"/>
    <w:rsid w:val="00E15682"/>
    <w:rsid w:val="00E15B5E"/>
    <w:rsid w:val="00E1632C"/>
    <w:rsid w:val="00E166E7"/>
    <w:rsid w:val="00E171AC"/>
    <w:rsid w:val="00E17228"/>
    <w:rsid w:val="00E17F53"/>
    <w:rsid w:val="00E21058"/>
    <w:rsid w:val="00E21790"/>
    <w:rsid w:val="00E228D0"/>
    <w:rsid w:val="00E25124"/>
    <w:rsid w:val="00E2559F"/>
    <w:rsid w:val="00E261F8"/>
    <w:rsid w:val="00E26E25"/>
    <w:rsid w:val="00E27A6D"/>
    <w:rsid w:val="00E302F7"/>
    <w:rsid w:val="00E30772"/>
    <w:rsid w:val="00E30A62"/>
    <w:rsid w:val="00E324AD"/>
    <w:rsid w:val="00E33357"/>
    <w:rsid w:val="00E3342D"/>
    <w:rsid w:val="00E33683"/>
    <w:rsid w:val="00E33734"/>
    <w:rsid w:val="00E33B78"/>
    <w:rsid w:val="00E34F88"/>
    <w:rsid w:val="00E3525A"/>
    <w:rsid w:val="00E36F58"/>
    <w:rsid w:val="00E41580"/>
    <w:rsid w:val="00E44175"/>
    <w:rsid w:val="00E44CD4"/>
    <w:rsid w:val="00E456AB"/>
    <w:rsid w:val="00E45B91"/>
    <w:rsid w:val="00E46C57"/>
    <w:rsid w:val="00E500F2"/>
    <w:rsid w:val="00E50C5E"/>
    <w:rsid w:val="00E5176B"/>
    <w:rsid w:val="00E528BA"/>
    <w:rsid w:val="00E52A25"/>
    <w:rsid w:val="00E534DF"/>
    <w:rsid w:val="00E565C2"/>
    <w:rsid w:val="00E57048"/>
    <w:rsid w:val="00E60269"/>
    <w:rsid w:val="00E60BB3"/>
    <w:rsid w:val="00E60C32"/>
    <w:rsid w:val="00E611AE"/>
    <w:rsid w:val="00E627F6"/>
    <w:rsid w:val="00E63F1D"/>
    <w:rsid w:val="00E646D5"/>
    <w:rsid w:val="00E66A86"/>
    <w:rsid w:val="00E734C7"/>
    <w:rsid w:val="00E75A9D"/>
    <w:rsid w:val="00E75DA5"/>
    <w:rsid w:val="00E76DFA"/>
    <w:rsid w:val="00E7751B"/>
    <w:rsid w:val="00E81B8E"/>
    <w:rsid w:val="00E81ED7"/>
    <w:rsid w:val="00E83005"/>
    <w:rsid w:val="00E8377F"/>
    <w:rsid w:val="00E83909"/>
    <w:rsid w:val="00E84FB0"/>
    <w:rsid w:val="00E85FB6"/>
    <w:rsid w:val="00E86533"/>
    <w:rsid w:val="00E87A04"/>
    <w:rsid w:val="00E90741"/>
    <w:rsid w:val="00E90E59"/>
    <w:rsid w:val="00E912E9"/>
    <w:rsid w:val="00E915F3"/>
    <w:rsid w:val="00E91C06"/>
    <w:rsid w:val="00E9222C"/>
    <w:rsid w:val="00E92F8B"/>
    <w:rsid w:val="00E94BB2"/>
    <w:rsid w:val="00E9558B"/>
    <w:rsid w:val="00E95D1B"/>
    <w:rsid w:val="00E95DFE"/>
    <w:rsid w:val="00E966CE"/>
    <w:rsid w:val="00E96F34"/>
    <w:rsid w:val="00EA0448"/>
    <w:rsid w:val="00EA15A4"/>
    <w:rsid w:val="00EA17BD"/>
    <w:rsid w:val="00EA2EFA"/>
    <w:rsid w:val="00EA33E5"/>
    <w:rsid w:val="00EA3CDD"/>
    <w:rsid w:val="00EA4C91"/>
    <w:rsid w:val="00EA4ED9"/>
    <w:rsid w:val="00EA50D6"/>
    <w:rsid w:val="00EA5243"/>
    <w:rsid w:val="00EA5714"/>
    <w:rsid w:val="00EA64A5"/>
    <w:rsid w:val="00EA67A8"/>
    <w:rsid w:val="00EA7662"/>
    <w:rsid w:val="00EA7CC3"/>
    <w:rsid w:val="00EB016F"/>
    <w:rsid w:val="00EB2273"/>
    <w:rsid w:val="00EB2393"/>
    <w:rsid w:val="00EB294B"/>
    <w:rsid w:val="00EB33F4"/>
    <w:rsid w:val="00EB3B9C"/>
    <w:rsid w:val="00EB4C04"/>
    <w:rsid w:val="00EB504F"/>
    <w:rsid w:val="00EC1406"/>
    <w:rsid w:val="00EC1A97"/>
    <w:rsid w:val="00EC2677"/>
    <w:rsid w:val="00EC274C"/>
    <w:rsid w:val="00EC28E4"/>
    <w:rsid w:val="00EC2A60"/>
    <w:rsid w:val="00EC362F"/>
    <w:rsid w:val="00EC36F2"/>
    <w:rsid w:val="00EC4E58"/>
    <w:rsid w:val="00EC4F33"/>
    <w:rsid w:val="00ED0ABD"/>
    <w:rsid w:val="00ED298E"/>
    <w:rsid w:val="00ED2FB8"/>
    <w:rsid w:val="00ED37AA"/>
    <w:rsid w:val="00ED43A6"/>
    <w:rsid w:val="00ED7371"/>
    <w:rsid w:val="00EE2F9A"/>
    <w:rsid w:val="00EE4C7E"/>
    <w:rsid w:val="00EE542E"/>
    <w:rsid w:val="00EE556D"/>
    <w:rsid w:val="00EE6184"/>
    <w:rsid w:val="00EE62D3"/>
    <w:rsid w:val="00EE7A2C"/>
    <w:rsid w:val="00EF1529"/>
    <w:rsid w:val="00EF153F"/>
    <w:rsid w:val="00EF2240"/>
    <w:rsid w:val="00EF256D"/>
    <w:rsid w:val="00EF3A36"/>
    <w:rsid w:val="00EF4AF3"/>
    <w:rsid w:val="00EF50BD"/>
    <w:rsid w:val="00EF5BE3"/>
    <w:rsid w:val="00EF6556"/>
    <w:rsid w:val="00F02F0A"/>
    <w:rsid w:val="00F0319D"/>
    <w:rsid w:val="00F120FA"/>
    <w:rsid w:val="00F12179"/>
    <w:rsid w:val="00F123BD"/>
    <w:rsid w:val="00F12D86"/>
    <w:rsid w:val="00F13B05"/>
    <w:rsid w:val="00F15AF2"/>
    <w:rsid w:val="00F1613C"/>
    <w:rsid w:val="00F17135"/>
    <w:rsid w:val="00F21290"/>
    <w:rsid w:val="00F21595"/>
    <w:rsid w:val="00F23743"/>
    <w:rsid w:val="00F252BE"/>
    <w:rsid w:val="00F258B9"/>
    <w:rsid w:val="00F279B0"/>
    <w:rsid w:val="00F307CC"/>
    <w:rsid w:val="00F30BBA"/>
    <w:rsid w:val="00F30CA4"/>
    <w:rsid w:val="00F30F5B"/>
    <w:rsid w:val="00F31071"/>
    <w:rsid w:val="00F31630"/>
    <w:rsid w:val="00F32358"/>
    <w:rsid w:val="00F34C99"/>
    <w:rsid w:val="00F34F7D"/>
    <w:rsid w:val="00F36E33"/>
    <w:rsid w:val="00F405F3"/>
    <w:rsid w:val="00F422B9"/>
    <w:rsid w:val="00F439BB"/>
    <w:rsid w:val="00F43AAD"/>
    <w:rsid w:val="00F449D7"/>
    <w:rsid w:val="00F461AE"/>
    <w:rsid w:val="00F467F9"/>
    <w:rsid w:val="00F515B6"/>
    <w:rsid w:val="00F51B88"/>
    <w:rsid w:val="00F534D3"/>
    <w:rsid w:val="00F53A1D"/>
    <w:rsid w:val="00F5421D"/>
    <w:rsid w:val="00F57CEB"/>
    <w:rsid w:val="00F60DF3"/>
    <w:rsid w:val="00F61957"/>
    <w:rsid w:val="00F62057"/>
    <w:rsid w:val="00F64F39"/>
    <w:rsid w:val="00F67816"/>
    <w:rsid w:val="00F67BAA"/>
    <w:rsid w:val="00F67C01"/>
    <w:rsid w:val="00F7114B"/>
    <w:rsid w:val="00F711F8"/>
    <w:rsid w:val="00F721EF"/>
    <w:rsid w:val="00F72AC2"/>
    <w:rsid w:val="00F74168"/>
    <w:rsid w:val="00F742F1"/>
    <w:rsid w:val="00F76037"/>
    <w:rsid w:val="00F76456"/>
    <w:rsid w:val="00F77724"/>
    <w:rsid w:val="00F77839"/>
    <w:rsid w:val="00F81A86"/>
    <w:rsid w:val="00F82080"/>
    <w:rsid w:val="00F83397"/>
    <w:rsid w:val="00F851CF"/>
    <w:rsid w:val="00F8584F"/>
    <w:rsid w:val="00F85F8C"/>
    <w:rsid w:val="00F86FD8"/>
    <w:rsid w:val="00F91164"/>
    <w:rsid w:val="00F929D7"/>
    <w:rsid w:val="00F92A85"/>
    <w:rsid w:val="00F92B0F"/>
    <w:rsid w:val="00F94498"/>
    <w:rsid w:val="00F9676E"/>
    <w:rsid w:val="00F96D24"/>
    <w:rsid w:val="00FA12FA"/>
    <w:rsid w:val="00FA2D43"/>
    <w:rsid w:val="00FA5580"/>
    <w:rsid w:val="00FA69C3"/>
    <w:rsid w:val="00FA6AAC"/>
    <w:rsid w:val="00FA6CBC"/>
    <w:rsid w:val="00FA6D48"/>
    <w:rsid w:val="00FA6F64"/>
    <w:rsid w:val="00FA7EC0"/>
    <w:rsid w:val="00FB30A2"/>
    <w:rsid w:val="00FB42E6"/>
    <w:rsid w:val="00FB6684"/>
    <w:rsid w:val="00FB6EAA"/>
    <w:rsid w:val="00FB7663"/>
    <w:rsid w:val="00FB7C10"/>
    <w:rsid w:val="00FC072E"/>
    <w:rsid w:val="00FC0A0A"/>
    <w:rsid w:val="00FC1483"/>
    <w:rsid w:val="00FC25AA"/>
    <w:rsid w:val="00FC3B4E"/>
    <w:rsid w:val="00FC551E"/>
    <w:rsid w:val="00FC5790"/>
    <w:rsid w:val="00FD039F"/>
    <w:rsid w:val="00FD17F8"/>
    <w:rsid w:val="00FD194F"/>
    <w:rsid w:val="00FD1995"/>
    <w:rsid w:val="00FD25E1"/>
    <w:rsid w:val="00FD33CF"/>
    <w:rsid w:val="00FD4290"/>
    <w:rsid w:val="00FD5E1C"/>
    <w:rsid w:val="00FD7B1E"/>
    <w:rsid w:val="00FD7F6B"/>
    <w:rsid w:val="00FE1216"/>
    <w:rsid w:val="00FE1880"/>
    <w:rsid w:val="00FE3F8E"/>
    <w:rsid w:val="00FE44A3"/>
    <w:rsid w:val="00FE47ED"/>
    <w:rsid w:val="00FE4DCD"/>
    <w:rsid w:val="00FE61DC"/>
    <w:rsid w:val="00FE639A"/>
    <w:rsid w:val="00FE67D0"/>
    <w:rsid w:val="00FF081E"/>
    <w:rsid w:val="00FF145C"/>
    <w:rsid w:val="00FF19E0"/>
    <w:rsid w:val="00FF20D7"/>
    <w:rsid w:val="00FF26EE"/>
    <w:rsid w:val="00FF47A3"/>
    <w:rsid w:val="00FF63F6"/>
    <w:rsid w:val="01615726"/>
    <w:rsid w:val="029E721A"/>
    <w:rsid w:val="02D468DE"/>
    <w:rsid w:val="02EC4D9D"/>
    <w:rsid w:val="03112834"/>
    <w:rsid w:val="06477FDA"/>
    <w:rsid w:val="06A011EC"/>
    <w:rsid w:val="06E95DE7"/>
    <w:rsid w:val="08E02AD9"/>
    <w:rsid w:val="09125C38"/>
    <w:rsid w:val="097C6300"/>
    <w:rsid w:val="0AF519B7"/>
    <w:rsid w:val="0B17001C"/>
    <w:rsid w:val="0B485EE9"/>
    <w:rsid w:val="0C850278"/>
    <w:rsid w:val="0D1457BC"/>
    <w:rsid w:val="0DFB1532"/>
    <w:rsid w:val="0E437702"/>
    <w:rsid w:val="0F1B2DF8"/>
    <w:rsid w:val="0FE9158E"/>
    <w:rsid w:val="14090D2F"/>
    <w:rsid w:val="15927B01"/>
    <w:rsid w:val="16252605"/>
    <w:rsid w:val="172419C1"/>
    <w:rsid w:val="18E80595"/>
    <w:rsid w:val="197274DA"/>
    <w:rsid w:val="19DE1E4B"/>
    <w:rsid w:val="1B285F37"/>
    <w:rsid w:val="1C522551"/>
    <w:rsid w:val="1DFB5473"/>
    <w:rsid w:val="1F3E4C38"/>
    <w:rsid w:val="1FA92A8C"/>
    <w:rsid w:val="1FFD415C"/>
    <w:rsid w:val="20A95526"/>
    <w:rsid w:val="212474B8"/>
    <w:rsid w:val="213D4C18"/>
    <w:rsid w:val="215745CA"/>
    <w:rsid w:val="22012741"/>
    <w:rsid w:val="22B70F51"/>
    <w:rsid w:val="23B77F2D"/>
    <w:rsid w:val="23F91DDE"/>
    <w:rsid w:val="25047998"/>
    <w:rsid w:val="26EE7D8D"/>
    <w:rsid w:val="27C11183"/>
    <w:rsid w:val="29347494"/>
    <w:rsid w:val="299B6BAD"/>
    <w:rsid w:val="2A295A70"/>
    <w:rsid w:val="2ACC2FD0"/>
    <w:rsid w:val="2B62700C"/>
    <w:rsid w:val="2D9279D7"/>
    <w:rsid w:val="2EB84BB2"/>
    <w:rsid w:val="2FFB6945"/>
    <w:rsid w:val="34CE39F7"/>
    <w:rsid w:val="34D3140C"/>
    <w:rsid w:val="37432DD1"/>
    <w:rsid w:val="384D38EC"/>
    <w:rsid w:val="385721C3"/>
    <w:rsid w:val="393B0CD6"/>
    <w:rsid w:val="3B68253F"/>
    <w:rsid w:val="3C226CBC"/>
    <w:rsid w:val="3CFC2E3F"/>
    <w:rsid w:val="3E4D5C0F"/>
    <w:rsid w:val="3FC73F0E"/>
    <w:rsid w:val="438E7032"/>
    <w:rsid w:val="454C3B89"/>
    <w:rsid w:val="482327E6"/>
    <w:rsid w:val="483E3889"/>
    <w:rsid w:val="49821797"/>
    <w:rsid w:val="498E0153"/>
    <w:rsid w:val="4A2E5529"/>
    <w:rsid w:val="4AA674CF"/>
    <w:rsid w:val="4D0F52FA"/>
    <w:rsid w:val="4F1548DD"/>
    <w:rsid w:val="4F531CB1"/>
    <w:rsid w:val="51046E65"/>
    <w:rsid w:val="5346496F"/>
    <w:rsid w:val="54103A43"/>
    <w:rsid w:val="568D3AA6"/>
    <w:rsid w:val="56BF1C53"/>
    <w:rsid w:val="572D0DFD"/>
    <w:rsid w:val="57D9273C"/>
    <w:rsid w:val="58991B95"/>
    <w:rsid w:val="59BC3873"/>
    <w:rsid w:val="5CAA51EA"/>
    <w:rsid w:val="5D5260E4"/>
    <w:rsid w:val="5D934795"/>
    <w:rsid w:val="5DF374E2"/>
    <w:rsid w:val="5EC7559F"/>
    <w:rsid w:val="609D20FB"/>
    <w:rsid w:val="6181166A"/>
    <w:rsid w:val="625A6B03"/>
    <w:rsid w:val="630D27CF"/>
    <w:rsid w:val="64184D9A"/>
    <w:rsid w:val="64E90F72"/>
    <w:rsid w:val="64EF7A6E"/>
    <w:rsid w:val="66796F6F"/>
    <w:rsid w:val="69B209ED"/>
    <w:rsid w:val="6B205857"/>
    <w:rsid w:val="6BBD2570"/>
    <w:rsid w:val="6E127284"/>
    <w:rsid w:val="6E381821"/>
    <w:rsid w:val="6E960BF2"/>
    <w:rsid w:val="6ECD322C"/>
    <w:rsid w:val="6F02382D"/>
    <w:rsid w:val="70281A75"/>
    <w:rsid w:val="7095616F"/>
    <w:rsid w:val="71C033AD"/>
    <w:rsid w:val="71C43320"/>
    <w:rsid w:val="71F67C2F"/>
    <w:rsid w:val="727B12D5"/>
    <w:rsid w:val="72ED7AD8"/>
    <w:rsid w:val="72FD479B"/>
    <w:rsid w:val="73764E7C"/>
    <w:rsid w:val="760C65CD"/>
    <w:rsid w:val="77577E43"/>
    <w:rsid w:val="77813E92"/>
    <w:rsid w:val="7B8C507D"/>
    <w:rsid w:val="7F000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name="toc 1"/>
    <w:lsdException w:qFormat="1" w:unhideWhenUsed="0" w:uiPriority="39" w:name="toc 2"/>
    <w:lsdException w:qFormat="1" w:unhideWhenUsed="0" w:uiPriority="39"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qFormat="1" w:unhideWhenUsed="0" w:uiPriority="0" w:semiHidden="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183"/>
    <w:qFormat/>
    <w:uiPriority w:val="0"/>
    <w:pPr>
      <w:spacing w:before="340" w:after="330" w:line="360" w:lineRule="auto"/>
      <w:jc w:val="center"/>
      <w:outlineLvl w:val="0"/>
    </w:pPr>
    <w:rPr>
      <w:rFonts w:eastAsia="黑体"/>
      <w:kern w:val="44"/>
      <w:szCs w:val="44"/>
    </w:rPr>
  </w:style>
  <w:style w:type="paragraph" w:styleId="5">
    <w:name w:val="heading 2"/>
    <w:basedOn w:val="3"/>
    <w:next w:val="4"/>
    <w:link w:val="170"/>
    <w:qFormat/>
    <w:uiPriority w:val="0"/>
    <w:pPr>
      <w:adjustRightInd w:val="0"/>
      <w:jc w:val="center"/>
      <w:textAlignment w:val="baseline"/>
      <w:outlineLvl w:val="1"/>
    </w:pPr>
    <w:rPr>
      <w:kern w:val="0"/>
      <w:sz w:val="24"/>
      <w:szCs w:val="20"/>
    </w:rPr>
  </w:style>
  <w:style w:type="paragraph" w:styleId="3">
    <w:name w:val="heading 3"/>
    <w:basedOn w:val="4"/>
    <w:next w:val="1"/>
    <w:link w:val="164"/>
    <w:qFormat/>
    <w:uiPriority w:val="0"/>
    <w:pPr>
      <w:spacing w:before="260" w:after="260" w:line="240" w:lineRule="auto"/>
      <w:outlineLvl w:val="2"/>
    </w:pPr>
    <w:rPr>
      <w:rFonts w:ascii="宋体" w:hAnsi="宋体" w:eastAsia="宋体"/>
      <w:szCs w:val="32"/>
    </w:rPr>
  </w:style>
  <w:style w:type="paragraph" w:styleId="4">
    <w:name w:val="heading 4"/>
    <w:basedOn w:val="1"/>
    <w:next w:val="1"/>
    <w:link w:val="16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58">
    <w:name w:val="Default Paragraph Font"/>
    <w:semiHidden/>
    <w:unhideWhenUsed/>
    <w:uiPriority w:val="1"/>
  </w:style>
  <w:style w:type="table" w:default="1" w:styleId="54">
    <w:name w:val="Normal Table"/>
    <w:semiHidden/>
    <w:unhideWhenUsed/>
    <w:uiPriority w:val="99"/>
    <w:tblPr>
      <w:tblCellMar>
        <w:top w:w="0" w:type="dxa"/>
        <w:left w:w="108" w:type="dxa"/>
        <w:bottom w:w="0" w:type="dxa"/>
        <w:right w:w="108" w:type="dxa"/>
      </w:tblCellMar>
    </w:tblPr>
  </w:style>
  <w:style w:type="paragraph" w:styleId="7">
    <w:name w:val="Normal Indent"/>
    <w:basedOn w:val="1"/>
    <w:link w:val="179"/>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semiHidden/>
    <w:qFormat/>
    <w:uiPriority w:val="0"/>
    <w:pPr>
      <w:ind w:left="1260"/>
      <w:jc w:val="left"/>
    </w:pPr>
    <w:rPr>
      <w:szCs w:val="21"/>
    </w:rPr>
  </w:style>
  <w:style w:type="paragraph" w:styleId="14">
    <w:name w:val="List Bullet 4"/>
    <w:basedOn w:val="1"/>
    <w:qFormat/>
    <w:uiPriority w:val="0"/>
    <w:pPr>
      <w:tabs>
        <w:tab w:val="left" w:pos="1620"/>
      </w:tabs>
      <w:ind w:left="1620" w:leftChars="600" w:hanging="360" w:hangingChars="200"/>
    </w:pPr>
  </w:style>
  <w:style w:type="paragraph" w:styleId="15">
    <w:name w:val="caption"/>
    <w:basedOn w:val="1"/>
    <w:next w:val="1"/>
    <w:qFormat/>
    <w:uiPriority w:val="0"/>
    <w:pPr>
      <w:adjustRightInd w:val="0"/>
      <w:spacing w:before="152" w:after="160" w:line="312" w:lineRule="atLeast"/>
      <w:textAlignment w:val="baseline"/>
    </w:pPr>
    <w:rPr>
      <w:rFonts w:ascii="Arial" w:hAnsi="Arial" w:eastAsia="黑体"/>
      <w:b/>
      <w:kern w:val="0"/>
      <w:szCs w:val="20"/>
    </w:rPr>
  </w:style>
  <w:style w:type="paragraph" w:styleId="16">
    <w:name w:val="List Bullet"/>
    <w:basedOn w:val="1"/>
    <w:qFormat/>
    <w:uiPriority w:val="0"/>
    <w:pPr>
      <w:numPr>
        <w:ilvl w:val="0"/>
        <w:numId w:val="1"/>
      </w:numPr>
    </w:pPr>
    <w:rPr>
      <w:szCs w:val="20"/>
    </w:rPr>
  </w:style>
  <w:style w:type="paragraph" w:styleId="17">
    <w:name w:val="Document Map"/>
    <w:basedOn w:val="1"/>
    <w:link w:val="186"/>
    <w:semiHidden/>
    <w:qFormat/>
    <w:uiPriority w:val="0"/>
    <w:pPr>
      <w:shd w:val="clear" w:color="auto" w:fill="000080"/>
    </w:pPr>
  </w:style>
  <w:style w:type="paragraph" w:styleId="18">
    <w:name w:val="annotation text"/>
    <w:basedOn w:val="1"/>
    <w:link w:val="182"/>
    <w:qFormat/>
    <w:uiPriority w:val="99"/>
    <w:pPr>
      <w:autoSpaceDE w:val="0"/>
      <w:autoSpaceDN w:val="0"/>
      <w:adjustRightInd w:val="0"/>
      <w:jc w:val="left"/>
      <w:textAlignment w:val="baseline"/>
    </w:pPr>
    <w:rPr>
      <w:rFonts w:ascii="宋体"/>
      <w:kern w:val="0"/>
      <w:sz w:val="34"/>
      <w:szCs w:val="20"/>
    </w:rPr>
  </w:style>
  <w:style w:type="paragraph" w:styleId="19">
    <w:name w:val="index 6"/>
    <w:basedOn w:val="1"/>
    <w:next w:val="1"/>
    <w:qFormat/>
    <w:uiPriority w:val="0"/>
    <w:pPr>
      <w:ind w:left="1000" w:leftChars="1000"/>
    </w:pPr>
  </w:style>
  <w:style w:type="paragraph" w:styleId="20">
    <w:name w:val="Body Text 3"/>
    <w:basedOn w:val="1"/>
    <w:qFormat/>
    <w:uiPriority w:val="0"/>
    <w:pPr>
      <w:spacing w:after="120"/>
    </w:pPr>
    <w:rPr>
      <w:sz w:val="16"/>
      <w:szCs w:val="16"/>
    </w:rPr>
  </w:style>
  <w:style w:type="paragraph" w:styleId="21">
    <w:name w:val="List Bullet 3"/>
    <w:basedOn w:val="1"/>
    <w:qFormat/>
    <w:uiPriority w:val="0"/>
    <w:pPr>
      <w:tabs>
        <w:tab w:val="left" w:pos="1200"/>
      </w:tabs>
      <w:ind w:left="1200" w:leftChars="400" w:hanging="360" w:hangingChars="200"/>
    </w:pPr>
  </w:style>
  <w:style w:type="paragraph" w:styleId="22">
    <w:name w:val="Body Text"/>
    <w:basedOn w:val="1"/>
    <w:link w:val="185"/>
    <w:qFormat/>
    <w:uiPriority w:val="0"/>
    <w:pPr>
      <w:spacing w:line="360" w:lineRule="auto"/>
    </w:pPr>
    <w:rPr>
      <w:b/>
      <w:bCs/>
      <w:sz w:val="24"/>
    </w:rPr>
  </w:style>
  <w:style w:type="paragraph" w:styleId="23">
    <w:name w:val="Body Text Indent"/>
    <w:basedOn w:val="1"/>
    <w:link w:val="162"/>
    <w:qFormat/>
    <w:uiPriority w:val="0"/>
    <w:pPr>
      <w:spacing w:line="360" w:lineRule="auto"/>
      <w:ind w:firstLine="420" w:firstLineChars="200"/>
    </w:pPr>
  </w:style>
  <w:style w:type="paragraph" w:styleId="24">
    <w:name w:val="List 2"/>
    <w:basedOn w:val="25"/>
    <w:qFormat/>
    <w:uiPriority w:val="0"/>
    <w:pPr>
      <w:ind w:left="1080"/>
    </w:pPr>
  </w:style>
  <w:style w:type="paragraph" w:styleId="25">
    <w:name w:val="List"/>
    <w:basedOn w:val="22"/>
    <w:qFormat/>
    <w:uiPriority w:val="0"/>
    <w:pPr>
      <w:spacing w:after="220" w:line="220" w:lineRule="atLeast"/>
      <w:ind w:left="720" w:hanging="360"/>
    </w:pPr>
    <w:rPr>
      <w:b w:val="0"/>
      <w:bCs w:val="0"/>
      <w:sz w:val="21"/>
      <w:szCs w:val="20"/>
    </w:rPr>
  </w:style>
  <w:style w:type="paragraph" w:styleId="26">
    <w:name w:val="Block Text"/>
    <w:basedOn w:val="1"/>
    <w:qFormat/>
    <w:uiPriority w:val="0"/>
    <w:pPr>
      <w:spacing w:after="120"/>
      <w:ind w:left="1440" w:leftChars="700" w:right="1440" w:rightChars="700"/>
    </w:pPr>
  </w:style>
  <w:style w:type="paragraph" w:styleId="27">
    <w:name w:val="List Bullet 2"/>
    <w:basedOn w:val="1"/>
    <w:qFormat/>
    <w:uiPriority w:val="0"/>
    <w:pPr>
      <w:tabs>
        <w:tab w:val="left" w:pos="780"/>
      </w:tabs>
      <w:ind w:left="780" w:leftChars="200" w:hanging="360" w:hangingChars="200"/>
    </w:pPr>
  </w:style>
  <w:style w:type="paragraph" w:styleId="28">
    <w:name w:val="toc 5"/>
    <w:basedOn w:val="1"/>
    <w:next w:val="1"/>
    <w:semiHidden/>
    <w:qFormat/>
    <w:uiPriority w:val="0"/>
    <w:pPr>
      <w:ind w:left="840"/>
      <w:jc w:val="left"/>
    </w:pPr>
    <w:rPr>
      <w:szCs w:val="21"/>
    </w:rPr>
  </w:style>
  <w:style w:type="paragraph" w:styleId="29">
    <w:name w:val="toc 3"/>
    <w:basedOn w:val="1"/>
    <w:next w:val="1"/>
    <w:semiHidden/>
    <w:qFormat/>
    <w:uiPriority w:val="39"/>
    <w:pPr>
      <w:ind w:left="420"/>
      <w:jc w:val="left"/>
    </w:pPr>
    <w:rPr>
      <w:i/>
      <w:iCs/>
    </w:rPr>
  </w:style>
  <w:style w:type="paragraph" w:styleId="30">
    <w:name w:val="Plain Text"/>
    <w:basedOn w:val="1"/>
    <w:link w:val="177"/>
    <w:qFormat/>
    <w:uiPriority w:val="0"/>
    <w:rPr>
      <w:rFonts w:ascii="宋体" w:hAnsi="Courier New"/>
      <w:szCs w:val="20"/>
    </w:rPr>
  </w:style>
  <w:style w:type="paragraph" w:styleId="31">
    <w:name w:val="List Bullet 5"/>
    <w:basedOn w:val="1"/>
    <w:qFormat/>
    <w:uiPriority w:val="0"/>
    <w:pPr>
      <w:tabs>
        <w:tab w:val="left" w:pos="2040"/>
      </w:tabs>
      <w:ind w:left="2040" w:leftChars="800" w:hanging="360" w:hangingChars="200"/>
    </w:pPr>
  </w:style>
  <w:style w:type="paragraph" w:styleId="32">
    <w:name w:val="toc 8"/>
    <w:basedOn w:val="1"/>
    <w:next w:val="1"/>
    <w:semiHidden/>
    <w:qFormat/>
    <w:uiPriority w:val="0"/>
    <w:pPr>
      <w:ind w:left="1470"/>
      <w:jc w:val="left"/>
    </w:pPr>
    <w:rPr>
      <w:szCs w:val="21"/>
    </w:rPr>
  </w:style>
  <w:style w:type="paragraph" w:styleId="33">
    <w:name w:val="Date"/>
    <w:basedOn w:val="1"/>
    <w:next w:val="1"/>
    <w:qFormat/>
    <w:uiPriority w:val="0"/>
    <w:rPr>
      <w:rFonts w:ascii="宋体" w:hAnsi="Courier New"/>
      <w:sz w:val="32"/>
      <w:szCs w:val="20"/>
    </w:rPr>
  </w:style>
  <w:style w:type="paragraph" w:styleId="3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35">
    <w:name w:val="Balloon Text"/>
    <w:basedOn w:val="1"/>
    <w:link w:val="187"/>
    <w:qFormat/>
    <w:uiPriority w:val="0"/>
    <w:rPr>
      <w:sz w:val="18"/>
      <w:szCs w:val="18"/>
    </w:rPr>
  </w:style>
  <w:style w:type="paragraph" w:styleId="36">
    <w:name w:val="footer"/>
    <w:basedOn w:val="1"/>
    <w:link w:val="176"/>
    <w:qFormat/>
    <w:uiPriority w:val="0"/>
    <w:pPr>
      <w:tabs>
        <w:tab w:val="center" w:pos="4153"/>
        <w:tab w:val="right" w:pos="8306"/>
      </w:tabs>
      <w:snapToGrid w:val="0"/>
      <w:jc w:val="left"/>
    </w:pPr>
    <w:rPr>
      <w:sz w:val="18"/>
      <w:szCs w:val="18"/>
    </w:rPr>
  </w:style>
  <w:style w:type="paragraph" w:styleId="37">
    <w:name w:val="header"/>
    <w:basedOn w:val="1"/>
    <w:link w:val="167"/>
    <w:qFormat/>
    <w:uiPriority w:val="99"/>
    <w:pPr>
      <w:pBdr>
        <w:bottom w:val="single" w:color="auto" w:sz="6" w:space="1"/>
      </w:pBdr>
      <w:tabs>
        <w:tab w:val="center" w:pos="4153"/>
        <w:tab w:val="right" w:pos="8306"/>
      </w:tabs>
      <w:snapToGrid w:val="0"/>
      <w:jc w:val="center"/>
    </w:pPr>
    <w:rPr>
      <w:sz w:val="18"/>
      <w:szCs w:val="18"/>
    </w:rPr>
  </w:style>
  <w:style w:type="paragraph" w:styleId="38">
    <w:name w:val="toc 1"/>
    <w:basedOn w:val="1"/>
    <w:next w:val="1"/>
    <w:semiHidden/>
    <w:qFormat/>
    <w:uiPriority w:val="39"/>
    <w:pPr>
      <w:spacing w:before="120" w:after="120"/>
      <w:jc w:val="left"/>
    </w:pPr>
    <w:rPr>
      <w:b/>
      <w:bCs/>
      <w:caps/>
    </w:rPr>
  </w:style>
  <w:style w:type="paragraph" w:styleId="39">
    <w:name w:val="toc 4"/>
    <w:basedOn w:val="1"/>
    <w:next w:val="1"/>
    <w:semiHidden/>
    <w:qFormat/>
    <w:uiPriority w:val="0"/>
    <w:pPr>
      <w:ind w:left="630"/>
      <w:jc w:val="left"/>
    </w:pPr>
    <w:rPr>
      <w:szCs w:val="21"/>
    </w:rPr>
  </w:style>
  <w:style w:type="paragraph" w:styleId="40">
    <w:name w:val="index heading"/>
    <w:basedOn w:val="1"/>
    <w:next w:val="41"/>
    <w:qFormat/>
    <w:uiPriority w:val="0"/>
  </w:style>
  <w:style w:type="paragraph" w:styleId="41">
    <w:name w:val="index 1"/>
    <w:basedOn w:val="1"/>
    <w:next w:val="1"/>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42">
    <w:name w:val="toc 6"/>
    <w:basedOn w:val="1"/>
    <w:next w:val="1"/>
    <w:semiHidden/>
    <w:qFormat/>
    <w:uiPriority w:val="0"/>
    <w:pPr>
      <w:ind w:left="1050"/>
      <w:jc w:val="left"/>
    </w:pPr>
    <w:rPr>
      <w:szCs w:val="21"/>
    </w:rPr>
  </w:style>
  <w:style w:type="paragraph" w:styleId="43">
    <w:name w:val="Body Text Indent 3"/>
    <w:basedOn w:val="1"/>
    <w:qFormat/>
    <w:uiPriority w:val="0"/>
    <w:pPr>
      <w:spacing w:line="360" w:lineRule="auto"/>
      <w:ind w:firstLine="482" w:firstLineChars="200"/>
    </w:pPr>
    <w:rPr>
      <w:rFonts w:ascii="宋体"/>
      <w:b/>
      <w:bCs/>
      <w:sz w:val="24"/>
    </w:rPr>
  </w:style>
  <w:style w:type="paragraph" w:styleId="44">
    <w:name w:val="toc 2"/>
    <w:basedOn w:val="1"/>
    <w:next w:val="1"/>
    <w:semiHidden/>
    <w:qFormat/>
    <w:uiPriority w:val="39"/>
    <w:pPr>
      <w:tabs>
        <w:tab w:val="right" w:leader="dot" w:pos="8296"/>
      </w:tabs>
      <w:ind w:left="210"/>
      <w:jc w:val="left"/>
    </w:pPr>
    <w:rPr>
      <w:smallCaps/>
    </w:rPr>
  </w:style>
  <w:style w:type="paragraph" w:styleId="45">
    <w:name w:val="toc 9"/>
    <w:basedOn w:val="1"/>
    <w:next w:val="1"/>
    <w:semiHidden/>
    <w:qFormat/>
    <w:uiPriority w:val="0"/>
    <w:pPr>
      <w:ind w:left="1680"/>
      <w:jc w:val="left"/>
    </w:pPr>
    <w:rPr>
      <w:szCs w:val="21"/>
    </w:rPr>
  </w:style>
  <w:style w:type="paragraph" w:styleId="46">
    <w:name w:val="Body Text 2"/>
    <w:basedOn w:val="1"/>
    <w:qFormat/>
    <w:uiPriority w:val="0"/>
    <w:pPr>
      <w:spacing w:line="360" w:lineRule="auto"/>
    </w:pPr>
    <w:rPr>
      <w:sz w:val="24"/>
    </w:rPr>
  </w:style>
  <w:style w:type="paragraph" w:styleId="4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48">
    <w:name w:val="Normal (Web)"/>
    <w:basedOn w:val="1"/>
    <w:qFormat/>
    <w:uiPriority w:val="0"/>
    <w:rPr>
      <w:sz w:val="24"/>
    </w:rPr>
  </w:style>
  <w:style w:type="paragraph" w:styleId="49">
    <w:name w:val="index 2"/>
    <w:basedOn w:val="1"/>
    <w:next w:val="1"/>
    <w:qFormat/>
    <w:uiPriority w:val="0"/>
    <w:pPr>
      <w:adjustRightInd w:val="0"/>
      <w:spacing w:line="315" w:lineRule="atLeast"/>
      <w:ind w:left="420"/>
      <w:jc w:val="left"/>
      <w:textAlignment w:val="baseline"/>
    </w:pPr>
    <w:rPr>
      <w:rFonts w:ascii="宋体"/>
      <w:kern w:val="0"/>
    </w:rPr>
  </w:style>
  <w:style w:type="paragraph" w:styleId="50">
    <w:name w:val="Title"/>
    <w:basedOn w:val="1"/>
    <w:link w:val="171"/>
    <w:qFormat/>
    <w:uiPriority w:val="0"/>
    <w:pPr>
      <w:spacing w:before="240" w:after="60"/>
      <w:jc w:val="center"/>
      <w:outlineLvl w:val="0"/>
    </w:pPr>
    <w:rPr>
      <w:rFonts w:ascii="Arial" w:hAnsi="Arial" w:eastAsia="隶书"/>
      <w:b/>
      <w:bCs/>
      <w:sz w:val="32"/>
      <w:szCs w:val="32"/>
    </w:rPr>
  </w:style>
  <w:style w:type="paragraph" w:styleId="51">
    <w:name w:val="annotation subject"/>
    <w:basedOn w:val="18"/>
    <w:next w:val="18"/>
    <w:link w:val="184"/>
    <w:qFormat/>
    <w:uiPriority w:val="0"/>
    <w:pPr>
      <w:autoSpaceDE/>
      <w:autoSpaceDN/>
      <w:adjustRightInd/>
      <w:textAlignment w:val="auto"/>
    </w:pPr>
    <w:rPr>
      <w:b/>
      <w:bCs/>
      <w:kern w:val="2"/>
      <w:sz w:val="21"/>
    </w:rPr>
  </w:style>
  <w:style w:type="paragraph" w:styleId="52">
    <w:name w:val="Body Text First Indent"/>
    <w:basedOn w:val="22"/>
    <w:link w:val="178"/>
    <w:qFormat/>
    <w:uiPriority w:val="0"/>
    <w:pPr>
      <w:spacing w:after="120" w:line="240" w:lineRule="auto"/>
      <w:ind w:firstLine="420" w:firstLineChars="100"/>
    </w:pPr>
    <w:rPr>
      <w:sz w:val="21"/>
    </w:rPr>
  </w:style>
  <w:style w:type="paragraph" w:styleId="53">
    <w:name w:val="Body Text First Indent 2"/>
    <w:basedOn w:val="23"/>
    <w:link w:val="161"/>
    <w:qFormat/>
    <w:uiPriority w:val="0"/>
    <w:pPr>
      <w:spacing w:after="120" w:line="240" w:lineRule="auto"/>
      <w:ind w:left="420" w:firstLine="210" w:firstLineChars="0"/>
    </w:pPr>
    <w:rPr>
      <w:szCs w:val="20"/>
    </w:rPr>
  </w:style>
  <w:style w:type="table" w:styleId="55">
    <w:name w:val="Table Grid"/>
    <w:basedOn w:val="5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6">
    <w:name w:val="Table Theme"/>
    <w:basedOn w:val="5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7">
    <w:name w:val="Table Grid 2"/>
    <w:basedOn w:val="54"/>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character" w:styleId="59">
    <w:name w:val="Strong"/>
    <w:qFormat/>
    <w:uiPriority w:val="22"/>
    <w:rPr>
      <w:b/>
      <w:bCs/>
    </w:rPr>
  </w:style>
  <w:style w:type="character" w:styleId="60">
    <w:name w:val="page number"/>
    <w:basedOn w:val="58"/>
    <w:qFormat/>
    <w:uiPriority w:val="0"/>
  </w:style>
  <w:style w:type="character" w:styleId="61">
    <w:name w:val="FollowedHyperlink"/>
    <w:qFormat/>
    <w:uiPriority w:val="0"/>
    <w:rPr>
      <w:color w:val="800080"/>
      <w:u w:val="single"/>
    </w:rPr>
  </w:style>
  <w:style w:type="character" w:styleId="62">
    <w:name w:val="Emphasis"/>
    <w:qFormat/>
    <w:uiPriority w:val="0"/>
    <w:rPr>
      <w:color w:val="CC0000"/>
    </w:rPr>
  </w:style>
  <w:style w:type="character" w:styleId="63">
    <w:name w:val="Hyperlink"/>
    <w:qFormat/>
    <w:uiPriority w:val="99"/>
    <w:rPr>
      <w:color w:val="0000FF"/>
      <w:u w:val="single"/>
    </w:rPr>
  </w:style>
  <w:style w:type="character" w:styleId="64">
    <w:name w:val="annotation reference"/>
    <w:qFormat/>
    <w:uiPriority w:val="0"/>
    <w:rPr>
      <w:sz w:val="21"/>
      <w:szCs w:val="21"/>
    </w:rPr>
  </w:style>
  <w:style w:type="paragraph" w:customStyle="1" w:styleId="65">
    <w:name w:val="投标人须知3"/>
    <w:basedOn w:val="1"/>
    <w:qFormat/>
    <w:uiPriority w:val="0"/>
    <w:pPr>
      <w:numPr>
        <w:ilvl w:val="2"/>
        <w:numId w:val="2"/>
      </w:numPr>
      <w:spacing w:line="300" w:lineRule="auto"/>
      <w:jc w:val="left"/>
    </w:pPr>
  </w:style>
  <w:style w:type="paragraph" w:customStyle="1" w:styleId="66">
    <w:name w:val="小标题"/>
    <w:basedOn w:val="1"/>
    <w:qFormat/>
    <w:uiPriority w:val="0"/>
    <w:pPr>
      <w:spacing w:before="240" w:after="240"/>
      <w:jc w:val="center"/>
    </w:pPr>
    <w:rPr>
      <w:rFonts w:eastAsia="创艺简黑体"/>
      <w:b/>
      <w:w w:val="95"/>
      <w:szCs w:val="20"/>
    </w:rPr>
  </w:style>
  <w:style w:type="paragraph" w:customStyle="1" w:styleId="67">
    <w:name w:val="Definition Term"/>
    <w:basedOn w:val="1"/>
    <w:next w:val="1"/>
    <w:qFormat/>
    <w:uiPriority w:val="0"/>
    <w:pPr>
      <w:autoSpaceDE w:val="0"/>
      <w:autoSpaceDN w:val="0"/>
      <w:adjustRightInd w:val="0"/>
      <w:jc w:val="left"/>
    </w:pPr>
    <w:rPr>
      <w:kern w:val="0"/>
      <w:sz w:val="24"/>
      <w:szCs w:val="20"/>
    </w:rPr>
  </w:style>
  <w:style w:type="paragraph" w:customStyle="1" w:styleId="68">
    <w:name w:val="xl4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69">
    <w:name w:val="xl44"/>
    <w:basedOn w:val="1"/>
    <w:qFormat/>
    <w:uiPriority w:val="0"/>
    <w:pPr>
      <w:widowControl/>
      <w:pBdr>
        <w:top w:val="single" w:color="auto" w:sz="4" w:space="0"/>
        <w:bottom w:val="single" w:color="auto" w:sz="8" w:space="0"/>
        <w:right w:val="single" w:color="auto" w:sz="4" w:space="0"/>
      </w:pBdr>
      <w:spacing w:before="100" w:beforeAutospacing="1" w:after="100" w:afterAutospacing="1"/>
      <w:jc w:val="center"/>
    </w:pPr>
    <w:rPr>
      <w:rFonts w:ascii="宋体" w:hAnsi="宋体"/>
      <w:kern w:val="0"/>
      <w:sz w:val="22"/>
      <w:szCs w:val="22"/>
    </w:rPr>
  </w:style>
  <w:style w:type="paragraph" w:styleId="70">
    <w:name w:val="Intense Quote"/>
    <w:basedOn w:val="1"/>
    <w:next w:val="1"/>
    <w:link w:val="174"/>
    <w:qFormat/>
    <w:uiPriority w:val="0"/>
    <w:pPr>
      <w:pBdr>
        <w:bottom w:val="single" w:color="4F81BD" w:sz="4" w:space="4"/>
      </w:pBdr>
      <w:spacing w:before="200" w:after="280"/>
      <w:ind w:left="936" w:right="936"/>
    </w:pPr>
    <w:rPr>
      <w:b/>
      <w:bCs/>
      <w:i/>
      <w:iCs/>
      <w:color w:val="4F81BD"/>
    </w:rPr>
  </w:style>
  <w:style w:type="paragraph" w:customStyle="1" w:styleId="71">
    <w:name w:val="样式 小标题 + 宋体 黑色 首行缩进:  0.74 厘米"/>
    <w:basedOn w:val="22"/>
    <w:qFormat/>
    <w:uiPriority w:val="0"/>
    <w:pPr>
      <w:spacing w:after="120" w:line="240" w:lineRule="auto"/>
      <w:ind w:firstLine="420"/>
    </w:pPr>
    <w:rPr>
      <w:rFonts w:ascii="宋体" w:hAnsi="宋体" w:cs="宋体"/>
      <w:b w:val="0"/>
      <w:bCs w:val="0"/>
      <w:color w:val="000000"/>
      <w:sz w:val="21"/>
      <w:szCs w:val="20"/>
    </w:rPr>
  </w:style>
  <w:style w:type="paragraph" w:customStyle="1" w:styleId="72">
    <w:name w:val="表格内文2"/>
    <w:basedOn w:val="73"/>
    <w:qFormat/>
    <w:uiPriority w:val="0"/>
  </w:style>
  <w:style w:type="paragraph" w:customStyle="1" w:styleId="73">
    <w:name w:val="表格内文"/>
    <w:basedOn w:val="1"/>
    <w:qFormat/>
    <w:uiPriority w:val="0"/>
    <w:pPr>
      <w:spacing w:before="60" w:after="60"/>
      <w:jc w:val="center"/>
    </w:pPr>
    <w:rPr>
      <w:rFonts w:eastAsia="文鼎CS书宋二"/>
      <w:w w:val="95"/>
      <w:sz w:val="18"/>
      <w:szCs w:val="20"/>
    </w:rPr>
  </w:style>
  <w:style w:type="paragraph" w:customStyle="1" w:styleId="74">
    <w:name w:val="标题4 Char"/>
    <w:basedOn w:val="1"/>
    <w:qFormat/>
    <w:uiPriority w:val="0"/>
    <w:pPr>
      <w:spacing w:line="360" w:lineRule="auto"/>
      <w:ind w:firstLine="538" w:firstLineChars="192"/>
      <w:jc w:val="left"/>
    </w:pPr>
    <w:rPr>
      <w:rFonts w:ascii="宋体" w:hAnsi="宋体"/>
      <w:color w:val="000000"/>
      <w:sz w:val="28"/>
      <w:szCs w:val="28"/>
    </w:rPr>
  </w:style>
  <w:style w:type="paragraph" w:customStyle="1" w:styleId="75">
    <w:name w:val="说明"/>
    <w:basedOn w:val="66"/>
    <w:qFormat/>
    <w:uiPriority w:val="0"/>
    <w:pPr>
      <w:spacing w:before="0" w:after="0" w:line="288" w:lineRule="auto"/>
      <w:ind w:firstLine="420"/>
      <w:jc w:val="both"/>
    </w:pPr>
    <w:rPr>
      <w:rFonts w:ascii="文鼎中楷" w:eastAsia="文鼎中楷"/>
      <w:b w:val="0"/>
    </w:rPr>
  </w:style>
  <w:style w:type="paragraph" w:customStyle="1" w:styleId="76">
    <w:name w:val="xl39"/>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b/>
      <w:bCs/>
      <w:kern w:val="0"/>
      <w:sz w:val="24"/>
    </w:rPr>
  </w:style>
  <w:style w:type="paragraph" w:customStyle="1" w:styleId="77">
    <w:name w:val="样式 投标人须知1 + (符号) 宋体"/>
    <w:basedOn w:val="78"/>
    <w:qFormat/>
    <w:uiPriority w:val="0"/>
    <w:pPr>
      <w:numPr>
        <w:numId w:val="0"/>
      </w:numPr>
      <w:tabs>
        <w:tab w:val="left" w:pos="360"/>
      </w:tabs>
      <w:ind w:left="360" w:hanging="360"/>
      <w:outlineLvl w:val="1"/>
    </w:pPr>
    <w:rPr>
      <w:bCs/>
    </w:rPr>
  </w:style>
  <w:style w:type="paragraph" w:customStyle="1" w:styleId="78">
    <w:name w:val="投标人须知1"/>
    <w:basedOn w:val="1"/>
    <w:qFormat/>
    <w:uiPriority w:val="0"/>
    <w:pPr>
      <w:numPr>
        <w:ilvl w:val="0"/>
        <w:numId w:val="2"/>
      </w:numPr>
      <w:spacing w:line="480" w:lineRule="auto"/>
      <w:jc w:val="left"/>
    </w:pPr>
    <w:rPr>
      <w:b/>
      <w:sz w:val="24"/>
    </w:rPr>
  </w:style>
  <w:style w:type="paragraph" w:customStyle="1" w:styleId="79">
    <w:name w:val="前言、引言标题"/>
    <w:next w:val="1"/>
    <w:qFormat/>
    <w:uiPriority w:val="0"/>
    <w:pPr>
      <w:shd w:val="clear" w:color="FFFFFF" w:fill="FFFFFF"/>
      <w:tabs>
        <w:tab w:val="left" w:pos="360"/>
        <w:tab w:val="left" w:pos="760"/>
      </w:tabs>
      <w:spacing w:before="640" w:after="560"/>
      <w:ind w:left="717" w:hanging="317"/>
      <w:jc w:val="center"/>
      <w:outlineLvl w:val="0"/>
    </w:pPr>
    <w:rPr>
      <w:rFonts w:ascii="黑体" w:hAnsi="Times New Roman" w:eastAsia="黑体" w:cs="Times New Roman"/>
      <w:sz w:val="32"/>
      <w:lang w:val="en-US" w:eastAsia="zh-CN" w:bidi="ar-SA"/>
    </w:rPr>
  </w:style>
  <w:style w:type="paragraph" w:customStyle="1" w:styleId="80">
    <w:name w:val="xl36"/>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kern w:val="0"/>
      <w:sz w:val="22"/>
      <w:szCs w:val="22"/>
    </w:rPr>
  </w:style>
  <w:style w:type="paragraph" w:customStyle="1" w:styleId="81">
    <w:name w:val="样式 章标题 20 加粗 居中"/>
    <w:basedOn w:val="82"/>
    <w:qFormat/>
    <w:uiPriority w:val="0"/>
    <w:pPr>
      <w:tabs>
        <w:tab w:val="left" w:pos="1590"/>
      </w:tabs>
    </w:pPr>
    <w:rPr>
      <w:rFonts w:cs="宋体"/>
      <w:b/>
      <w:bCs/>
      <w:sz w:val="40"/>
    </w:rPr>
  </w:style>
  <w:style w:type="paragraph" w:customStyle="1" w:styleId="82">
    <w:name w:val="样式 章标题"/>
    <w:basedOn w:val="50"/>
    <w:qFormat/>
    <w:uiPriority w:val="0"/>
    <w:pPr>
      <w:tabs>
        <w:tab w:val="left" w:pos="1590"/>
      </w:tabs>
      <w:ind w:left="1590" w:hanging="1590"/>
    </w:pPr>
    <w:rPr>
      <w:rFonts w:eastAsia="宋体"/>
      <w:b w:val="0"/>
      <w:bCs w:val="0"/>
    </w:rPr>
  </w:style>
  <w:style w:type="paragraph" w:customStyle="1" w:styleId="83">
    <w:name w:val="xl41"/>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宋体" w:hAnsi="宋体"/>
      <w:b/>
      <w:bCs/>
      <w:kern w:val="0"/>
      <w:sz w:val="24"/>
    </w:rPr>
  </w:style>
  <w:style w:type="paragraph" w:customStyle="1" w:styleId="84">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85">
    <w:name w:val="内正文加粗"/>
    <w:basedOn w:val="86"/>
    <w:qFormat/>
    <w:uiPriority w:val="0"/>
    <w:pPr>
      <w:spacing w:before="60" w:after="60"/>
    </w:pPr>
    <w:rPr>
      <w:b/>
    </w:rPr>
  </w:style>
  <w:style w:type="paragraph" w:customStyle="1" w:styleId="86">
    <w:name w:val="内正文"/>
    <w:basedOn w:val="1"/>
    <w:qFormat/>
    <w:uiPriority w:val="0"/>
    <w:pPr>
      <w:ind w:firstLine="420"/>
    </w:pPr>
    <w:rPr>
      <w:rFonts w:eastAsia="文鼎CS书宋二"/>
      <w:szCs w:val="20"/>
    </w:rPr>
  </w:style>
  <w:style w:type="paragraph" w:customStyle="1" w:styleId="87">
    <w:name w:val="01"/>
    <w:basedOn w:val="72"/>
    <w:qFormat/>
    <w:uiPriority w:val="0"/>
  </w:style>
  <w:style w:type="paragraph" w:customStyle="1" w:styleId="88">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9">
    <w:name w:val="样式1"/>
    <w:basedOn w:val="50"/>
    <w:qFormat/>
    <w:uiPriority w:val="0"/>
    <w:pPr>
      <w:spacing w:before="120" w:after="120"/>
    </w:pPr>
    <w:rPr>
      <w:rFonts w:eastAsia="黑体"/>
      <w:b w:val="0"/>
      <w:sz w:val="30"/>
      <w:szCs w:val="21"/>
    </w:rPr>
  </w:style>
  <w:style w:type="paragraph" w:customStyle="1" w:styleId="90">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91">
    <w:name w:val="xl2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9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93">
    <w:name w:val="font9"/>
    <w:basedOn w:val="1"/>
    <w:qFormat/>
    <w:uiPriority w:val="0"/>
    <w:pPr>
      <w:widowControl/>
      <w:spacing w:before="100" w:beforeAutospacing="1" w:after="100" w:afterAutospacing="1"/>
      <w:jc w:val="left"/>
    </w:pPr>
    <w:rPr>
      <w:rFonts w:hint="eastAsia" w:ascii="宋体" w:hAnsi="宋体"/>
      <w:kern w:val="0"/>
      <w:sz w:val="20"/>
      <w:szCs w:val="20"/>
      <w:u w:val="single"/>
    </w:rPr>
  </w:style>
  <w:style w:type="paragraph" w:customStyle="1" w:styleId="94">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5">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96">
    <w:name w:val="font10"/>
    <w:basedOn w:val="1"/>
    <w:qFormat/>
    <w:uiPriority w:val="0"/>
    <w:pPr>
      <w:widowControl/>
      <w:spacing w:before="100" w:beforeAutospacing="1" w:after="100" w:afterAutospacing="1"/>
      <w:jc w:val="left"/>
    </w:pPr>
    <w:rPr>
      <w:b/>
      <w:bCs/>
      <w:kern w:val="0"/>
      <w:sz w:val="20"/>
      <w:szCs w:val="20"/>
      <w:u w:val="single"/>
    </w:rPr>
  </w:style>
  <w:style w:type="paragraph" w:customStyle="1" w:styleId="97">
    <w:name w:val="表格内文1"/>
    <w:basedOn w:val="73"/>
    <w:uiPriority w:val="0"/>
  </w:style>
  <w:style w:type="paragraph" w:customStyle="1" w:styleId="98">
    <w:name w:val="Char Char8 Char Char Char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99">
    <w:name w:val="表格下注"/>
    <w:basedOn w:val="86"/>
    <w:uiPriority w:val="0"/>
    <w:pPr>
      <w:ind w:left="798" w:hanging="378"/>
    </w:pPr>
    <w:rPr>
      <w:sz w:val="18"/>
    </w:rPr>
  </w:style>
  <w:style w:type="paragraph" w:customStyle="1" w:styleId="100">
    <w:name w:val="样式 章标题 + 宋体 加粗 倾斜 黑色"/>
    <w:basedOn w:val="5"/>
    <w:uiPriority w:val="0"/>
    <w:pPr>
      <w:keepNext w:val="0"/>
      <w:keepLines w:val="0"/>
      <w:adjustRightInd/>
      <w:spacing w:before="480" w:after="120"/>
      <w:textAlignment w:val="auto"/>
      <w:outlineLvl w:val="9"/>
    </w:pPr>
    <w:rPr>
      <w:i/>
      <w:iCs/>
      <w:color w:val="000000"/>
      <w:w w:val="80"/>
      <w:kern w:val="2"/>
      <w:sz w:val="40"/>
    </w:rPr>
  </w:style>
  <w:style w:type="paragraph" w:customStyle="1" w:styleId="101">
    <w:name w:val="xl4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102">
    <w:name w:val="xl5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103">
    <w:name w:val="char"/>
    <w:basedOn w:val="3"/>
    <w:uiPriority w:val="0"/>
    <w:pPr>
      <w:spacing w:line="360" w:lineRule="auto"/>
      <w:ind w:firstLine="2560" w:firstLineChars="800"/>
    </w:pPr>
    <w:rPr>
      <w:b w:val="0"/>
      <w:bCs w:val="0"/>
      <w:sz w:val="32"/>
      <w:szCs w:val="20"/>
    </w:rPr>
  </w:style>
  <w:style w:type="paragraph" w:customStyle="1" w:styleId="104">
    <w:name w:val="内正文篇标"/>
    <w:basedOn w:val="86"/>
    <w:qFormat/>
    <w:uiPriority w:val="0"/>
    <w:pPr>
      <w:ind w:firstLine="2354" w:firstLineChars="654"/>
      <w:jc w:val="left"/>
    </w:pPr>
    <w:rPr>
      <w:rFonts w:ascii="宋体" w:hAnsi="宋体" w:eastAsia="宋体"/>
      <w:w w:val="90"/>
      <w:sz w:val="40"/>
    </w:rPr>
  </w:style>
  <w:style w:type="paragraph" w:customStyle="1" w:styleId="105">
    <w:name w:val="Char Char Char Char Char"/>
    <w:basedOn w:val="1"/>
    <w:qFormat/>
    <w:uiPriority w:val="0"/>
    <w:rPr>
      <w:rFonts w:ascii="Tahoma" w:hAnsi="Tahoma"/>
      <w:sz w:val="24"/>
      <w:szCs w:val="20"/>
    </w:rPr>
  </w:style>
  <w:style w:type="paragraph" w:customStyle="1" w:styleId="106">
    <w:name w:val="Char Char Char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107">
    <w:name w:val="font8"/>
    <w:basedOn w:val="1"/>
    <w:qFormat/>
    <w:uiPriority w:val="0"/>
    <w:pPr>
      <w:widowControl/>
      <w:spacing w:before="100" w:beforeAutospacing="1" w:after="100" w:afterAutospacing="1"/>
      <w:jc w:val="left"/>
    </w:pPr>
    <w:rPr>
      <w:rFonts w:hint="eastAsia" w:ascii="宋体" w:hAnsi="宋体"/>
      <w:b/>
      <w:bCs/>
      <w:kern w:val="0"/>
      <w:sz w:val="20"/>
      <w:szCs w:val="20"/>
      <w:u w:val="single"/>
    </w:rPr>
  </w:style>
  <w:style w:type="paragraph" w:customStyle="1" w:styleId="108">
    <w:name w:val="自定义正文"/>
    <w:basedOn w:val="1"/>
    <w:uiPriority w:val="0"/>
    <w:pPr>
      <w:spacing w:after="50" w:afterLines="50"/>
      <w:ind w:left="600" w:leftChars="600"/>
    </w:pPr>
  </w:style>
  <w:style w:type="paragraph" w:customStyle="1" w:styleId="109">
    <w:name w:val="xl25"/>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unga" w:hAnsi="Tunga"/>
      <w:kern w:val="0"/>
      <w:sz w:val="22"/>
      <w:szCs w:val="22"/>
    </w:rPr>
  </w:style>
  <w:style w:type="paragraph" w:customStyle="1" w:styleId="110">
    <w:name w:val="xl34"/>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111">
    <w:name w:val="xl27"/>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11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113">
    <w:name w:val="Char1 Char Char Char Char Char Char Char Char Char Char Char Char"/>
    <w:basedOn w:val="1"/>
    <w:qFormat/>
    <w:uiPriority w:val="0"/>
    <w:rPr>
      <w:rFonts w:ascii="仿宋_GB2312" w:eastAsia="仿宋_GB2312"/>
      <w:b/>
      <w:sz w:val="32"/>
      <w:szCs w:val="32"/>
    </w:rPr>
  </w:style>
  <w:style w:type="paragraph" w:customStyle="1" w:styleId="114">
    <w:name w:val="xl31"/>
    <w:basedOn w:val="1"/>
    <w:uiPriority w:val="0"/>
    <w:pPr>
      <w:widowControl/>
      <w:pBdr>
        <w:top w:val="single" w:color="auto" w:sz="4" w:space="0"/>
        <w:bottom w:val="single" w:color="auto" w:sz="8" w:space="0"/>
        <w:right w:val="single" w:color="auto" w:sz="4" w:space="0"/>
      </w:pBdr>
      <w:spacing w:before="100" w:beforeAutospacing="1" w:after="100" w:afterAutospacing="1"/>
      <w:jc w:val="center"/>
    </w:pPr>
    <w:rPr>
      <w:rFonts w:ascii="宋体" w:hAnsi="宋体"/>
      <w:kern w:val="0"/>
      <w:sz w:val="22"/>
      <w:szCs w:val="22"/>
    </w:rPr>
  </w:style>
  <w:style w:type="paragraph" w:customStyle="1" w:styleId="115">
    <w:name w:val="样式2"/>
    <w:basedOn w:val="50"/>
    <w:next w:val="89"/>
    <w:uiPriority w:val="0"/>
    <w:pPr>
      <w:spacing w:before="120" w:after="120"/>
    </w:pPr>
    <w:rPr>
      <w:rFonts w:eastAsia="黑体"/>
      <w:b w:val="0"/>
      <w:sz w:val="30"/>
      <w:szCs w:val="30"/>
    </w:rPr>
  </w:style>
  <w:style w:type="paragraph" w:customStyle="1" w:styleId="116">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7">
    <w:name w:val="二级条标题"/>
    <w:basedOn w:val="1"/>
    <w:next w:val="1"/>
    <w:uiPriority w:val="0"/>
    <w:pPr>
      <w:widowControl/>
      <w:tabs>
        <w:tab w:val="left" w:pos="1680"/>
      </w:tabs>
      <w:ind w:left="1680" w:hanging="420"/>
      <w:jc w:val="left"/>
      <w:outlineLvl w:val="3"/>
    </w:pPr>
    <w:rPr>
      <w:rFonts w:eastAsia="黑体"/>
      <w:kern w:val="0"/>
      <w:szCs w:val="20"/>
    </w:rPr>
  </w:style>
  <w:style w:type="paragraph" w:customStyle="1" w:styleId="118">
    <w:name w:val="Char1"/>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119">
    <w:name w:val="xl42"/>
    <w:basedOn w:val="1"/>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4"/>
    </w:rPr>
  </w:style>
  <w:style w:type="paragraph" w:customStyle="1" w:styleId="120">
    <w:name w:val="投标人须知2"/>
    <w:basedOn w:val="1"/>
    <w:uiPriority w:val="0"/>
    <w:pPr>
      <w:numPr>
        <w:ilvl w:val="1"/>
        <w:numId w:val="2"/>
      </w:numPr>
      <w:spacing w:line="300" w:lineRule="auto"/>
      <w:jc w:val="left"/>
    </w:pPr>
    <w:rPr>
      <w:szCs w:val="21"/>
    </w:rPr>
  </w:style>
  <w:style w:type="paragraph" w:customStyle="1" w:styleId="121">
    <w:name w:val="È±Ê¡ÎÄ±¾"/>
    <w:basedOn w:val="1"/>
    <w:uiPriority w:val="0"/>
    <w:pPr>
      <w:widowControl/>
      <w:overflowPunct w:val="0"/>
      <w:autoSpaceDE w:val="0"/>
      <w:autoSpaceDN w:val="0"/>
      <w:adjustRightInd w:val="0"/>
      <w:jc w:val="left"/>
      <w:textAlignment w:val="baseline"/>
    </w:pPr>
    <w:rPr>
      <w:kern w:val="0"/>
      <w:sz w:val="24"/>
      <w:szCs w:val="20"/>
    </w:rPr>
  </w:style>
  <w:style w:type="paragraph" w:customStyle="1" w:styleId="122">
    <w:name w:val="xl23"/>
    <w:basedOn w:val="1"/>
    <w:qFormat/>
    <w:uiPriority w:val="0"/>
    <w:pPr>
      <w:widowControl/>
      <w:spacing w:before="100" w:beforeAutospacing="1" w:after="100" w:afterAutospacing="1"/>
      <w:jc w:val="center"/>
      <w:textAlignment w:val="center"/>
    </w:pPr>
    <w:rPr>
      <w:rFonts w:hint="eastAsia" w:ascii="黑体" w:hAnsi="宋体" w:eastAsia="黑体"/>
      <w:kern w:val="0"/>
      <w:sz w:val="22"/>
      <w:szCs w:val="22"/>
    </w:rPr>
  </w:style>
  <w:style w:type="paragraph" w:customStyle="1" w:styleId="123">
    <w:name w:val="xl3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124">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kern w:val="0"/>
      <w:sz w:val="20"/>
      <w:szCs w:val="20"/>
    </w:rPr>
  </w:style>
  <w:style w:type="paragraph" w:customStyle="1" w:styleId="125">
    <w:name w:val="font11"/>
    <w:basedOn w:val="1"/>
    <w:qFormat/>
    <w:uiPriority w:val="0"/>
    <w:pPr>
      <w:widowControl/>
      <w:spacing w:before="100" w:beforeAutospacing="1" w:after="100" w:afterAutospacing="1"/>
      <w:jc w:val="left"/>
    </w:pPr>
    <w:rPr>
      <w:kern w:val="0"/>
      <w:sz w:val="20"/>
      <w:szCs w:val="20"/>
    </w:rPr>
  </w:style>
  <w:style w:type="paragraph" w:customStyle="1" w:styleId="126">
    <w:name w:val="Char Char Char Char Char1 Char Char Char Char Char Char Char Char Char Char"/>
    <w:basedOn w:val="1"/>
    <w:qFormat/>
    <w:uiPriority w:val="0"/>
    <w:rPr>
      <w:rFonts w:ascii="仿宋_GB2312" w:eastAsia="仿宋_GB2312"/>
      <w:b/>
      <w:sz w:val="32"/>
      <w:szCs w:val="32"/>
    </w:rPr>
  </w:style>
  <w:style w:type="paragraph" w:customStyle="1" w:styleId="127">
    <w:name w:val="Char Char"/>
    <w:basedOn w:val="1"/>
    <w:qFormat/>
    <w:uiPriority w:val="0"/>
    <w:rPr>
      <w:rFonts w:ascii="Tahoma" w:hAnsi="Tahoma"/>
      <w:sz w:val="24"/>
      <w:szCs w:val="20"/>
    </w:rPr>
  </w:style>
  <w:style w:type="paragraph" w:customStyle="1" w:styleId="128">
    <w:name w:val="xl3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b/>
      <w:bCs/>
      <w:kern w:val="0"/>
      <w:sz w:val="24"/>
    </w:rPr>
  </w:style>
  <w:style w:type="paragraph" w:customStyle="1" w:styleId="129">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b/>
      <w:bCs/>
      <w:kern w:val="0"/>
      <w:sz w:val="24"/>
    </w:rPr>
  </w:style>
  <w:style w:type="paragraph" w:customStyle="1" w:styleId="130">
    <w:name w:val="表格标题"/>
    <w:basedOn w:val="66"/>
    <w:qFormat/>
    <w:uiPriority w:val="0"/>
    <w:pPr>
      <w:spacing w:before="120" w:after="60"/>
    </w:pPr>
    <w:rPr>
      <w:rFonts w:eastAsia="文鼎CS大宋"/>
      <w:b w:val="0"/>
      <w:sz w:val="28"/>
    </w:rPr>
  </w:style>
  <w:style w:type="paragraph" w:customStyle="1" w:styleId="131">
    <w:name w:val="xl43"/>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hAnsi="宋体"/>
      <w:b/>
      <w:bCs/>
      <w:kern w:val="0"/>
      <w:sz w:val="24"/>
    </w:rPr>
  </w:style>
  <w:style w:type="paragraph" w:customStyle="1" w:styleId="132">
    <w:name w:val="缩进正文"/>
    <w:basedOn w:val="1"/>
    <w:link w:val="169"/>
    <w:qFormat/>
    <w:uiPriority w:val="0"/>
    <w:pPr>
      <w:ind w:firstLine="560" w:firstLineChars="200"/>
    </w:pPr>
    <w:rPr>
      <w:rFonts w:eastAsia="仿宋_GB2312" w:cs="宋体"/>
      <w:sz w:val="28"/>
      <w:szCs w:val="20"/>
    </w:rPr>
  </w:style>
  <w:style w:type="paragraph" w:customStyle="1" w:styleId="133">
    <w:name w:val="font12"/>
    <w:basedOn w:val="1"/>
    <w:qFormat/>
    <w:uiPriority w:val="0"/>
    <w:pPr>
      <w:widowControl/>
      <w:spacing w:before="100" w:beforeAutospacing="1" w:after="100" w:afterAutospacing="1"/>
      <w:jc w:val="left"/>
    </w:pPr>
    <w:rPr>
      <w:kern w:val="0"/>
      <w:sz w:val="20"/>
      <w:szCs w:val="20"/>
    </w:rPr>
  </w:style>
  <w:style w:type="paragraph" w:customStyle="1" w:styleId="134">
    <w:name w:val="002"/>
    <w:basedOn w:val="86"/>
    <w:qFormat/>
    <w:uiPriority w:val="0"/>
    <w:pPr>
      <w:spacing w:before="62" w:after="62"/>
      <w:jc w:val="center"/>
    </w:pPr>
  </w:style>
  <w:style w:type="paragraph" w:customStyle="1" w:styleId="135">
    <w:name w:val="xl37"/>
    <w:basedOn w:val="1"/>
    <w:qFormat/>
    <w:uiPriority w:val="0"/>
    <w:pPr>
      <w:widowControl/>
      <w:pBdr>
        <w:top w:val="single" w:color="auto" w:sz="4" w:space="0"/>
        <w:bottom w:val="single" w:color="auto" w:sz="8" w:space="0"/>
      </w:pBdr>
      <w:spacing w:before="100" w:beforeAutospacing="1" w:after="100" w:afterAutospacing="1"/>
      <w:jc w:val="center"/>
    </w:pPr>
    <w:rPr>
      <w:rFonts w:ascii="宋体" w:hAnsi="宋体"/>
      <w:kern w:val="0"/>
      <w:sz w:val="22"/>
      <w:szCs w:val="22"/>
    </w:rPr>
  </w:style>
  <w:style w:type="paragraph" w:customStyle="1" w:styleId="136">
    <w:name w:val="节标题"/>
    <w:basedOn w:val="1"/>
    <w:qFormat/>
    <w:uiPriority w:val="0"/>
    <w:pPr>
      <w:spacing w:before="240" w:after="240"/>
      <w:jc w:val="center"/>
    </w:pPr>
    <w:rPr>
      <w:rFonts w:eastAsia="文鼎CS长美黑"/>
      <w:w w:val="95"/>
      <w:sz w:val="32"/>
      <w:szCs w:val="20"/>
    </w:rPr>
  </w:style>
  <w:style w:type="paragraph" w:customStyle="1" w:styleId="137">
    <w:name w:val="xl29"/>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kern w:val="0"/>
      <w:sz w:val="22"/>
      <w:szCs w:val="22"/>
    </w:rPr>
  </w:style>
  <w:style w:type="paragraph" w:customStyle="1" w:styleId="138">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4"/>
    </w:rPr>
  </w:style>
  <w:style w:type="paragraph" w:customStyle="1" w:styleId="139">
    <w:name w:val="样式 样式 小标题 + (中文) 宋体 加粗 黑色 段前: 0 磅 段后: 0 磅 行距: 多倍行距 1.25 字行1 + 非加..."/>
    <w:basedOn w:val="140"/>
    <w:next w:val="53"/>
    <w:qFormat/>
    <w:uiPriority w:val="0"/>
    <w:pPr>
      <w:ind w:firstLine="420"/>
    </w:pPr>
    <w:rPr>
      <w:b w:val="0"/>
      <w:bCs w:val="0"/>
    </w:rPr>
  </w:style>
  <w:style w:type="paragraph" w:customStyle="1" w:styleId="140">
    <w:name w:val="样式 小标题 + (中文) 宋体 加粗 黑色 段前: 0 磅 段后: 0 磅 行距: 多倍行距 1.25 字行1"/>
    <w:basedOn w:val="66"/>
    <w:next w:val="53"/>
    <w:qFormat/>
    <w:uiPriority w:val="0"/>
    <w:pPr>
      <w:adjustRightInd w:val="0"/>
      <w:spacing w:before="0" w:after="0" w:line="300" w:lineRule="auto"/>
      <w:ind w:firstLine="422" w:firstLineChars="200"/>
      <w:jc w:val="both"/>
      <w:textAlignment w:val="baseline"/>
      <w:outlineLvl w:val="2"/>
    </w:pPr>
    <w:rPr>
      <w:rFonts w:ascii="黑体" w:eastAsia="宋体" w:cs="宋体"/>
      <w:bCs/>
      <w:color w:val="000000"/>
      <w:w w:val="100"/>
      <w:kern w:val="0"/>
    </w:rPr>
  </w:style>
  <w:style w:type="paragraph" w:customStyle="1" w:styleId="141">
    <w:name w:val="xl2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142">
    <w:name w:val="xl3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14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144">
    <w:name w:val="05"/>
    <w:basedOn w:val="87"/>
    <w:qFormat/>
    <w:uiPriority w:val="0"/>
  </w:style>
  <w:style w:type="paragraph" w:customStyle="1" w:styleId="145">
    <w:name w:val="正文未缩进"/>
    <w:basedOn w:val="1"/>
    <w:qFormat/>
    <w:uiPriority w:val="0"/>
    <w:rPr>
      <w:rFonts w:eastAsia="文鼎CS书宋二"/>
      <w:szCs w:val="20"/>
    </w:rPr>
  </w:style>
  <w:style w:type="paragraph" w:customStyle="1" w:styleId="146">
    <w:name w:val="001"/>
    <w:basedOn w:val="144"/>
    <w:qFormat/>
    <w:uiPriority w:val="0"/>
  </w:style>
  <w:style w:type="paragraph" w:customStyle="1" w:styleId="147">
    <w:name w:val="样式41"/>
    <w:basedOn w:val="1"/>
    <w:qFormat/>
    <w:uiPriority w:val="0"/>
    <w:pPr>
      <w:numPr>
        <w:ilvl w:val="0"/>
        <w:numId w:val="3"/>
      </w:numPr>
      <w:tabs>
        <w:tab w:val="left" w:pos="945"/>
      </w:tabs>
      <w:spacing w:line="360" w:lineRule="auto"/>
    </w:pPr>
    <w:rPr>
      <w:b/>
      <w:color w:val="000000"/>
      <w:sz w:val="24"/>
      <w:szCs w:val="20"/>
    </w:rPr>
  </w:style>
  <w:style w:type="paragraph" w:customStyle="1" w:styleId="148">
    <w:name w:val="font6"/>
    <w:basedOn w:val="1"/>
    <w:qFormat/>
    <w:uiPriority w:val="0"/>
    <w:pPr>
      <w:widowControl/>
      <w:spacing w:before="100" w:beforeAutospacing="1" w:after="100" w:afterAutospacing="1"/>
      <w:jc w:val="left"/>
    </w:pPr>
    <w:rPr>
      <w:rFonts w:hint="eastAsia" w:ascii="黑体" w:hAnsi="Arial Unicode MS" w:eastAsia="黑体" w:cs="Arial Unicode MS"/>
      <w:kern w:val="0"/>
      <w:sz w:val="24"/>
    </w:rPr>
  </w:style>
  <w:style w:type="paragraph" w:customStyle="1" w:styleId="149">
    <w:name w:val="xl4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rPr>
  </w:style>
  <w:style w:type="paragraph" w:customStyle="1" w:styleId="150">
    <w:name w:val="xl30"/>
    <w:basedOn w:val="1"/>
    <w:qFormat/>
    <w:uiPriority w:val="0"/>
    <w:pPr>
      <w:widowControl/>
      <w:pBdr>
        <w:top w:val="single" w:color="auto" w:sz="4" w:space="0"/>
        <w:bottom w:val="single" w:color="auto" w:sz="8" w:space="0"/>
      </w:pBdr>
      <w:spacing w:before="100" w:beforeAutospacing="1" w:after="100" w:afterAutospacing="1"/>
      <w:jc w:val="center"/>
    </w:pPr>
    <w:rPr>
      <w:rFonts w:ascii="宋体" w:hAnsi="宋体"/>
      <w:kern w:val="0"/>
      <w:sz w:val="22"/>
      <w:szCs w:val="22"/>
    </w:rPr>
  </w:style>
  <w:style w:type="paragraph" w:customStyle="1" w:styleId="151">
    <w:name w:val="样式 三号 加粗 居中"/>
    <w:basedOn w:val="50"/>
    <w:qFormat/>
    <w:uiPriority w:val="0"/>
    <w:rPr>
      <w:rFonts w:eastAsia="宋体" w:cs="宋体"/>
      <w:b w:val="0"/>
      <w:bCs w:val="0"/>
    </w:rPr>
  </w:style>
  <w:style w:type="paragraph" w:customStyle="1" w:styleId="152">
    <w:name w:val="font7"/>
    <w:basedOn w:val="1"/>
    <w:qFormat/>
    <w:uiPriority w:val="0"/>
    <w:pPr>
      <w:widowControl/>
      <w:spacing w:before="100" w:beforeAutospacing="1" w:after="100" w:afterAutospacing="1"/>
      <w:jc w:val="left"/>
    </w:pPr>
    <w:rPr>
      <w:rFonts w:hint="eastAsia" w:ascii="宋体" w:hAnsi="宋体"/>
      <w:kern w:val="0"/>
      <w:sz w:val="22"/>
      <w:szCs w:val="22"/>
    </w:rPr>
  </w:style>
  <w:style w:type="paragraph" w:customStyle="1" w:styleId="153">
    <w:name w:val="_Style 152"/>
    <w:basedOn w:val="2"/>
    <w:next w:val="1"/>
    <w:qFormat/>
    <w:uiPriority w:val="39"/>
    <w:pPr>
      <w:widowControl/>
      <w:spacing w:before="480" w:after="0" w:line="276" w:lineRule="auto"/>
      <w:jc w:val="left"/>
      <w:outlineLvl w:val="9"/>
    </w:pPr>
    <w:rPr>
      <w:rFonts w:ascii="Cambria" w:hAnsi="Cambria" w:eastAsia="宋体"/>
      <w:color w:val="365F91"/>
      <w:kern w:val="0"/>
      <w:szCs w:val="28"/>
    </w:rPr>
  </w:style>
  <w:style w:type="paragraph" w:customStyle="1" w:styleId="154">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155">
    <w:name w:val="样式 小标题 + (中文) 宋体 加粗 黑色 段前: 0 磅 段后: 0 磅 行距: 多倍行距 1.25 字行"/>
    <w:basedOn w:val="66"/>
    <w:next w:val="22"/>
    <w:qFormat/>
    <w:uiPriority w:val="0"/>
    <w:pPr>
      <w:adjustRightInd w:val="0"/>
      <w:spacing w:before="0" w:after="0" w:line="300" w:lineRule="auto"/>
      <w:ind w:firstLine="422" w:firstLineChars="200"/>
      <w:jc w:val="both"/>
      <w:textAlignment w:val="baseline"/>
      <w:outlineLvl w:val="2"/>
    </w:pPr>
    <w:rPr>
      <w:rFonts w:ascii="黑体" w:eastAsia="宋体" w:cs="宋体"/>
      <w:bCs/>
      <w:color w:val="000000"/>
      <w:w w:val="100"/>
      <w:kern w:val="0"/>
    </w:rPr>
  </w:style>
  <w:style w:type="paragraph" w:customStyle="1" w:styleId="156">
    <w:name w:val="正文A"/>
    <w:basedOn w:val="86"/>
    <w:qFormat/>
    <w:uiPriority w:val="0"/>
    <w:pPr>
      <w:tabs>
        <w:tab w:val="center" w:pos="3780"/>
        <w:tab w:val="left" w:pos="7140"/>
      </w:tabs>
      <w:spacing w:before="120"/>
      <w:ind w:right="196"/>
      <w:jc w:val="right"/>
    </w:pPr>
    <w:rPr>
      <w:rFonts w:eastAsia="宋体"/>
      <w:b/>
      <w:bCs/>
      <w:w w:val="95"/>
    </w:rPr>
  </w:style>
  <w:style w:type="paragraph" w:customStyle="1" w:styleId="157">
    <w:name w:val="列项●（二级）"/>
    <w:qFormat/>
    <w:uiPriority w:val="0"/>
    <w:pPr>
      <w:tabs>
        <w:tab w:val="left" w:pos="360"/>
        <w:tab w:val="left" w:pos="840"/>
      </w:tabs>
      <w:jc w:val="both"/>
    </w:pPr>
    <w:rPr>
      <w:rFonts w:ascii="宋体" w:hAnsi="Times New Roman" w:eastAsia="宋体" w:cs="Times New Roman"/>
      <w:sz w:val="21"/>
      <w:lang w:val="en-US" w:eastAsia="zh-CN" w:bidi="ar-SA"/>
    </w:rPr>
  </w:style>
  <w:style w:type="paragraph" w:customStyle="1" w:styleId="158">
    <w:name w:val="xl22"/>
    <w:basedOn w:val="1"/>
    <w:qFormat/>
    <w:uiPriority w:val="0"/>
    <w:pPr>
      <w:widowControl/>
      <w:spacing w:before="100" w:beforeAutospacing="1" w:after="100" w:afterAutospacing="1"/>
      <w:jc w:val="center"/>
      <w:textAlignment w:val="center"/>
    </w:pPr>
    <w:rPr>
      <w:rFonts w:ascii="宋体" w:hAnsi="宋体"/>
      <w:b/>
      <w:bCs/>
      <w:kern w:val="0"/>
      <w:sz w:val="28"/>
      <w:szCs w:val="28"/>
    </w:rPr>
  </w:style>
  <w:style w:type="paragraph" w:customStyle="1" w:styleId="159">
    <w:name w:val="投标人须知4"/>
    <w:basedOn w:val="1"/>
    <w:qFormat/>
    <w:uiPriority w:val="0"/>
    <w:pPr>
      <w:numPr>
        <w:ilvl w:val="3"/>
        <w:numId w:val="2"/>
      </w:numPr>
      <w:spacing w:line="300" w:lineRule="auto"/>
      <w:ind w:left="794" w:hanging="340"/>
      <w:jc w:val="left"/>
    </w:pPr>
  </w:style>
  <w:style w:type="paragraph" w:styleId="160">
    <w:name w:val="List Paragraph"/>
    <w:basedOn w:val="1"/>
    <w:qFormat/>
    <w:uiPriority w:val="34"/>
    <w:pPr>
      <w:spacing w:line="360" w:lineRule="auto"/>
      <w:ind w:firstLine="420" w:firstLineChars="200"/>
    </w:pPr>
    <w:rPr>
      <w:sz w:val="24"/>
    </w:rPr>
  </w:style>
  <w:style w:type="character" w:customStyle="1" w:styleId="161">
    <w:name w:val="正文文本首行缩进 2 字符"/>
    <w:basedOn w:val="162"/>
    <w:link w:val="53"/>
    <w:qFormat/>
    <w:uiPriority w:val="0"/>
    <w:rPr>
      <w:rFonts w:eastAsia="宋体"/>
      <w:kern w:val="2"/>
      <w:sz w:val="21"/>
      <w:szCs w:val="24"/>
      <w:lang w:val="en-US" w:eastAsia="zh-CN" w:bidi="ar-SA"/>
    </w:rPr>
  </w:style>
  <w:style w:type="character" w:customStyle="1" w:styleId="162">
    <w:name w:val="正文文本缩进 字符"/>
    <w:link w:val="23"/>
    <w:qFormat/>
    <w:uiPriority w:val="0"/>
    <w:rPr>
      <w:rFonts w:eastAsia="宋体"/>
      <w:kern w:val="2"/>
      <w:sz w:val="21"/>
      <w:szCs w:val="24"/>
      <w:lang w:val="en-US" w:eastAsia="zh-CN" w:bidi="ar-SA"/>
    </w:rPr>
  </w:style>
  <w:style w:type="character" w:customStyle="1" w:styleId="163">
    <w:name w:val="标题 4 字符"/>
    <w:link w:val="4"/>
    <w:qFormat/>
    <w:uiPriority w:val="0"/>
    <w:rPr>
      <w:rFonts w:ascii="Arial" w:hAnsi="Arial" w:eastAsia="黑体"/>
      <w:b/>
      <w:bCs/>
      <w:kern w:val="2"/>
      <w:sz w:val="28"/>
      <w:szCs w:val="28"/>
      <w:lang w:val="en-US" w:eastAsia="zh-CN" w:bidi="ar-SA"/>
    </w:rPr>
  </w:style>
  <w:style w:type="character" w:customStyle="1" w:styleId="164">
    <w:name w:val="标题 3 字符"/>
    <w:link w:val="3"/>
    <w:qFormat/>
    <w:uiPriority w:val="0"/>
    <w:rPr>
      <w:rFonts w:ascii="宋体" w:hAnsi="宋体" w:eastAsia="宋体"/>
      <w:b/>
      <w:bCs/>
      <w:kern w:val="2"/>
      <w:sz w:val="28"/>
      <w:szCs w:val="32"/>
      <w:lang w:val="en-US" w:eastAsia="zh-CN" w:bidi="ar-SA"/>
    </w:rPr>
  </w:style>
  <w:style w:type="character" w:customStyle="1" w:styleId="165">
    <w:name w:val="Char Char2"/>
    <w:qFormat/>
    <w:uiPriority w:val="0"/>
    <w:rPr>
      <w:rFonts w:eastAsia="宋体"/>
      <w:kern w:val="2"/>
      <w:sz w:val="18"/>
      <w:szCs w:val="18"/>
      <w:lang w:val="en-US" w:eastAsia="zh-CN" w:bidi="ar-SA"/>
    </w:rPr>
  </w:style>
  <w:style w:type="character" w:customStyle="1" w:styleId="166">
    <w:name w:val="标题 3 Char"/>
    <w:qFormat/>
    <w:uiPriority w:val="0"/>
    <w:rPr>
      <w:rFonts w:ascii="黑体" w:eastAsia="黑体"/>
      <w:bCs/>
      <w:sz w:val="30"/>
    </w:rPr>
  </w:style>
  <w:style w:type="character" w:customStyle="1" w:styleId="167">
    <w:name w:val="页眉 字符"/>
    <w:link w:val="37"/>
    <w:qFormat/>
    <w:locked/>
    <w:uiPriority w:val="99"/>
    <w:rPr>
      <w:rFonts w:eastAsia="宋体"/>
      <w:kern w:val="2"/>
      <w:sz w:val="18"/>
      <w:szCs w:val="18"/>
      <w:lang w:val="en-US" w:eastAsia="zh-CN" w:bidi="ar-SA"/>
    </w:rPr>
  </w:style>
  <w:style w:type="character" w:customStyle="1" w:styleId="168">
    <w:name w:val="Char Char1"/>
    <w:qFormat/>
    <w:locked/>
    <w:uiPriority w:val="0"/>
    <w:rPr>
      <w:rFonts w:ascii="宋体" w:hAnsi="宋体" w:eastAsia="宋体"/>
      <w:kern w:val="2"/>
      <w:sz w:val="18"/>
      <w:szCs w:val="18"/>
      <w:lang w:val="en-US" w:eastAsia="zh-CN" w:bidi="ar-SA"/>
    </w:rPr>
  </w:style>
  <w:style w:type="character" w:customStyle="1" w:styleId="169">
    <w:name w:val="缩进正文 Char"/>
    <w:link w:val="132"/>
    <w:qFormat/>
    <w:uiPriority w:val="0"/>
    <w:rPr>
      <w:rFonts w:eastAsia="仿宋_GB2312" w:cs="宋体"/>
      <w:kern w:val="2"/>
      <w:sz w:val="28"/>
      <w:lang w:val="en-US" w:eastAsia="zh-CN" w:bidi="ar-SA"/>
    </w:rPr>
  </w:style>
  <w:style w:type="character" w:customStyle="1" w:styleId="170">
    <w:name w:val="标题 2 字符"/>
    <w:link w:val="5"/>
    <w:qFormat/>
    <w:uiPriority w:val="0"/>
    <w:rPr>
      <w:rFonts w:ascii="宋体" w:hAnsi="宋体" w:eastAsia="宋体"/>
      <w:b/>
      <w:bCs/>
      <w:sz w:val="24"/>
      <w:lang w:val="en-US" w:eastAsia="zh-CN" w:bidi="ar-SA"/>
    </w:rPr>
  </w:style>
  <w:style w:type="character" w:customStyle="1" w:styleId="171">
    <w:name w:val="标题 字符"/>
    <w:link w:val="50"/>
    <w:qFormat/>
    <w:uiPriority w:val="0"/>
    <w:rPr>
      <w:rFonts w:ascii="Arial" w:hAnsi="Arial" w:eastAsia="隶书" w:cs="Arial"/>
      <w:b/>
      <w:bCs/>
      <w:kern w:val="2"/>
      <w:sz w:val="32"/>
      <w:szCs w:val="32"/>
    </w:rPr>
  </w:style>
  <w:style w:type="character" w:customStyle="1" w:styleId="172">
    <w:name w:val="h Char"/>
    <w:qFormat/>
    <w:locked/>
    <w:uiPriority w:val="0"/>
    <w:rPr>
      <w:rFonts w:eastAsia="宋体"/>
      <w:kern w:val="2"/>
      <w:sz w:val="18"/>
      <w:szCs w:val="18"/>
      <w:lang w:val="en-US" w:eastAsia="zh-CN" w:bidi="ar-SA"/>
    </w:rPr>
  </w:style>
  <w:style w:type="character" w:customStyle="1" w:styleId="173">
    <w:name w:val="p121"/>
    <w:qFormat/>
    <w:uiPriority w:val="0"/>
    <w:rPr>
      <w:rFonts w:hint="default" w:ascii="_x000B__x000C_" w:hAnsi="_x000B__x000C_"/>
      <w:sz w:val="24"/>
      <w:szCs w:val="24"/>
    </w:rPr>
  </w:style>
  <w:style w:type="character" w:customStyle="1" w:styleId="174">
    <w:name w:val="明显引用 字符"/>
    <w:link w:val="70"/>
    <w:qFormat/>
    <w:uiPriority w:val="0"/>
    <w:rPr>
      <w:rFonts w:eastAsia="宋体"/>
      <w:b/>
      <w:bCs/>
      <w:i/>
      <w:iCs/>
      <w:color w:val="4F81BD"/>
      <w:kern w:val="2"/>
      <w:sz w:val="21"/>
      <w:szCs w:val="24"/>
      <w:lang w:val="en-US" w:eastAsia="zh-CN" w:bidi="ar-SA"/>
    </w:rPr>
  </w:style>
  <w:style w:type="character" w:customStyle="1" w:styleId="175">
    <w:name w:val="Char Char3"/>
    <w:qFormat/>
    <w:locked/>
    <w:uiPriority w:val="0"/>
    <w:rPr>
      <w:rFonts w:ascii="Arial" w:hAnsi="Arial" w:eastAsia="黑体"/>
      <w:b/>
      <w:bCs/>
      <w:kern w:val="2"/>
      <w:sz w:val="32"/>
      <w:szCs w:val="32"/>
      <w:lang w:val="en-US" w:eastAsia="zh-CN" w:bidi="ar-SA"/>
    </w:rPr>
  </w:style>
  <w:style w:type="character" w:customStyle="1" w:styleId="176">
    <w:name w:val="页脚 字符"/>
    <w:link w:val="36"/>
    <w:qFormat/>
    <w:uiPriority w:val="0"/>
    <w:rPr>
      <w:rFonts w:eastAsia="宋体"/>
      <w:kern w:val="2"/>
      <w:sz w:val="18"/>
      <w:szCs w:val="18"/>
      <w:lang w:val="en-US" w:eastAsia="zh-CN" w:bidi="ar-SA"/>
    </w:rPr>
  </w:style>
  <w:style w:type="character" w:customStyle="1" w:styleId="177">
    <w:name w:val="纯文本 字符"/>
    <w:link w:val="30"/>
    <w:qFormat/>
    <w:uiPriority w:val="0"/>
    <w:rPr>
      <w:rFonts w:ascii="宋体" w:hAnsi="Courier New" w:eastAsia="宋体"/>
      <w:kern w:val="2"/>
      <w:sz w:val="21"/>
      <w:lang w:val="en-US" w:eastAsia="zh-CN" w:bidi="ar-SA"/>
    </w:rPr>
  </w:style>
  <w:style w:type="character" w:customStyle="1" w:styleId="178">
    <w:name w:val="正文文本首行缩进 字符"/>
    <w:link w:val="52"/>
    <w:qFormat/>
    <w:uiPriority w:val="0"/>
    <w:rPr>
      <w:rFonts w:eastAsia="宋体"/>
      <w:b/>
      <w:bCs/>
      <w:kern w:val="2"/>
      <w:sz w:val="21"/>
      <w:szCs w:val="24"/>
      <w:lang w:val="en-US" w:eastAsia="zh-CN" w:bidi="ar-SA"/>
    </w:rPr>
  </w:style>
  <w:style w:type="character" w:customStyle="1" w:styleId="179">
    <w:name w:val="正文缩进 字符"/>
    <w:link w:val="7"/>
    <w:qFormat/>
    <w:uiPriority w:val="0"/>
    <w:rPr>
      <w:rFonts w:eastAsia="宋体"/>
      <w:kern w:val="2"/>
      <w:sz w:val="21"/>
      <w:lang w:val="en-US" w:eastAsia="zh-CN" w:bidi="ar-SA"/>
    </w:rPr>
  </w:style>
  <w:style w:type="character" w:customStyle="1" w:styleId="180">
    <w:name w:val="Char Char9"/>
    <w:qFormat/>
    <w:uiPriority w:val="0"/>
    <w:rPr>
      <w:rFonts w:eastAsia="宋体"/>
      <w:b/>
      <w:bCs/>
      <w:kern w:val="2"/>
      <w:sz w:val="24"/>
      <w:szCs w:val="24"/>
      <w:lang w:val="en-US" w:eastAsia="zh-CN" w:bidi="ar-SA"/>
    </w:rPr>
  </w:style>
  <w:style w:type="character" w:customStyle="1" w:styleId="181">
    <w:name w:val="fo Char"/>
    <w:qFormat/>
    <w:uiPriority w:val="0"/>
    <w:rPr>
      <w:rFonts w:eastAsia="宋体"/>
      <w:kern w:val="2"/>
      <w:sz w:val="18"/>
      <w:szCs w:val="18"/>
      <w:lang w:val="en-US" w:eastAsia="zh-CN" w:bidi="ar-SA"/>
    </w:rPr>
  </w:style>
  <w:style w:type="character" w:customStyle="1" w:styleId="182">
    <w:name w:val="批注文字 字符"/>
    <w:link w:val="18"/>
    <w:qFormat/>
    <w:uiPriority w:val="99"/>
    <w:rPr>
      <w:rFonts w:ascii="宋体" w:eastAsia="宋体"/>
      <w:sz w:val="34"/>
      <w:lang w:val="en-US" w:eastAsia="zh-CN" w:bidi="ar-SA"/>
    </w:rPr>
  </w:style>
  <w:style w:type="character" w:customStyle="1" w:styleId="183">
    <w:name w:val="标题 1 字符"/>
    <w:link w:val="2"/>
    <w:qFormat/>
    <w:uiPriority w:val="0"/>
    <w:rPr>
      <w:rFonts w:ascii="宋体" w:hAnsi="宋体" w:eastAsia="黑体"/>
      <w:b/>
      <w:bCs/>
      <w:kern w:val="44"/>
      <w:sz w:val="28"/>
      <w:szCs w:val="44"/>
      <w:lang w:val="en-US" w:eastAsia="zh-CN" w:bidi="ar-SA"/>
    </w:rPr>
  </w:style>
  <w:style w:type="character" w:customStyle="1" w:styleId="184">
    <w:name w:val="批注主题 字符"/>
    <w:link w:val="51"/>
    <w:qFormat/>
    <w:uiPriority w:val="0"/>
    <w:rPr>
      <w:rFonts w:ascii="宋体" w:eastAsia="宋体"/>
      <w:b/>
      <w:bCs/>
      <w:kern w:val="2"/>
      <w:sz w:val="21"/>
      <w:lang w:val="en-US" w:eastAsia="zh-CN" w:bidi="ar-SA"/>
    </w:rPr>
  </w:style>
  <w:style w:type="character" w:customStyle="1" w:styleId="185">
    <w:name w:val="正文文本 字符"/>
    <w:link w:val="22"/>
    <w:qFormat/>
    <w:uiPriority w:val="0"/>
    <w:rPr>
      <w:rFonts w:eastAsia="宋体"/>
      <w:b/>
      <w:bCs/>
      <w:kern w:val="2"/>
      <w:sz w:val="24"/>
      <w:szCs w:val="24"/>
      <w:lang w:val="en-US" w:eastAsia="zh-CN" w:bidi="ar-SA"/>
    </w:rPr>
  </w:style>
  <w:style w:type="character" w:customStyle="1" w:styleId="186">
    <w:name w:val="文档结构图 字符"/>
    <w:link w:val="17"/>
    <w:semiHidden/>
    <w:qFormat/>
    <w:locked/>
    <w:uiPriority w:val="0"/>
    <w:rPr>
      <w:rFonts w:eastAsia="宋体"/>
      <w:kern w:val="2"/>
      <w:sz w:val="21"/>
      <w:szCs w:val="24"/>
      <w:lang w:val="en-US" w:eastAsia="zh-CN" w:bidi="ar-SA"/>
    </w:rPr>
  </w:style>
  <w:style w:type="character" w:customStyle="1" w:styleId="187">
    <w:name w:val="批注框文本 字符"/>
    <w:link w:val="35"/>
    <w:qFormat/>
    <w:uiPriority w:val="0"/>
    <w:rPr>
      <w:rFonts w:eastAsia="宋体"/>
      <w:kern w:val="2"/>
      <w:sz w:val="18"/>
      <w:szCs w:val="18"/>
      <w:lang w:val="en-US" w:eastAsia="zh-CN" w:bidi="ar-SA"/>
    </w:rPr>
  </w:style>
  <w:style w:type="character" w:customStyle="1" w:styleId="188">
    <w:name w:val="H2 Char1"/>
    <w:qFormat/>
    <w:uiPriority w:val="0"/>
    <w:rPr>
      <w:rFonts w:ascii="宋体" w:hAnsi="宋体" w:eastAsia="宋体"/>
      <w:b/>
      <w:bCs/>
      <w:sz w:val="24"/>
      <w:lang w:val="en-US" w:eastAsia="zh-CN" w:bidi="ar-SA"/>
    </w:rPr>
  </w:style>
  <w:style w:type="character" w:customStyle="1" w:styleId="189">
    <w:name w:val="EHPT Char1"/>
    <w:qFormat/>
    <w:uiPriority w:val="0"/>
    <w:rPr>
      <w:rFonts w:eastAsia="宋体"/>
      <w:b/>
      <w:bCs/>
      <w:kern w:val="2"/>
      <w:sz w:val="24"/>
      <w:szCs w:val="24"/>
      <w:lang w:val="en-US" w:eastAsia="zh-CN" w:bidi="ar-SA"/>
    </w:rPr>
  </w:style>
  <w:style w:type="paragraph" w:customStyle="1" w:styleId="190">
    <w:name w:val="正文 New New New New New"/>
    <w:basedOn w:val="1"/>
    <w:qFormat/>
    <w:uiPriority w:val="0"/>
    <w:rPr>
      <w:rFonts w:ascii="Calibri" w:hAnsi="Calibri"/>
      <w:szCs w:val="22"/>
    </w:rPr>
  </w:style>
  <w:style w:type="paragraph" w:customStyle="1" w:styleId="191">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2">
    <w:name w:val="列出段落2"/>
    <w:basedOn w:val="1"/>
    <w:semiHidden/>
    <w:qFormat/>
    <w:uiPriority w:val="0"/>
    <w:pPr>
      <w:ind w:firstLine="420" w:firstLineChars="200"/>
    </w:pPr>
    <w:rPr>
      <w:rFonts w:ascii="Calibri" w:hAnsi="Calibri"/>
      <w:szCs w:val="22"/>
    </w:rPr>
  </w:style>
  <w:style w:type="character" w:customStyle="1" w:styleId="193">
    <w:name w:val="未处理的提及1"/>
    <w:basedOn w:val="58"/>
    <w:semiHidden/>
    <w:unhideWhenUsed/>
    <w:qFormat/>
    <w:uiPriority w:val="99"/>
    <w:rPr>
      <w:color w:val="605E5C"/>
      <w:shd w:val="clear" w:color="auto" w:fill="E1DFDD"/>
    </w:rPr>
  </w:style>
  <w:style w:type="paragraph" w:customStyle="1" w:styleId="194">
    <w:name w:val="表格"/>
    <w:basedOn w:val="1"/>
    <w:qFormat/>
    <w:uiPriority w:val="0"/>
    <w:pPr>
      <w:spacing w:line="400" w:lineRule="atLeast"/>
    </w:pPr>
    <w:rPr>
      <w:rFonts w:ascii="Calibri" w:hAnsi="Calibri"/>
      <w:b/>
      <w:bCs/>
      <w:color w:val="000000"/>
      <w:sz w:val="24"/>
    </w:rPr>
  </w:style>
  <w:style w:type="paragraph" w:customStyle="1" w:styleId="195">
    <w:name w:val="保留正文"/>
    <w:basedOn w:val="22"/>
    <w:qFormat/>
    <w:uiPriority w:val="0"/>
    <w:pPr>
      <w:keepNext/>
      <w:spacing w:after="160" w:line="240" w:lineRule="auto"/>
    </w:pPr>
    <w:rPr>
      <w:rFonts w:ascii="Calibri" w:hAnsi="Calibri"/>
      <w:b w:val="0"/>
      <w:bCs w:val="0"/>
      <w:sz w:val="21"/>
    </w:rPr>
  </w:style>
  <w:style w:type="paragraph" w:customStyle="1" w:styleId="196">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97">
    <w:name w:val="Revision"/>
    <w:hidden/>
    <w:semiHidden/>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65C77B-F459-469A-9460-985CB724AB9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18</Pages>
  <Words>1853</Words>
  <Characters>10567</Characters>
  <Lines>88</Lines>
  <Paragraphs>24</Paragraphs>
  <TotalTime>62</TotalTime>
  <ScaleCrop>false</ScaleCrop>
  <LinksUpToDate>false</LinksUpToDate>
  <CharactersWithSpaces>12396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2022-09-13T06:48:00Z</dcterms:created>
  <dc:creator>thsware</dc:creator>
  <cp:lastModifiedBy>Administrator</cp:lastModifiedBy>
  <cp:lastPrinted>2021-12-30T11:27:00Z</cp:lastPrinted>
  <dcterms:modified xsi:type="dcterms:W3CDTF">2022-09-20T10:48:33Z</dcterms:modified>
  <dc:title>招  标　文　件</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7B4130E4BD904FAE8034261B0BBDEBB4</vt:lpwstr>
  </property>
</Properties>
</file>