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宋体" w:hAnsi="宋体"/>
          <w:szCs w:val="21"/>
        </w:rPr>
      </w:pPr>
      <w:r>
        <w:rPr>
          <w:rFonts w:hint="eastAsia" w:ascii="宋体" w:hAnsi="宋体"/>
          <w:szCs w:val="21"/>
        </w:rPr>
        <w:t xml:space="preserve"> </w:t>
      </w:r>
      <w:r>
        <w:rPr>
          <w:rFonts w:ascii="宋体" w:hAnsi="宋体"/>
          <w:szCs w:val="21"/>
        </w:rPr>
        <w:t xml:space="preserve">                                                                           </w:t>
      </w:r>
    </w:p>
    <w:p>
      <w:pPr>
        <w:jc w:val="left"/>
        <w:rPr>
          <w:rFonts w:ascii="宋体" w:hAnsi="宋体"/>
          <w:szCs w:val="21"/>
        </w:rPr>
      </w:pPr>
    </w:p>
    <w:p>
      <w:pPr>
        <w:jc w:val="left"/>
        <w:rPr>
          <w:rFonts w:ascii="宋体" w:hAnsi="宋体"/>
          <w:b/>
          <w:sz w:val="36"/>
          <w:szCs w:val="36"/>
        </w:rPr>
      </w:pPr>
    </w:p>
    <w:p>
      <w:pPr>
        <w:jc w:val="center"/>
        <w:rPr>
          <w:rFonts w:ascii="宋体" w:hAnsi="宋体"/>
          <w:b/>
          <w:sz w:val="36"/>
          <w:szCs w:val="36"/>
        </w:rPr>
      </w:pPr>
      <w:r>
        <w:rPr>
          <w:rFonts w:hint="eastAsia" w:ascii="宋体" w:hAnsi="宋体"/>
          <w:b/>
          <w:sz w:val="36"/>
          <w:szCs w:val="36"/>
        </w:rPr>
        <w:t>《规划大厦二楼203、204、205、206会议室LED屏升级改造》项目</w:t>
      </w:r>
    </w:p>
    <w:p>
      <w:pPr>
        <w:jc w:val="center"/>
        <w:rPr>
          <w:rFonts w:ascii="宋体" w:hAnsi="宋体"/>
          <w:b/>
          <w:sz w:val="36"/>
          <w:szCs w:val="36"/>
        </w:rPr>
      </w:pPr>
      <w:r>
        <w:rPr>
          <w:rFonts w:hint="eastAsia" w:ascii="宋体" w:hAnsi="宋体"/>
          <w:b/>
          <w:sz w:val="36"/>
          <w:szCs w:val="36"/>
        </w:rPr>
        <w:t>招标文件</w:t>
      </w:r>
    </w:p>
    <w:p>
      <w:pPr>
        <w:jc w:val="center"/>
        <w:rPr>
          <w:rFonts w:ascii="宋体" w:hAnsi="宋体"/>
          <w:sz w:val="36"/>
          <w:szCs w:val="36"/>
        </w:rPr>
      </w:pPr>
      <w:r>
        <w:rPr>
          <w:rFonts w:hint="eastAsia" w:ascii="宋体" w:hAnsi="宋体"/>
          <w:sz w:val="36"/>
          <w:szCs w:val="36"/>
        </w:rPr>
        <w:t>（货物类）</w:t>
      </w: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Cs w:val="21"/>
        </w:rPr>
      </w:pPr>
    </w:p>
    <w:p>
      <w:pPr>
        <w:jc w:val="left"/>
        <w:rPr>
          <w:rFonts w:ascii="宋体" w:hAnsi="宋体"/>
          <w:sz w:val="32"/>
          <w:szCs w:val="32"/>
        </w:rPr>
      </w:pPr>
    </w:p>
    <w:p>
      <w:pPr>
        <w:jc w:val="left"/>
        <w:rPr>
          <w:rFonts w:ascii="宋体" w:hAnsi="宋体"/>
          <w:sz w:val="32"/>
          <w:szCs w:val="32"/>
        </w:rPr>
      </w:pPr>
    </w:p>
    <w:p>
      <w:pPr>
        <w:jc w:val="center"/>
        <w:rPr>
          <w:rFonts w:ascii="宋体" w:hAnsi="宋体"/>
          <w:sz w:val="32"/>
          <w:szCs w:val="32"/>
        </w:rPr>
      </w:pPr>
      <w:r>
        <w:rPr>
          <w:rFonts w:hint="eastAsia" w:ascii="宋体" w:hAnsi="宋体"/>
          <w:sz w:val="32"/>
          <w:szCs w:val="32"/>
        </w:rPr>
        <w:t>深圳市规划国土发展研究中心</w:t>
      </w:r>
    </w:p>
    <w:p>
      <w:pPr>
        <w:jc w:val="center"/>
        <w:rPr>
          <w:rFonts w:ascii="宋体" w:hAnsi="宋体"/>
          <w:sz w:val="32"/>
          <w:szCs w:val="32"/>
        </w:rPr>
      </w:pPr>
      <w:r>
        <w:rPr>
          <w:rFonts w:hint="eastAsia" w:ascii="宋体" w:hAnsi="宋体"/>
          <w:sz w:val="32"/>
          <w:szCs w:val="32"/>
        </w:rPr>
        <w:t>202</w:t>
      </w:r>
      <w:r>
        <w:rPr>
          <w:rFonts w:ascii="宋体" w:hAnsi="宋体"/>
          <w:sz w:val="32"/>
          <w:szCs w:val="32"/>
        </w:rPr>
        <w:t>2</w:t>
      </w:r>
      <w:r>
        <w:rPr>
          <w:rFonts w:hint="eastAsia" w:ascii="宋体" w:hAnsi="宋体"/>
          <w:sz w:val="32"/>
          <w:szCs w:val="32"/>
        </w:rPr>
        <w:t>年</w:t>
      </w:r>
      <w:r>
        <w:rPr>
          <w:rFonts w:ascii="宋体" w:hAnsi="宋体"/>
          <w:sz w:val="32"/>
          <w:szCs w:val="32"/>
        </w:rPr>
        <w:t>09</w:t>
      </w:r>
      <w:r>
        <w:rPr>
          <w:rFonts w:hint="eastAsia" w:ascii="宋体" w:hAnsi="宋体"/>
          <w:sz w:val="32"/>
          <w:szCs w:val="32"/>
        </w:rPr>
        <w:t>月</w:t>
      </w:r>
      <w:r>
        <w:rPr>
          <w:rFonts w:ascii="宋体" w:hAnsi="宋体"/>
          <w:sz w:val="32"/>
          <w:szCs w:val="32"/>
        </w:rPr>
        <w:t>14</w:t>
      </w:r>
      <w:r>
        <w:rPr>
          <w:rFonts w:hint="eastAsia" w:ascii="宋体" w:hAnsi="宋体"/>
          <w:sz w:val="32"/>
          <w:szCs w:val="32"/>
        </w:rPr>
        <w:t>日</w:t>
      </w:r>
    </w:p>
    <w:p>
      <w:pPr>
        <w:pStyle w:val="3"/>
        <w:jc w:val="center"/>
        <w:rPr>
          <w:sz w:val="21"/>
          <w:szCs w:val="21"/>
        </w:rPr>
      </w:pPr>
      <w:r>
        <w:rPr>
          <w:sz w:val="21"/>
          <w:szCs w:val="21"/>
        </w:rPr>
        <w:br w:type="page"/>
      </w:r>
    </w:p>
    <w:p>
      <w:pPr>
        <w:jc w:val="left"/>
        <w:rPr>
          <w:rFonts w:ascii="宋体" w:hAnsi="宋体"/>
          <w:szCs w:val="21"/>
        </w:rPr>
      </w:pPr>
    </w:p>
    <w:p>
      <w:pPr>
        <w:jc w:val="center"/>
        <w:rPr>
          <w:rFonts w:ascii="宋体" w:hAnsi="宋体"/>
          <w:b/>
          <w:sz w:val="36"/>
          <w:szCs w:val="36"/>
        </w:rPr>
      </w:pPr>
      <w:r>
        <w:rPr>
          <w:rFonts w:hint="eastAsia" w:ascii="宋体" w:hAnsi="宋体"/>
          <w:b/>
          <w:sz w:val="36"/>
          <w:szCs w:val="36"/>
        </w:rPr>
        <w:t>项目信息</w:t>
      </w:r>
    </w:p>
    <w:tbl>
      <w:tblPr>
        <w:tblStyle w:val="54"/>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6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vAlign w:val="center"/>
          </w:tcPr>
          <w:p>
            <w:pPr>
              <w:jc w:val="left"/>
              <w:rPr>
                <w:rFonts w:ascii="宋体" w:hAnsi="宋体"/>
                <w:szCs w:val="21"/>
              </w:rPr>
            </w:pPr>
            <w:r>
              <w:rPr>
                <w:rFonts w:ascii="宋体" w:hAnsi="宋体"/>
                <w:szCs w:val="21"/>
              </w:rPr>
              <w:t>项目名称</w:t>
            </w:r>
          </w:p>
        </w:tc>
        <w:tc>
          <w:tcPr>
            <w:tcW w:w="6237" w:type="dxa"/>
          </w:tcPr>
          <w:p>
            <w:pPr>
              <w:jc w:val="left"/>
              <w:rPr>
                <w:rFonts w:ascii="宋体" w:hAnsi="宋体"/>
                <w:color w:val="000000"/>
                <w:szCs w:val="21"/>
              </w:rPr>
            </w:pPr>
            <w:r>
              <w:rPr>
                <w:rFonts w:hint="eastAsia" w:ascii="宋体" w:hAnsi="宋体"/>
                <w:color w:val="000000"/>
                <w:szCs w:val="21"/>
              </w:rPr>
              <w:t>规划大厦二楼203、204、205、206会议室LED屏升级改造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Pr>
          <w:p>
            <w:pPr>
              <w:jc w:val="left"/>
              <w:rPr>
                <w:rFonts w:ascii="宋体" w:hAnsi="宋体"/>
                <w:szCs w:val="21"/>
              </w:rPr>
            </w:pPr>
            <w:r>
              <w:rPr>
                <w:rFonts w:ascii="宋体" w:hAnsi="宋体"/>
                <w:szCs w:val="21"/>
              </w:rPr>
              <w:t>项目类型</w:t>
            </w:r>
          </w:p>
        </w:tc>
        <w:tc>
          <w:tcPr>
            <w:tcW w:w="6237" w:type="dxa"/>
          </w:tcPr>
          <w:p>
            <w:pPr>
              <w:jc w:val="left"/>
              <w:rPr>
                <w:rFonts w:ascii="宋体" w:hAnsi="宋体"/>
                <w:szCs w:val="21"/>
              </w:rPr>
            </w:pPr>
            <w:r>
              <w:rPr>
                <w:rFonts w:hint="eastAsia" w:ascii="宋体" w:hAnsi="宋体"/>
                <w:szCs w:val="21"/>
              </w:rPr>
              <w:t>货物类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Pr>
          <w:p>
            <w:pPr>
              <w:jc w:val="left"/>
              <w:rPr>
                <w:rFonts w:ascii="宋体" w:hAnsi="宋体"/>
                <w:szCs w:val="21"/>
              </w:rPr>
            </w:pPr>
            <w:r>
              <w:rPr>
                <w:rFonts w:ascii="宋体" w:hAnsi="宋体"/>
                <w:szCs w:val="21"/>
              </w:rPr>
              <w:t>采购方式</w:t>
            </w:r>
          </w:p>
        </w:tc>
        <w:tc>
          <w:tcPr>
            <w:tcW w:w="6237" w:type="dxa"/>
          </w:tcPr>
          <w:p>
            <w:pPr>
              <w:jc w:val="left"/>
              <w:rPr>
                <w:rFonts w:ascii="宋体" w:hAnsi="宋体"/>
                <w:szCs w:val="21"/>
              </w:rPr>
            </w:pPr>
            <w:r>
              <w:rPr>
                <w:rFonts w:ascii="宋体" w:hAnsi="宋体"/>
                <w:szCs w:val="21"/>
              </w:rPr>
              <w:t>公开招标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Pr>
          <w:p>
            <w:pPr>
              <w:jc w:val="left"/>
              <w:rPr>
                <w:rFonts w:ascii="宋体" w:hAnsi="宋体"/>
                <w:szCs w:val="21"/>
              </w:rPr>
            </w:pPr>
            <w:r>
              <w:rPr>
                <w:rFonts w:ascii="宋体" w:hAnsi="宋体"/>
                <w:szCs w:val="21"/>
              </w:rPr>
              <w:t>货币类型</w:t>
            </w:r>
          </w:p>
        </w:tc>
        <w:tc>
          <w:tcPr>
            <w:tcW w:w="6237" w:type="dxa"/>
          </w:tcPr>
          <w:p>
            <w:pPr>
              <w:jc w:val="left"/>
              <w:rPr>
                <w:rFonts w:ascii="宋体" w:hAnsi="宋体"/>
                <w:szCs w:val="21"/>
              </w:rPr>
            </w:pPr>
            <w:r>
              <w:rPr>
                <w:rFonts w:ascii="宋体" w:hAnsi="宋体"/>
                <w:szCs w:val="21"/>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Pr>
          <w:p>
            <w:pPr>
              <w:jc w:val="left"/>
              <w:rPr>
                <w:rFonts w:ascii="宋体" w:hAnsi="宋体"/>
                <w:szCs w:val="21"/>
              </w:rPr>
            </w:pPr>
            <w:r>
              <w:rPr>
                <w:rFonts w:ascii="宋体" w:hAnsi="宋体"/>
                <w:szCs w:val="21"/>
              </w:rPr>
              <w:t>投标文件份数</w:t>
            </w:r>
          </w:p>
        </w:tc>
        <w:tc>
          <w:tcPr>
            <w:tcW w:w="6237" w:type="dxa"/>
          </w:tcPr>
          <w:p>
            <w:pPr>
              <w:jc w:val="left"/>
              <w:rPr>
                <w:rFonts w:ascii="宋体" w:hAnsi="宋体"/>
                <w:szCs w:val="21"/>
              </w:rPr>
            </w:pPr>
            <w:r>
              <w:rPr>
                <w:rFonts w:ascii="宋体" w:hAnsi="宋体"/>
                <w:szCs w:val="21"/>
              </w:rPr>
              <w:t>正本1份</w:t>
            </w:r>
            <w:r>
              <w:rPr>
                <w:rFonts w:hint="eastAsia" w:ascii="宋体" w:hAnsi="宋体"/>
                <w:szCs w:val="21"/>
              </w:rPr>
              <w:t>、副本6份</w:t>
            </w:r>
          </w:p>
        </w:tc>
      </w:tr>
    </w:tbl>
    <w:p>
      <w:pPr>
        <w:jc w:val="left"/>
        <w:rPr>
          <w:rFonts w:ascii="宋体" w:hAnsi="宋体"/>
          <w:szCs w:val="21"/>
        </w:rPr>
      </w:pPr>
    </w:p>
    <w:p>
      <w:pPr>
        <w:pStyle w:val="4"/>
        <w:jc w:val="left"/>
        <w:rPr>
          <w:rFonts w:ascii="宋体" w:hAnsi="宋体" w:eastAsia="宋体"/>
          <w:b w:val="0"/>
          <w:sz w:val="21"/>
          <w:szCs w:val="21"/>
        </w:rPr>
      </w:pPr>
      <w:r>
        <w:rPr>
          <w:rFonts w:ascii="宋体" w:hAnsi="宋体" w:eastAsia="宋体"/>
          <w:sz w:val="21"/>
          <w:szCs w:val="21"/>
        </w:rPr>
        <w:br w:type="page"/>
      </w:r>
    </w:p>
    <w:p>
      <w:pPr>
        <w:jc w:val="center"/>
        <w:rPr>
          <w:rFonts w:ascii="宋体" w:hAnsi="宋体"/>
          <w:b/>
          <w:sz w:val="36"/>
          <w:szCs w:val="36"/>
        </w:rPr>
      </w:pPr>
      <w:r>
        <w:rPr>
          <w:rFonts w:ascii="宋体" w:hAnsi="宋体"/>
          <w:b/>
          <w:sz w:val="36"/>
          <w:szCs w:val="36"/>
        </w:rPr>
        <w:t>评标信息</w:t>
      </w:r>
    </w:p>
    <w:p>
      <w:pPr>
        <w:jc w:val="left"/>
        <w:rPr>
          <w:rFonts w:ascii="宋体" w:hAnsi="宋体"/>
          <w:szCs w:val="21"/>
        </w:rPr>
      </w:pPr>
      <w:r>
        <w:rPr>
          <w:rFonts w:hint="eastAsia" w:ascii="宋体" w:hAnsi="宋体"/>
          <w:szCs w:val="21"/>
        </w:rPr>
        <w:t xml:space="preserve">评标方法：综合评分法                                      </w:t>
      </w:r>
    </w:p>
    <w:p>
      <w:pPr>
        <w:jc w:val="left"/>
        <w:rPr>
          <w:rFonts w:ascii="宋体" w:hAnsi="宋体"/>
          <w:szCs w:val="21"/>
        </w:rPr>
      </w:pPr>
      <w:r>
        <w:rPr>
          <w:rFonts w:ascii="宋体" w:hAnsi="宋体"/>
          <w:szCs w:val="21"/>
        </w:rPr>
        <w:t xml:space="preserve">综合评分法，是指投标文件满足招标文件全部实质性要求，且按照评审因素的量化指标评审得分最高的投标人为中标候选人的评标方法。 </w:t>
      </w:r>
    </w:p>
    <w:p>
      <w:pPr>
        <w:jc w:val="left"/>
        <w:rPr>
          <w:rFonts w:ascii="宋体" w:hAnsi="宋体"/>
          <w:szCs w:val="21"/>
        </w:rPr>
      </w:pPr>
    </w:p>
    <w:p>
      <w:pPr>
        <w:adjustRightInd w:val="0"/>
        <w:snapToGrid w:val="0"/>
        <w:jc w:val="left"/>
        <w:rPr>
          <w:rFonts w:ascii="宋体" w:hAnsi="宋体" w:cs="宋体"/>
          <w:b/>
          <w:bCs/>
          <w:szCs w:val="21"/>
        </w:rPr>
      </w:pPr>
      <w:r>
        <w:rPr>
          <w:rFonts w:hint="eastAsia" w:ascii="宋体" w:hAnsi="宋体" w:cs="宋体"/>
          <w:b/>
          <w:bCs/>
          <w:szCs w:val="21"/>
        </w:rPr>
        <w:t>附表：评标项目的分值分配表</w:t>
      </w:r>
    </w:p>
    <w:tbl>
      <w:tblPr>
        <w:tblStyle w:val="54"/>
        <w:tblW w:w="89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6"/>
        <w:gridCol w:w="1567"/>
        <w:gridCol w:w="1566"/>
        <w:gridCol w:w="1567"/>
        <w:gridCol w:w="22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left"/>
              <w:rPr>
                <w:rFonts w:ascii="宋体" w:hAnsi="宋体" w:cs="宋体"/>
                <w:b/>
                <w:bCs/>
                <w:szCs w:val="21"/>
              </w:rPr>
            </w:pPr>
            <w:r>
              <w:rPr>
                <w:rFonts w:hint="eastAsia" w:ascii="宋体" w:hAnsi="宋体" w:cs="宋体"/>
                <w:b/>
                <w:bCs/>
                <w:szCs w:val="21"/>
              </w:rPr>
              <w:t>评审项目</w:t>
            </w:r>
          </w:p>
        </w:tc>
        <w:tc>
          <w:tcPr>
            <w:tcW w:w="1567" w:type="dxa"/>
            <w:tcBorders>
              <w:top w:val="single" w:color="auto" w:sz="4" w:space="0"/>
              <w:left w:val="nil"/>
              <w:bottom w:val="single" w:color="auto" w:sz="4" w:space="0"/>
              <w:right w:val="single" w:color="auto" w:sz="4" w:space="0"/>
            </w:tcBorders>
            <w:shd w:val="clear" w:color="auto" w:fill="auto"/>
            <w:vAlign w:val="center"/>
          </w:tcPr>
          <w:p>
            <w:pPr>
              <w:adjustRightInd w:val="0"/>
              <w:snapToGrid w:val="0"/>
              <w:jc w:val="left"/>
              <w:rPr>
                <w:rFonts w:ascii="宋体" w:hAnsi="宋体" w:cs="宋体"/>
                <w:b/>
                <w:bCs/>
                <w:szCs w:val="21"/>
              </w:rPr>
            </w:pPr>
            <w:r>
              <w:rPr>
                <w:rFonts w:hint="eastAsia" w:ascii="宋体" w:hAnsi="宋体" w:cs="宋体"/>
                <w:b/>
                <w:bCs/>
                <w:szCs w:val="21"/>
              </w:rPr>
              <w:t>商务部分</w:t>
            </w:r>
          </w:p>
        </w:tc>
        <w:tc>
          <w:tcPr>
            <w:tcW w:w="1566" w:type="dxa"/>
            <w:tcBorders>
              <w:top w:val="single" w:color="auto" w:sz="4" w:space="0"/>
              <w:left w:val="nil"/>
              <w:bottom w:val="single" w:color="auto" w:sz="4" w:space="0"/>
              <w:right w:val="single" w:color="auto" w:sz="4" w:space="0"/>
            </w:tcBorders>
            <w:shd w:val="clear" w:color="auto" w:fill="auto"/>
            <w:vAlign w:val="center"/>
          </w:tcPr>
          <w:p>
            <w:pPr>
              <w:adjustRightInd w:val="0"/>
              <w:snapToGrid w:val="0"/>
              <w:jc w:val="left"/>
              <w:rPr>
                <w:rFonts w:ascii="宋体" w:hAnsi="宋体" w:cs="宋体"/>
                <w:b/>
                <w:bCs/>
                <w:szCs w:val="21"/>
              </w:rPr>
            </w:pPr>
            <w:r>
              <w:rPr>
                <w:rFonts w:hint="eastAsia" w:ascii="宋体" w:hAnsi="宋体" w:cs="宋体"/>
                <w:b/>
                <w:bCs/>
                <w:szCs w:val="21"/>
              </w:rPr>
              <w:t>技术部分</w:t>
            </w:r>
          </w:p>
        </w:tc>
        <w:tc>
          <w:tcPr>
            <w:tcW w:w="1567" w:type="dxa"/>
            <w:tcBorders>
              <w:top w:val="single" w:color="auto" w:sz="4" w:space="0"/>
              <w:left w:val="nil"/>
              <w:bottom w:val="single" w:color="auto" w:sz="4" w:space="0"/>
              <w:right w:val="single" w:color="auto" w:sz="4" w:space="0"/>
            </w:tcBorders>
            <w:shd w:val="clear" w:color="auto" w:fill="auto"/>
            <w:vAlign w:val="center"/>
          </w:tcPr>
          <w:p>
            <w:pPr>
              <w:adjustRightInd w:val="0"/>
              <w:snapToGrid w:val="0"/>
              <w:jc w:val="left"/>
              <w:rPr>
                <w:rFonts w:ascii="宋体" w:hAnsi="宋体" w:cs="宋体"/>
                <w:b/>
                <w:bCs/>
                <w:szCs w:val="21"/>
              </w:rPr>
            </w:pPr>
            <w:r>
              <w:rPr>
                <w:rFonts w:hint="eastAsia" w:ascii="宋体" w:hAnsi="宋体" w:cs="宋体"/>
                <w:b/>
                <w:bCs/>
                <w:szCs w:val="21"/>
              </w:rPr>
              <w:t>价格部分</w:t>
            </w:r>
          </w:p>
        </w:tc>
        <w:tc>
          <w:tcPr>
            <w:tcW w:w="2234" w:type="dxa"/>
            <w:tcBorders>
              <w:top w:val="single" w:color="auto" w:sz="4" w:space="0"/>
              <w:left w:val="nil"/>
              <w:bottom w:val="single" w:color="auto" w:sz="4" w:space="0"/>
              <w:right w:val="single" w:color="auto" w:sz="4" w:space="0"/>
            </w:tcBorders>
            <w:shd w:val="clear" w:color="auto" w:fill="auto"/>
            <w:vAlign w:val="center"/>
          </w:tcPr>
          <w:p>
            <w:pPr>
              <w:adjustRightInd w:val="0"/>
              <w:snapToGrid w:val="0"/>
              <w:jc w:val="left"/>
              <w:rPr>
                <w:rFonts w:ascii="宋体" w:hAnsi="宋体" w:cs="宋体"/>
                <w:b/>
                <w:bCs/>
                <w:szCs w:val="21"/>
              </w:rPr>
            </w:pPr>
            <w:r>
              <w:rPr>
                <w:rFonts w:hint="eastAsia" w:ascii="宋体" w:hAnsi="宋体" w:cs="宋体"/>
                <w:b/>
                <w:bCs/>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97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宋体" w:hAnsi="宋体" w:cs="宋体"/>
                <w:szCs w:val="21"/>
              </w:rPr>
            </w:pPr>
            <w:r>
              <w:rPr>
                <w:rFonts w:hint="eastAsia" w:ascii="宋体" w:hAnsi="宋体" w:cs="宋体"/>
                <w:szCs w:val="21"/>
              </w:rPr>
              <w:t>权重</w:t>
            </w:r>
          </w:p>
        </w:tc>
        <w:tc>
          <w:tcPr>
            <w:tcW w:w="1567"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ascii="宋体" w:hAnsi="宋体" w:cs="宋体"/>
                <w:szCs w:val="21"/>
              </w:rPr>
              <w:t>15</w:t>
            </w:r>
            <w:r>
              <w:rPr>
                <w:rFonts w:hint="eastAsia" w:ascii="宋体" w:hAnsi="宋体" w:cs="宋体"/>
                <w:szCs w:val="21"/>
              </w:rPr>
              <w:t>%</w:t>
            </w:r>
          </w:p>
        </w:tc>
        <w:tc>
          <w:tcPr>
            <w:tcW w:w="1566"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ascii="宋体" w:hAnsi="宋体" w:cs="宋体"/>
                <w:szCs w:val="21"/>
              </w:rPr>
              <w:t>55</w:t>
            </w:r>
            <w:r>
              <w:rPr>
                <w:rFonts w:hint="eastAsia" w:ascii="宋体" w:hAnsi="宋体" w:cs="宋体"/>
                <w:szCs w:val="21"/>
              </w:rPr>
              <w:t>%</w:t>
            </w:r>
          </w:p>
        </w:tc>
        <w:tc>
          <w:tcPr>
            <w:tcW w:w="1567"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ascii="宋体" w:hAnsi="宋体" w:cs="宋体"/>
                <w:szCs w:val="21"/>
              </w:rPr>
              <w:t>3</w:t>
            </w:r>
            <w:r>
              <w:rPr>
                <w:rFonts w:hint="eastAsia" w:ascii="宋体" w:hAnsi="宋体" w:cs="宋体"/>
                <w:szCs w:val="21"/>
              </w:rPr>
              <w:t>0%</w:t>
            </w:r>
          </w:p>
        </w:tc>
        <w:tc>
          <w:tcPr>
            <w:tcW w:w="2234"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hint="eastAsia" w:ascii="宋体" w:hAnsi="宋体" w:cs="宋体"/>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97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宋体" w:hAnsi="宋体" w:cs="宋体"/>
                <w:szCs w:val="21"/>
              </w:rPr>
            </w:pPr>
            <w:r>
              <w:rPr>
                <w:rFonts w:hint="eastAsia" w:ascii="宋体" w:hAnsi="宋体" w:cs="宋体"/>
                <w:szCs w:val="21"/>
              </w:rPr>
              <w:t>分值</w:t>
            </w:r>
          </w:p>
        </w:tc>
        <w:tc>
          <w:tcPr>
            <w:tcW w:w="1567"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ascii="宋体" w:hAnsi="宋体" w:cs="宋体"/>
                <w:szCs w:val="21"/>
              </w:rPr>
              <w:t>15</w:t>
            </w:r>
            <w:r>
              <w:rPr>
                <w:rFonts w:hint="eastAsia" w:ascii="宋体" w:hAnsi="宋体" w:cs="宋体"/>
                <w:szCs w:val="21"/>
              </w:rPr>
              <w:t>分</w:t>
            </w:r>
          </w:p>
        </w:tc>
        <w:tc>
          <w:tcPr>
            <w:tcW w:w="1566"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ascii="宋体" w:hAnsi="宋体" w:cs="宋体"/>
                <w:szCs w:val="21"/>
              </w:rPr>
              <w:t>55</w:t>
            </w:r>
            <w:r>
              <w:rPr>
                <w:rFonts w:hint="eastAsia" w:ascii="宋体" w:hAnsi="宋体" w:cs="宋体"/>
                <w:szCs w:val="21"/>
              </w:rPr>
              <w:t>分</w:t>
            </w:r>
          </w:p>
        </w:tc>
        <w:tc>
          <w:tcPr>
            <w:tcW w:w="1567"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ascii="宋体" w:hAnsi="宋体" w:cs="宋体"/>
                <w:szCs w:val="21"/>
              </w:rPr>
              <w:t>3</w:t>
            </w:r>
            <w:r>
              <w:rPr>
                <w:rFonts w:hint="eastAsia" w:ascii="宋体" w:hAnsi="宋体" w:cs="宋体"/>
                <w:szCs w:val="21"/>
              </w:rPr>
              <w:t>0分</w:t>
            </w:r>
          </w:p>
        </w:tc>
        <w:tc>
          <w:tcPr>
            <w:tcW w:w="2234" w:type="dxa"/>
            <w:tcBorders>
              <w:top w:val="single" w:color="auto" w:sz="4" w:space="0"/>
              <w:left w:val="nil"/>
              <w:bottom w:val="single" w:color="auto" w:sz="4" w:space="0"/>
              <w:right w:val="single" w:color="auto" w:sz="4" w:space="0"/>
            </w:tcBorders>
            <w:vAlign w:val="center"/>
          </w:tcPr>
          <w:p>
            <w:pPr>
              <w:adjustRightInd w:val="0"/>
              <w:snapToGrid w:val="0"/>
              <w:jc w:val="left"/>
              <w:rPr>
                <w:rFonts w:ascii="宋体" w:hAnsi="宋体" w:cs="宋体"/>
                <w:szCs w:val="21"/>
              </w:rPr>
            </w:pPr>
            <w:r>
              <w:rPr>
                <w:rFonts w:hint="eastAsia" w:ascii="宋体" w:hAnsi="宋体" w:cs="宋体"/>
                <w:szCs w:val="21"/>
              </w:rPr>
              <w:t>100分</w:t>
            </w:r>
          </w:p>
        </w:tc>
      </w:tr>
    </w:tbl>
    <w:p>
      <w:pPr>
        <w:adjustRightInd w:val="0"/>
        <w:snapToGrid w:val="0"/>
        <w:jc w:val="left"/>
        <w:rPr>
          <w:rFonts w:ascii="宋体" w:hAnsi="宋体" w:cs="宋体"/>
          <w:b/>
          <w:bCs/>
          <w:szCs w:val="21"/>
        </w:rPr>
      </w:pPr>
    </w:p>
    <w:p>
      <w:pPr>
        <w:adjustRightInd w:val="0"/>
        <w:snapToGrid w:val="0"/>
        <w:jc w:val="left"/>
        <w:rPr>
          <w:rFonts w:ascii="宋体" w:hAnsi="宋体" w:cs="宋体"/>
          <w:b/>
          <w:bCs/>
          <w:szCs w:val="21"/>
        </w:rPr>
      </w:pPr>
      <w:r>
        <w:rPr>
          <w:rFonts w:hint="eastAsia" w:ascii="宋体" w:hAnsi="宋体" w:cs="宋体"/>
          <w:b/>
          <w:bCs/>
          <w:szCs w:val="21"/>
        </w:rPr>
        <w:t>商务评审表</w:t>
      </w:r>
    </w:p>
    <w:p>
      <w:pP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商务部分15分</w:t>
      </w:r>
    </w:p>
    <w:tbl>
      <w:tblPr>
        <w:tblStyle w:val="54"/>
        <w:tblW w:w="8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1293"/>
        <w:gridCol w:w="718"/>
        <w:gridCol w:w="1149"/>
        <w:gridCol w:w="4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56" w:type="dxa"/>
            <w:vAlign w:val="center"/>
          </w:tcPr>
          <w:p>
            <w:pP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序号</w:t>
            </w:r>
          </w:p>
        </w:tc>
        <w:tc>
          <w:tcPr>
            <w:tcW w:w="1293" w:type="dxa"/>
            <w:vAlign w:val="center"/>
          </w:tcPr>
          <w:p>
            <w:pP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评分因素</w:t>
            </w:r>
          </w:p>
        </w:tc>
        <w:tc>
          <w:tcPr>
            <w:tcW w:w="718" w:type="dxa"/>
            <w:vAlign w:val="center"/>
          </w:tcPr>
          <w:p>
            <w:pP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权重</w:t>
            </w:r>
          </w:p>
        </w:tc>
        <w:tc>
          <w:tcPr>
            <w:tcW w:w="1149" w:type="dxa"/>
            <w:vAlign w:val="center"/>
          </w:tcPr>
          <w:p>
            <w:pP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评分方式</w:t>
            </w:r>
          </w:p>
        </w:tc>
        <w:tc>
          <w:tcPr>
            <w:tcW w:w="4763" w:type="dxa"/>
            <w:vAlign w:val="center"/>
          </w:tcPr>
          <w:p>
            <w:pP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6" w:type="dxa"/>
            <w:vAlign w:val="center"/>
          </w:tcPr>
          <w:p>
            <w:pP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w:t>
            </w:r>
          </w:p>
        </w:tc>
        <w:tc>
          <w:tcPr>
            <w:tcW w:w="1293" w:type="dxa"/>
            <w:vAlign w:val="center"/>
          </w:tcPr>
          <w:p>
            <w:pP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商务情况</w:t>
            </w:r>
          </w:p>
        </w:tc>
        <w:tc>
          <w:tcPr>
            <w:tcW w:w="718" w:type="dxa"/>
            <w:vAlign w:val="center"/>
          </w:tcPr>
          <w:p>
            <w:pP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w:t>
            </w:r>
          </w:p>
        </w:tc>
        <w:tc>
          <w:tcPr>
            <w:tcW w:w="1149" w:type="dxa"/>
            <w:vAlign w:val="center"/>
          </w:tcPr>
          <w:p>
            <w:pP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专家评分</w:t>
            </w:r>
          </w:p>
        </w:tc>
        <w:tc>
          <w:tcPr>
            <w:tcW w:w="4763" w:type="dxa"/>
            <w:vAlign w:val="center"/>
          </w:tcPr>
          <w:p>
            <w:pP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全部满足要求的得2分，不满足的废标。</w:t>
            </w:r>
          </w:p>
          <w:p>
            <w:pP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1.已在深圳市政府采购网注册的政府采购供应商，且具有独立法人资格。</w:t>
            </w:r>
          </w:p>
          <w:p>
            <w:pP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2.中标方参与本项目投标前三年内（中标方成立不足三年的可从成立之日起算），无行贿犯罪记录及在经营活动中没有重大违法记录；参与本项目政府采购活动时不存在被有关部门禁止参与政府采购活动且在有效期内的情况；参与本项目政府采购活动时不存在被有关部门列入失信被执行人、重大税收违法案件当事人名单的情况（提供“中标方资格声明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6" w:type="dxa"/>
            <w:vAlign w:val="center"/>
          </w:tcPr>
          <w:p>
            <w:pPr>
              <w:spacing w:line="360" w:lineRule="exact"/>
              <w:jc w:val="center"/>
              <w:rPr>
                <w:sz w:val="22"/>
                <w:szCs w:val="22"/>
              </w:rPr>
            </w:pPr>
            <w:r>
              <w:rPr>
                <w:sz w:val="22"/>
                <w:szCs w:val="22"/>
              </w:rPr>
              <w:t>2</w:t>
            </w:r>
          </w:p>
        </w:tc>
        <w:tc>
          <w:tcPr>
            <w:tcW w:w="1293" w:type="dxa"/>
            <w:vAlign w:val="center"/>
          </w:tcPr>
          <w:p>
            <w:pPr>
              <w:snapToGrid w:val="0"/>
              <w:spacing w:line="36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投标人近三年同类业绩（截止日为本项目公告发布之日）</w:t>
            </w:r>
          </w:p>
        </w:tc>
        <w:tc>
          <w:tcPr>
            <w:tcW w:w="718" w:type="dxa"/>
            <w:vAlign w:val="center"/>
          </w:tcPr>
          <w:p>
            <w:pPr>
              <w:snapToGrid w:val="0"/>
              <w:spacing w:line="36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4</w:t>
            </w:r>
          </w:p>
        </w:tc>
        <w:tc>
          <w:tcPr>
            <w:tcW w:w="1149" w:type="dxa"/>
            <w:vAlign w:val="center"/>
          </w:tcPr>
          <w:p>
            <w:pPr>
              <w:snapToGrid w:val="0"/>
              <w:spacing w:line="36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专家评分</w:t>
            </w:r>
          </w:p>
        </w:tc>
        <w:tc>
          <w:tcPr>
            <w:tcW w:w="4763" w:type="dxa"/>
          </w:tcPr>
          <w:p>
            <w:pPr>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每提供1项有效业绩的，得1分；以此类推，最高不超过4分。</w:t>
            </w:r>
          </w:p>
          <w:p>
            <w:pPr>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不提供或者不能提供有效证明的，得0分。</w:t>
            </w:r>
          </w:p>
          <w:p>
            <w:pPr>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同时满足以下全部要求同类业绩才属于有效业绩：</w:t>
            </w:r>
          </w:p>
          <w:p>
            <w:pPr>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1）包含室内LED小间距拼接屏系统的集成项目。</w:t>
            </w:r>
          </w:p>
          <w:p>
            <w:pPr>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2) 合同签订时间为2019年8月1日至投标截止时间前。</w:t>
            </w:r>
          </w:p>
          <w:p>
            <w:pPr>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证明文件：</w:t>
            </w:r>
          </w:p>
          <w:p>
            <w:pPr>
              <w:snapToGrid w:val="0"/>
              <w:spacing w:line="360" w:lineRule="exact"/>
              <w:rPr>
                <w:color w:val="000000"/>
                <w:sz w:val="22"/>
                <w:szCs w:val="22"/>
              </w:rPr>
            </w:pPr>
            <w:r>
              <w:rPr>
                <w:rFonts w:hint="eastAsia" w:asciiTheme="minorEastAsia" w:hAnsiTheme="minorEastAsia" w:eastAsiaTheme="minorEastAsia" w:cstheme="minorEastAsia"/>
                <w:bCs/>
                <w:szCs w:val="21"/>
              </w:rPr>
              <w:t>供应商必须提供同类业绩合同关键页（首页、体现采购内容页、签字盖章页、签订时间页等）、验收报告（加盖合同甲方公章或甲方业务章）及履约评价表（评价为优或良，并加盖合同甲方公章或甲方业务章）复印件或扫描件（未提供或提供不全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6" w:type="dxa"/>
            <w:vAlign w:val="center"/>
          </w:tcPr>
          <w:p>
            <w:pPr>
              <w:spacing w:line="360" w:lineRule="exact"/>
              <w:jc w:val="center"/>
              <w:rPr>
                <w:sz w:val="22"/>
                <w:szCs w:val="22"/>
              </w:rPr>
            </w:pPr>
            <w:r>
              <w:rPr>
                <w:sz w:val="22"/>
                <w:szCs w:val="22"/>
              </w:rPr>
              <w:t>3</w:t>
            </w:r>
          </w:p>
        </w:tc>
        <w:tc>
          <w:tcPr>
            <w:tcW w:w="1293" w:type="dxa"/>
            <w:vAlign w:val="center"/>
          </w:tcPr>
          <w:p>
            <w:pPr>
              <w:snapToGrid w:val="0"/>
              <w:spacing w:line="36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认证情况</w:t>
            </w:r>
          </w:p>
        </w:tc>
        <w:tc>
          <w:tcPr>
            <w:tcW w:w="718" w:type="dxa"/>
            <w:vAlign w:val="center"/>
          </w:tcPr>
          <w:p>
            <w:pPr>
              <w:snapToGrid w:val="0"/>
              <w:spacing w:line="36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4</w:t>
            </w:r>
          </w:p>
        </w:tc>
        <w:tc>
          <w:tcPr>
            <w:tcW w:w="1149" w:type="dxa"/>
            <w:vAlign w:val="center"/>
          </w:tcPr>
          <w:p>
            <w:pPr>
              <w:snapToGrid w:val="0"/>
              <w:spacing w:line="36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专家评分</w:t>
            </w:r>
          </w:p>
        </w:tc>
        <w:tc>
          <w:tcPr>
            <w:tcW w:w="4763" w:type="dxa"/>
            <w:vAlign w:val="center"/>
          </w:tcPr>
          <w:p>
            <w:pPr>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（一）评分内容：</w:t>
            </w:r>
          </w:p>
          <w:p>
            <w:pPr>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1.投标人曾获得过安全技术防范系统设计、施工、维修等级四级以上 证书”，得1分。（提供相应的资格证书复印件或扫描件作为评审依据）</w:t>
            </w:r>
          </w:p>
          <w:p>
            <w:pPr>
              <w:rPr>
                <w:rFonts w:ascii="宋体" w:hAnsi="宋体" w:cs="宋体"/>
                <w:bCs/>
                <w:szCs w:val="21"/>
              </w:rPr>
            </w:pPr>
            <w:r>
              <w:rPr>
                <w:rFonts w:hint="eastAsia" w:ascii="宋体" w:hAnsi="宋体" w:cs="宋体"/>
                <w:bCs/>
                <w:szCs w:val="21"/>
              </w:rPr>
              <w:t>2、投标人曾获得过信息系统服务和评估能力证书CS1级及以上的”，得1分。（提供相应的有效资格证书复印件或扫描件作为评审依据）</w:t>
            </w:r>
          </w:p>
          <w:p>
            <w:pPr>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3.投标人同时具有有效的ISO9001质量管理体系、ISO14001环境管理体系、ISO45001职业健康安全管理体系认证证书的，得2分。（同时提供有效证书复印件或扫描件及国家市场监督管理总局-全国认证认可信息公共服务平台</w:t>
            </w:r>
            <w:r>
              <w:rPr>
                <w:rFonts w:hint="eastAsia"/>
              </w:rPr>
              <w:fldChar w:fldCharType="begin"/>
            </w:r>
            <w:r>
              <w:instrText xml:space="preserve"> HYPERLINK "http://cx.cnca.cn/CertECloud/index/index/page证书查询截图作为评审依据" </w:instrText>
            </w:r>
            <w:r>
              <w:rPr>
                <w:rFonts w:hint="eastAsia"/>
              </w:rPr>
              <w:fldChar w:fldCharType="separate"/>
            </w:r>
            <w:r>
              <w:rPr>
                <w:rFonts w:hint="eastAsia" w:asciiTheme="minorEastAsia" w:hAnsiTheme="minorEastAsia" w:eastAsiaTheme="minorEastAsia" w:cstheme="minorEastAsia"/>
                <w:bCs/>
                <w:szCs w:val="21"/>
              </w:rPr>
              <w:t>http://cx.cnca.cn/CertECloud/index/index/page证书查询截图作为评审依据</w:t>
            </w:r>
            <w:r>
              <w:rPr>
                <w:rFonts w:hint="eastAsia" w:asciiTheme="minorEastAsia" w:hAnsiTheme="minorEastAsia" w:eastAsiaTheme="minorEastAsia" w:cstheme="minorEastAsia"/>
                <w:bCs/>
                <w:szCs w:val="21"/>
              </w:rPr>
              <w:fldChar w:fldCharType="end"/>
            </w:r>
            <w:r>
              <w:rPr>
                <w:rFonts w:hint="eastAsia" w:asciiTheme="minorEastAsia" w:hAnsiTheme="minorEastAsia" w:eastAsiaTheme="minorEastAsia" w:cstheme="minorEastAsia"/>
                <w:bCs/>
                <w:szCs w:val="21"/>
              </w:rPr>
              <w:t>。）</w:t>
            </w:r>
          </w:p>
          <w:p>
            <w:pPr>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3.以上2项累加计分，最高得4分。</w:t>
            </w:r>
          </w:p>
          <w:p>
            <w:pPr>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（二）证明材料：</w:t>
            </w:r>
          </w:p>
          <w:p>
            <w:pPr>
              <w:spacing w:line="360" w:lineRule="exact"/>
              <w:rPr>
                <w:sz w:val="22"/>
                <w:szCs w:val="22"/>
              </w:rPr>
            </w:pPr>
            <w:r>
              <w:rPr>
                <w:rFonts w:hint="eastAsia" w:asciiTheme="minorEastAsia" w:hAnsiTheme="minorEastAsia" w:eastAsiaTheme="minorEastAsia" w:cstheme="minorEastAsia"/>
                <w:bCs/>
                <w:szCs w:val="21"/>
              </w:rPr>
              <w:t>按以上评分内容要求提供相应的证明文件复印件作为评审依据,未按要求提供相应评审依据的或提供的信息无法判断的不得分。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6" w:type="dxa"/>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4</w:t>
            </w:r>
          </w:p>
        </w:tc>
        <w:tc>
          <w:tcPr>
            <w:tcW w:w="1293" w:type="dxa"/>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诚信评价</w:t>
            </w:r>
          </w:p>
        </w:tc>
        <w:tc>
          <w:tcPr>
            <w:tcW w:w="718" w:type="dxa"/>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5</w:t>
            </w:r>
          </w:p>
        </w:tc>
        <w:tc>
          <w:tcPr>
            <w:tcW w:w="1149" w:type="dxa"/>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专家评分</w:t>
            </w:r>
          </w:p>
        </w:tc>
        <w:tc>
          <w:tcPr>
            <w:tcW w:w="4763" w:type="dxa"/>
          </w:tcPr>
          <w:p>
            <w:pPr>
              <w:rPr>
                <w:rFonts w:asciiTheme="minorEastAsia" w:hAnsiTheme="minorEastAsia" w:eastAsiaTheme="minorEastAsia" w:cstheme="minorEastAsia"/>
                <w:bCs/>
                <w:szCs w:val="21"/>
              </w:rPr>
            </w:pPr>
            <w:r>
              <w:rPr>
                <w:rFonts w:hint="eastAsia" w:ascii="宋体" w:hAnsi="宋体" w:cs="宋体"/>
                <w:bCs/>
                <w:color w:val="000000" w:themeColor="text1"/>
                <w:szCs w:val="21"/>
                <w14:textFill>
                  <w14:solidFill>
                    <w14:schemeClr w14:val="tx1"/>
                  </w14:solidFill>
                </w14:textFill>
              </w:rPr>
              <w:t>投标人在参与政府采购活动中存在诚信相关问题且在主管部门相关处理措施实施期限内的，本项不得分，否则得满分。投标人无需提供任何证明材料，由评标工作人员向评委会提供相关信息。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49" w:type="dxa"/>
            <w:gridSpan w:val="2"/>
            <w:vAlign w:val="center"/>
          </w:tcPr>
          <w:p>
            <w:pPr>
              <w:spacing w:line="360" w:lineRule="exact"/>
              <w:jc w:val="center"/>
              <w:rPr>
                <w:sz w:val="22"/>
                <w:szCs w:val="22"/>
              </w:rPr>
            </w:pPr>
            <w:r>
              <w:rPr>
                <w:rFonts w:hint="eastAsia" w:ascii="宋体" w:hAnsi="宋体" w:cs="宋体"/>
                <w:bCs/>
                <w:color w:val="000000" w:themeColor="text1"/>
                <w:szCs w:val="21"/>
                <w14:textFill>
                  <w14:solidFill>
                    <w14:schemeClr w14:val="tx1"/>
                  </w14:solidFill>
                </w14:textFill>
              </w:rPr>
              <w:t>合计</w:t>
            </w:r>
          </w:p>
        </w:tc>
        <w:tc>
          <w:tcPr>
            <w:tcW w:w="718" w:type="dxa"/>
            <w:vAlign w:val="center"/>
          </w:tcPr>
          <w:p>
            <w:pPr>
              <w:spacing w:line="360" w:lineRule="exact"/>
              <w:jc w:val="both"/>
              <w:rPr>
                <w:sz w:val="22"/>
                <w:szCs w:val="22"/>
              </w:rPr>
            </w:pPr>
            <w:r>
              <w:rPr>
                <w:rFonts w:hint="eastAsia" w:ascii="宋体" w:hAnsi="宋体" w:cs="宋体"/>
                <w:bCs/>
                <w:color w:val="000000" w:themeColor="text1"/>
                <w:szCs w:val="21"/>
                <w14:textFill>
                  <w14:solidFill>
                    <w14:schemeClr w14:val="tx1"/>
                  </w14:solidFill>
                </w14:textFill>
              </w:rPr>
              <w:t>15</w:t>
            </w:r>
          </w:p>
        </w:tc>
        <w:tc>
          <w:tcPr>
            <w:tcW w:w="1149" w:type="dxa"/>
            <w:vAlign w:val="center"/>
          </w:tcPr>
          <w:p>
            <w:pPr>
              <w:spacing w:line="360" w:lineRule="exact"/>
              <w:jc w:val="center"/>
              <w:rPr>
                <w:sz w:val="22"/>
                <w:szCs w:val="22"/>
              </w:rPr>
            </w:pPr>
          </w:p>
        </w:tc>
        <w:tc>
          <w:tcPr>
            <w:tcW w:w="4763" w:type="dxa"/>
          </w:tcPr>
          <w:p>
            <w:pPr>
              <w:rPr>
                <w:rFonts w:ascii="宋体" w:hAnsi="宋体" w:cs="宋体"/>
                <w:bCs/>
                <w:color w:val="000000" w:themeColor="text1"/>
                <w:szCs w:val="21"/>
                <w14:textFill>
                  <w14:solidFill>
                    <w14:schemeClr w14:val="tx1"/>
                  </w14:solidFill>
                </w14:textFill>
              </w:rPr>
            </w:pPr>
          </w:p>
        </w:tc>
      </w:tr>
    </w:tbl>
    <w:p>
      <w:pPr>
        <w:adjustRightInd w:val="0"/>
        <w:snapToGrid w:val="0"/>
        <w:jc w:val="left"/>
        <w:rPr>
          <w:rFonts w:ascii="宋体" w:hAnsi="宋体" w:cs="宋体"/>
          <w:b/>
          <w:bCs/>
          <w:szCs w:val="21"/>
        </w:rPr>
      </w:pPr>
    </w:p>
    <w:p>
      <w:pPr>
        <w:adjustRightInd w:val="0"/>
        <w:snapToGrid w:val="0"/>
        <w:jc w:val="left"/>
        <w:rPr>
          <w:rFonts w:ascii="宋体" w:hAnsi="宋体" w:cs="宋体"/>
          <w:b/>
          <w:bCs/>
          <w:szCs w:val="21"/>
        </w:rPr>
      </w:pPr>
    </w:p>
    <w:p>
      <w:pPr>
        <w:adjustRightInd w:val="0"/>
        <w:snapToGrid w:val="0"/>
        <w:jc w:val="left"/>
        <w:rPr>
          <w:rFonts w:ascii="宋体" w:hAnsi="宋体" w:cs="宋体"/>
          <w:b/>
          <w:bCs/>
          <w:szCs w:val="21"/>
        </w:rPr>
      </w:pPr>
    </w:p>
    <w:p>
      <w:pPr>
        <w:spacing w:line="360" w:lineRule="auto"/>
        <w:jc w:val="left"/>
        <w:rPr>
          <w:rFonts w:ascii="宋体" w:hAnsi="宋体" w:cs="宋体"/>
          <w:b/>
          <w:bCs/>
          <w:szCs w:val="21"/>
        </w:rPr>
      </w:pPr>
      <w:r>
        <w:rPr>
          <w:rFonts w:hint="eastAsia" w:ascii="宋体" w:hAnsi="宋体" w:cs="宋体"/>
          <w:b/>
          <w:bCs/>
          <w:szCs w:val="21"/>
        </w:rPr>
        <w:t>技术评审表</w:t>
      </w:r>
    </w:p>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技术部分55分</w:t>
      </w:r>
    </w:p>
    <w:tbl>
      <w:tblPr>
        <w:tblStyle w:val="54"/>
        <w:tblW w:w="8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1293"/>
        <w:gridCol w:w="718"/>
        <w:gridCol w:w="1149"/>
        <w:gridCol w:w="4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56" w:type="dxa"/>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序号</w:t>
            </w:r>
          </w:p>
        </w:tc>
        <w:tc>
          <w:tcPr>
            <w:tcW w:w="1293" w:type="dxa"/>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评分因素</w:t>
            </w:r>
          </w:p>
        </w:tc>
        <w:tc>
          <w:tcPr>
            <w:tcW w:w="718" w:type="dxa"/>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权重</w:t>
            </w:r>
          </w:p>
        </w:tc>
        <w:tc>
          <w:tcPr>
            <w:tcW w:w="1149" w:type="dxa"/>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评分方式</w:t>
            </w:r>
          </w:p>
        </w:tc>
        <w:tc>
          <w:tcPr>
            <w:tcW w:w="4763" w:type="dxa"/>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56"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w:t>
            </w:r>
          </w:p>
        </w:tc>
        <w:tc>
          <w:tcPr>
            <w:tcW w:w="129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技术规格情况</w:t>
            </w:r>
          </w:p>
        </w:tc>
        <w:tc>
          <w:tcPr>
            <w:tcW w:w="71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50</w:t>
            </w:r>
          </w:p>
        </w:tc>
        <w:tc>
          <w:tcPr>
            <w:tcW w:w="114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专家评分</w:t>
            </w:r>
          </w:p>
        </w:tc>
        <w:tc>
          <w:tcPr>
            <w:tcW w:w="476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投标文件符合《4.3设备采购清单》，评审委员会根据技术需求参数响应情况进行打分，各项技术参数指标及要求全部满足的得满分，标注“▲”的重要参数每负偏离一项扣6分，其他一般参数每负偏离一项扣2分，扣完为止。</w:t>
            </w:r>
          </w:p>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 xml:space="preserve">技术参数中如有参数写明需要提供检测报告、证书、截图等相关证明材料的，须提供，否则视为负偏离。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56"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2</w:t>
            </w:r>
          </w:p>
        </w:tc>
        <w:tc>
          <w:tcPr>
            <w:tcW w:w="129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技术保障措施</w:t>
            </w:r>
          </w:p>
        </w:tc>
        <w:tc>
          <w:tcPr>
            <w:tcW w:w="71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2</w:t>
            </w:r>
          </w:p>
        </w:tc>
        <w:tc>
          <w:tcPr>
            <w:tcW w:w="114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专家评分</w:t>
            </w:r>
          </w:p>
        </w:tc>
        <w:tc>
          <w:tcPr>
            <w:tcW w:w="476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项目组团队成员中拟派1人为本项目的项目经理，须具有本科以上学历及智能建筑弱电高级工程师证书；得2分，其他情形不得分。</w:t>
            </w:r>
          </w:p>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评分标准与依据：</w:t>
            </w:r>
          </w:p>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提供相关证书的原件复印件或扫描件，同时提供投标人为项目经理缴纳的2022年8月-10月的社保证明（如开标日上一个月的社保材料因社保部门原因暂时无法取得，则可以往前顺延一个月）。未提供或提供不清晰均不得分，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56"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3</w:t>
            </w:r>
          </w:p>
        </w:tc>
        <w:tc>
          <w:tcPr>
            <w:tcW w:w="129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认证情况</w:t>
            </w:r>
          </w:p>
        </w:tc>
        <w:tc>
          <w:tcPr>
            <w:tcW w:w="71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3</w:t>
            </w:r>
          </w:p>
        </w:tc>
        <w:tc>
          <w:tcPr>
            <w:tcW w:w="114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专家评分</w:t>
            </w:r>
          </w:p>
        </w:tc>
        <w:tc>
          <w:tcPr>
            <w:tcW w:w="476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提供以下认证证书：</w:t>
            </w:r>
          </w:p>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1、有1名人员具有人力资源和社会保障部门颁发的电子信息工程师或以上证书的，得1分，本小项最高得1分；</w:t>
            </w:r>
          </w:p>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2、有1名人员同时具有网络工程师和PMP项目管理证书的，得1分，本小项最高得1分；</w:t>
            </w:r>
          </w:p>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3、团队成员中具有高级音响师证书，提供1个得1分，最高1分；</w:t>
            </w:r>
          </w:p>
          <w:p>
            <w:pP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以上人员证书合计3分，同一人员不重复得分。证明材料：提供相关证书的原件扫描件，同时提供投标人为以上人员缴纳的2022年6月-8月的社保证明（如开标日上一个月的社保材料因社保部门原因暂时无法取得，则可以往前顺延一个月）。未提供或提供不清晰均不得分，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1949" w:type="dxa"/>
            <w:gridSpan w:val="2"/>
            <w:tcBorders>
              <w:top w:val="single" w:color="auto" w:sz="4" w:space="0"/>
              <w:left w:val="single" w:color="auto" w:sz="4" w:space="0"/>
              <w:bottom w:val="single" w:color="auto" w:sz="4" w:space="0"/>
              <w:right w:val="single" w:color="auto" w:sz="4" w:space="0"/>
            </w:tcBorders>
            <w:vAlign w:val="center"/>
          </w:tcPr>
          <w:p>
            <w:pPr>
              <w:rPr>
                <w:rFonts w:hint="default" w:ascii="宋体" w:hAnsi="宋体" w:eastAsia="宋体" w:cs="宋体"/>
                <w:bCs/>
                <w:color w:val="000000" w:themeColor="text1"/>
                <w:szCs w:val="21"/>
                <w:lang w:val="en-US" w:eastAsia="zh-CN"/>
                <w14:textFill>
                  <w14:solidFill>
                    <w14:schemeClr w14:val="tx1"/>
                  </w14:solidFill>
                </w14:textFill>
              </w:rPr>
            </w:pPr>
            <w:r>
              <w:rPr>
                <w:rFonts w:hint="eastAsia" w:ascii="宋体" w:hAnsi="宋体" w:cs="宋体"/>
                <w:bCs/>
                <w:color w:val="000000" w:themeColor="text1"/>
                <w:szCs w:val="21"/>
                <w:lang w:val="en-US" w:eastAsia="zh-CN"/>
                <w14:textFill>
                  <w14:solidFill>
                    <w14:schemeClr w14:val="tx1"/>
                  </w14:solidFill>
                </w14:textFill>
              </w:rPr>
              <w:t>合计</w:t>
            </w:r>
          </w:p>
        </w:tc>
        <w:tc>
          <w:tcPr>
            <w:tcW w:w="718" w:type="dxa"/>
            <w:tcBorders>
              <w:top w:val="single" w:color="auto" w:sz="4" w:space="0"/>
              <w:left w:val="single" w:color="auto" w:sz="4" w:space="0"/>
              <w:bottom w:val="single" w:color="auto" w:sz="4" w:space="0"/>
              <w:right w:val="single" w:color="auto" w:sz="4" w:space="0"/>
            </w:tcBorders>
            <w:vAlign w:val="center"/>
          </w:tcPr>
          <w:p>
            <w:pPr>
              <w:rPr>
                <w:rFonts w:hint="default" w:ascii="宋体" w:hAnsi="宋体" w:eastAsia="宋体" w:cs="宋体"/>
                <w:bCs/>
                <w:color w:val="000000" w:themeColor="text1"/>
                <w:szCs w:val="21"/>
                <w:lang w:val="en-US" w:eastAsia="zh-CN"/>
                <w14:textFill>
                  <w14:solidFill>
                    <w14:schemeClr w14:val="tx1"/>
                  </w14:solidFill>
                </w14:textFill>
              </w:rPr>
            </w:pPr>
            <w:r>
              <w:rPr>
                <w:rFonts w:hint="eastAsia" w:ascii="宋体" w:hAnsi="宋体" w:cs="宋体"/>
                <w:bCs/>
                <w:color w:val="000000" w:themeColor="text1"/>
                <w:szCs w:val="21"/>
                <w:lang w:val="en-US" w:eastAsia="zh-CN"/>
                <w14:textFill>
                  <w14:solidFill>
                    <w14:schemeClr w14:val="tx1"/>
                  </w14:solidFill>
                </w14:textFill>
              </w:rPr>
              <w:t>55</w:t>
            </w:r>
          </w:p>
        </w:tc>
        <w:tc>
          <w:tcPr>
            <w:tcW w:w="114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bCs/>
                <w:color w:val="000000" w:themeColor="text1"/>
                <w:szCs w:val="21"/>
                <w14:textFill>
                  <w14:solidFill>
                    <w14:schemeClr w14:val="tx1"/>
                  </w14:solidFill>
                </w14:textFill>
              </w:rPr>
            </w:pPr>
          </w:p>
        </w:tc>
        <w:tc>
          <w:tcPr>
            <w:tcW w:w="476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bCs/>
                <w:color w:val="000000" w:themeColor="text1"/>
                <w:szCs w:val="21"/>
                <w14:textFill>
                  <w14:solidFill>
                    <w14:schemeClr w14:val="tx1"/>
                  </w14:solidFill>
                </w14:textFill>
              </w:rPr>
            </w:pPr>
          </w:p>
        </w:tc>
      </w:tr>
    </w:tbl>
    <w:p>
      <w:pPr>
        <w:spacing w:line="360" w:lineRule="auto"/>
        <w:jc w:val="left"/>
        <w:rPr>
          <w:rFonts w:ascii="宋体" w:hAnsi="宋体" w:cs="宋体"/>
          <w:b/>
          <w:bCs/>
          <w:szCs w:val="21"/>
        </w:rPr>
      </w:pPr>
    </w:p>
    <w:p>
      <w:pPr>
        <w:jc w:val="left"/>
        <w:rPr>
          <w:rFonts w:ascii="宋体" w:hAnsi="宋体"/>
          <w:szCs w:val="21"/>
        </w:rPr>
      </w:pPr>
    </w:p>
    <w:p>
      <w:pPr>
        <w:adjustRightInd w:val="0"/>
        <w:snapToGrid w:val="0"/>
        <w:jc w:val="left"/>
        <w:rPr>
          <w:rFonts w:ascii="宋体" w:hAnsi="宋体" w:cs="宋体"/>
          <w:b/>
          <w:bCs/>
          <w:szCs w:val="21"/>
        </w:rPr>
      </w:pPr>
      <w:r>
        <w:rPr>
          <w:rFonts w:hint="eastAsia" w:ascii="宋体" w:hAnsi="宋体" w:cs="宋体"/>
          <w:b/>
          <w:bCs/>
          <w:szCs w:val="21"/>
        </w:rPr>
        <w:t>价格评审表</w:t>
      </w:r>
    </w:p>
    <w:p>
      <w:pPr>
        <w:jc w:val="left"/>
        <w:rPr>
          <w:rFonts w:hint="eastAsia" w:ascii="宋体" w:hAnsi="宋体"/>
          <w:szCs w:val="21"/>
        </w:rPr>
      </w:pPr>
      <w:r>
        <w:rPr>
          <w:rFonts w:hint="eastAsia" w:ascii="宋体" w:hAnsi="宋体"/>
          <w:szCs w:val="21"/>
        </w:rPr>
        <w:t>价格部分30分</w:t>
      </w:r>
    </w:p>
    <w:p>
      <w:pPr>
        <w:ind w:firstLine="420" w:firstLineChars="200"/>
        <w:jc w:val="left"/>
        <w:rPr>
          <w:rFonts w:ascii="宋体" w:hAnsi="宋体"/>
          <w:szCs w:val="21"/>
        </w:rPr>
      </w:pPr>
      <w:r>
        <w:rPr>
          <w:rFonts w:hint="eastAsia" w:ascii="宋体" w:hAnsi="宋体"/>
          <w:szCs w:val="21"/>
        </w:rPr>
        <w:t>采用低价优先法计算，即满足招标文件要求且投标价格最低的投标报价为评标基准价，其价格分为满分。其他投标人的价格分统一按照下列公式计算：</w:t>
      </w:r>
    </w:p>
    <w:tbl>
      <w:tblPr>
        <w:tblStyle w:val="54"/>
        <w:tblW w:w="862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068"/>
        <w:gridCol w:w="655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5"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仿宋" w:hAnsi="仿宋" w:eastAsia="仿宋" w:cs="宋体"/>
                <w:b/>
                <w:bCs/>
                <w:szCs w:val="21"/>
              </w:rPr>
            </w:pPr>
            <w:r>
              <w:rPr>
                <w:rFonts w:hint="eastAsia" w:ascii="宋体" w:hAnsi="宋体" w:cs="宋体"/>
                <w:b/>
                <w:bCs/>
                <w:szCs w:val="21"/>
              </w:rPr>
              <w:t>评分项目</w:t>
            </w:r>
          </w:p>
        </w:tc>
        <w:tc>
          <w:tcPr>
            <w:tcW w:w="6555" w:type="dxa"/>
            <w:tcBorders>
              <w:top w:val="single" w:color="auto" w:sz="6" w:space="0"/>
              <w:left w:val="nil"/>
              <w:bottom w:val="single" w:color="auto" w:sz="6" w:space="0"/>
              <w:right w:val="single" w:color="auto" w:sz="6" w:space="0"/>
            </w:tcBorders>
            <w:vAlign w:val="center"/>
          </w:tcPr>
          <w:p>
            <w:pPr>
              <w:adjustRightInd w:val="0"/>
              <w:snapToGrid w:val="0"/>
              <w:jc w:val="center"/>
              <w:rPr>
                <w:rFonts w:ascii="仿宋" w:hAnsi="仿宋" w:eastAsia="仿宋" w:cs="宋体"/>
                <w:b/>
                <w:bCs/>
                <w:szCs w:val="21"/>
              </w:rPr>
            </w:pPr>
            <w:r>
              <w:rPr>
                <w:rFonts w:hint="eastAsia" w:ascii="宋体" w:hAnsi="宋体" w:cs="宋体"/>
                <w:b/>
                <w:bCs/>
                <w:szCs w:val="21"/>
              </w:rPr>
              <w:t>评分标准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仿宋" w:hAnsi="仿宋" w:eastAsia="仿宋" w:cs="宋体"/>
                <w:szCs w:val="21"/>
              </w:rPr>
            </w:pPr>
            <w:r>
              <w:rPr>
                <w:rFonts w:hint="eastAsia" w:ascii="宋体" w:hAnsi="宋体"/>
                <w:szCs w:val="21"/>
              </w:rPr>
              <w:t>投标总价</w:t>
            </w:r>
            <w:bookmarkStart w:id="35" w:name="_GoBack"/>
            <w:bookmarkEnd w:id="35"/>
          </w:p>
        </w:tc>
        <w:tc>
          <w:tcPr>
            <w:tcW w:w="6555" w:type="dxa"/>
            <w:tcBorders>
              <w:top w:val="single" w:color="auto" w:sz="6" w:space="0"/>
              <w:left w:val="nil"/>
              <w:bottom w:val="single" w:color="auto" w:sz="6" w:space="0"/>
              <w:right w:val="single" w:color="auto" w:sz="6" w:space="0"/>
            </w:tcBorders>
            <w:vAlign w:val="center"/>
          </w:tcPr>
          <w:p>
            <w:pPr>
              <w:ind w:firstLine="420" w:firstLineChars="200"/>
              <w:jc w:val="left"/>
              <w:rPr>
                <w:rFonts w:ascii="宋体" w:hAnsi="宋体"/>
                <w:szCs w:val="21"/>
              </w:rPr>
            </w:pPr>
            <w:r>
              <w:rPr>
                <w:rFonts w:hint="eastAsia" w:ascii="宋体" w:hAnsi="宋体"/>
                <w:szCs w:val="21"/>
              </w:rPr>
              <w:t>投标报价得分=(评标基准价／投标报价)×30</w:t>
            </w:r>
          </w:p>
          <w:p>
            <w:pPr>
              <w:ind w:firstLine="420" w:firstLineChars="200"/>
              <w:jc w:val="left"/>
              <w:rPr>
                <w:rFonts w:ascii="仿宋" w:hAnsi="仿宋" w:eastAsia="仿宋" w:cs="宋体"/>
                <w:b/>
                <w:bCs/>
                <w:szCs w:val="21"/>
              </w:rPr>
            </w:pPr>
            <w:r>
              <w:rPr>
                <w:rFonts w:hint="eastAsia" w:ascii="宋体" w:hAnsi="宋体"/>
                <w:szCs w:val="21"/>
              </w:rPr>
              <w:t>评标基准价=满足招标文件要求且投标价格最低的投标报价</w:t>
            </w:r>
          </w:p>
        </w:tc>
      </w:tr>
    </w:tbl>
    <w:p>
      <w:pPr>
        <w:adjustRightInd w:val="0"/>
        <w:snapToGrid w:val="0"/>
        <w:jc w:val="left"/>
        <w:rPr>
          <w:rFonts w:ascii="宋体" w:hAnsi="宋体" w:cs="宋体"/>
          <w:b/>
          <w:bCs/>
          <w:szCs w:val="21"/>
        </w:rPr>
      </w:pPr>
    </w:p>
    <w:p>
      <w:pPr>
        <w:jc w:val="center"/>
        <w:rPr>
          <w:rFonts w:ascii="宋体" w:hAnsi="宋体"/>
          <w:sz w:val="36"/>
          <w:szCs w:val="36"/>
        </w:rPr>
      </w:pPr>
      <w:r>
        <w:rPr>
          <w:rFonts w:ascii="宋体" w:hAnsi="宋体"/>
          <w:szCs w:val="21"/>
        </w:rPr>
        <w:br w:type="page"/>
      </w:r>
      <w:r>
        <w:rPr>
          <w:rFonts w:hint="eastAsia" w:ascii="宋体" w:hAnsi="宋体"/>
          <w:b/>
          <w:sz w:val="36"/>
          <w:szCs w:val="36"/>
        </w:rPr>
        <w:t>定标方法</w:t>
      </w:r>
    </w:p>
    <w:p>
      <w:pPr>
        <w:widowControl/>
        <w:jc w:val="left"/>
      </w:pPr>
    </w:p>
    <w:p>
      <w:r>
        <w:rPr>
          <w:rFonts w:hint="eastAsia"/>
        </w:rPr>
        <w:t>定标方法：本项目评审后得分由高到低顺序排列。</w:t>
      </w:r>
    </w:p>
    <w:p>
      <w:r>
        <w:rPr>
          <w:rFonts w:hint="eastAsia"/>
        </w:rPr>
        <w:t>得分相同的，按投标报价由低到高顺序排列。</w:t>
      </w:r>
    </w:p>
    <w:p>
      <w:r>
        <w:rPr>
          <w:rFonts w:hint="eastAsia"/>
        </w:rPr>
        <w:t>得分且投标报价相同的，按投标文件满足招标文件全部实质性要求，技术部分得分排名第一的投标人为第一中标候选人</w:t>
      </w:r>
    </w:p>
    <w:p>
      <w:pPr>
        <w:jc w:val="left"/>
        <w:rPr>
          <w:rFonts w:ascii="宋体" w:hAnsi="宋体"/>
          <w:b/>
          <w:sz w:val="36"/>
          <w:szCs w:val="36"/>
        </w:rPr>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ind w:firstLine="420" w:firstLineChars="200"/>
        <w:jc w:val="left"/>
      </w:pPr>
    </w:p>
    <w:p>
      <w:pPr>
        <w:widowControl/>
        <w:jc w:val="left"/>
      </w:pPr>
      <w:r>
        <w:br w:type="page"/>
      </w:r>
    </w:p>
    <w:p>
      <w:pPr>
        <w:ind w:firstLine="420" w:firstLineChars="200"/>
        <w:jc w:val="left"/>
      </w:pPr>
    </w:p>
    <w:p>
      <w:pPr>
        <w:pStyle w:val="5"/>
        <w:numPr>
          <w:ilvl w:val="0"/>
          <w:numId w:val="4"/>
        </w:numPr>
        <w:rPr>
          <w:sz w:val="30"/>
          <w:szCs w:val="30"/>
        </w:rPr>
      </w:pPr>
      <w:r>
        <w:rPr>
          <w:rFonts w:hint="eastAsia"/>
          <w:sz w:val="30"/>
          <w:szCs w:val="30"/>
        </w:rPr>
        <w:t>招标公告</w:t>
      </w:r>
    </w:p>
    <w:p>
      <w:pPr>
        <w:jc w:val="left"/>
        <w:rPr>
          <w:rFonts w:ascii="宋体" w:hAnsi="宋体"/>
          <w:szCs w:val="21"/>
        </w:rPr>
      </w:pPr>
    </w:p>
    <w:p>
      <w:pPr>
        <w:ind w:firstLine="420" w:firstLineChars="200"/>
        <w:jc w:val="left"/>
        <w:rPr>
          <w:rFonts w:ascii="宋体" w:hAnsi="宋体"/>
          <w:color w:val="000000"/>
          <w:szCs w:val="21"/>
        </w:rPr>
      </w:pPr>
      <w:r>
        <w:rPr>
          <w:rFonts w:hint="eastAsia" w:ascii="宋体" w:hAnsi="宋体"/>
          <w:color w:val="000000"/>
          <w:szCs w:val="21"/>
        </w:rPr>
        <w:t>《规划大厦二楼203</w:t>
      </w:r>
      <w:r>
        <w:rPr>
          <w:rFonts w:ascii="宋体" w:hAnsi="宋体"/>
          <w:color w:val="000000"/>
          <w:szCs w:val="21"/>
        </w:rPr>
        <w:t>-</w:t>
      </w:r>
      <w:r>
        <w:rPr>
          <w:rFonts w:hint="eastAsia" w:ascii="宋体" w:hAnsi="宋体"/>
          <w:color w:val="000000"/>
          <w:szCs w:val="21"/>
        </w:rPr>
        <w:t>206会议室LED屏升级改造》项目</w:t>
      </w:r>
      <w:r>
        <w:rPr>
          <w:rFonts w:ascii="宋体" w:hAnsi="宋体"/>
          <w:color w:val="000000"/>
          <w:szCs w:val="21"/>
        </w:rPr>
        <w:t>的潜在投标人应于2022年</w:t>
      </w:r>
      <w:r>
        <w:rPr>
          <w:rFonts w:hint="eastAsia" w:ascii="宋体" w:hAnsi="宋体"/>
          <w:color w:val="000000"/>
          <w:szCs w:val="21"/>
          <w:lang w:val="en-US" w:eastAsia="zh-CN"/>
        </w:rPr>
        <w:t>10</w:t>
      </w:r>
      <w:r>
        <w:rPr>
          <w:rFonts w:ascii="宋体" w:hAnsi="宋体"/>
          <w:color w:val="000000"/>
          <w:szCs w:val="21"/>
        </w:rPr>
        <w:t>月</w:t>
      </w:r>
      <w:r>
        <w:rPr>
          <w:rFonts w:hint="eastAsia" w:ascii="宋体" w:hAnsi="宋体"/>
          <w:color w:val="000000"/>
          <w:szCs w:val="21"/>
          <w:lang w:val="en-US" w:eastAsia="zh-CN"/>
        </w:rPr>
        <w:t>9</w:t>
      </w:r>
      <w:r>
        <w:rPr>
          <w:rFonts w:ascii="宋体" w:hAnsi="宋体"/>
          <w:color w:val="000000"/>
          <w:szCs w:val="21"/>
        </w:rPr>
        <w:t>日</w:t>
      </w:r>
      <w:r>
        <w:rPr>
          <w:rFonts w:hint="eastAsia" w:ascii="宋体" w:hAnsi="宋体"/>
          <w:color w:val="000000"/>
          <w:szCs w:val="21"/>
        </w:rPr>
        <w:t>1</w:t>
      </w:r>
      <w:r>
        <w:rPr>
          <w:rFonts w:hint="eastAsia" w:ascii="宋体" w:hAnsi="宋体"/>
          <w:color w:val="000000"/>
          <w:szCs w:val="21"/>
          <w:lang w:val="en-US" w:eastAsia="zh-CN"/>
        </w:rPr>
        <w:t>6</w:t>
      </w:r>
      <w:r>
        <w:rPr>
          <w:rFonts w:ascii="宋体" w:hAnsi="宋体"/>
          <w:color w:val="000000"/>
          <w:szCs w:val="21"/>
        </w:rPr>
        <w:t>点</w:t>
      </w:r>
      <w:r>
        <w:rPr>
          <w:rFonts w:hint="eastAsia" w:ascii="宋体" w:hAnsi="宋体"/>
          <w:color w:val="000000"/>
          <w:szCs w:val="21"/>
        </w:rPr>
        <w:t>0</w:t>
      </w:r>
      <w:r>
        <w:rPr>
          <w:rFonts w:ascii="宋体" w:hAnsi="宋体"/>
          <w:color w:val="000000"/>
          <w:szCs w:val="21"/>
        </w:rPr>
        <w:t>0分（北京时间）前递交投标文件。</w:t>
      </w:r>
    </w:p>
    <w:p>
      <w:pPr>
        <w:ind w:firstLine="420" w:firstLineChars="200"/>
        <w:jc w:val="left"/>
        <w:rPr>
          <w:rFonts w:ascii="宋体" w:hAnsi="宋体"/>
          <w:szCs w:val="21"/>
        </w:rPr>
      </w:pPr>
    </w:p>
    <w:p>
      <w:pPr>
        <w:ind w:firstLine="413" w:firstLineChars="196"/>
        <w:jc w:val="left"/>
        <w:rPr>
          <w:rFonts w:ascii="宋体" w:hAnsi="宋体"/>
          <w:b/>
          <w:szCs w:val="21"/>
        </w:rPr>
      </w:pPr>
      <w:bookmarkStart w:id="0" w:name="_Toc35393621"/>
      <w:bookmarkStart w:id="1" w:name="_Toc28359002"/>
      <w:bookmarkStart w:id="2" w:name="_Toc28359079"/>
      <w:bookmarkStart w:id="3" w:name="_Toc35393790"/>
      <w:bookmarkStart w:id="4" w:name="_Hlk24379207"/>
      <w:r>
        <w:rPr>
          <w:rFonts w:ascii="宋体" w:hAnsi="宋体"/>
          <w:b/>
          <w:szCs w:val="21"/>
        </w:rPr>
        <w:t>一、项目基本情况</w:t>
      </w:r>
      <w:bookmarkEnd w:id="0"/>
      <w:bookmarkEnd w:id="1"/>
      <w:bookmarkEnd w:id="2"/>
      <w:bookmarkEnd w:id="3"/>
    </w:p>
    <w:p>
      <w:pPr>
        <w:ind w:firstLine="420" w:firstLineChars="200"/>
        <w:jc w:val="left"/>
        <w:rPr>
          <w:rFonts w:ascii="宋体" w:hAnsi="宋体"/>
          <w:color w:val="000000"/>
          <w:szCs w:val="21"/>
        </w:rPr>
      </w:pPr>
      <w:r>
        <w:rPr>
          <w:rFonts w:ascii="宋体" w:hAnsi="宋体"/>
          <w:color w:val="000000"/>
          <w:szCs w:val="21"/>
        </w:rPr>
        <w:t>项目名称：</w:t>
      </w:r>
      <w:r>
        <w:rPr>
          <w:rFonts w:hint="eastAsia" w:ascii="宋体" w:hAnsi="宋体"/>
          <w:color w:val="000000"/>
          <w:szCs w:val="21"/>
        </w:rPr>
        <w:t>《规划大厦二楼203、204、205、206会议室LED屏升级改造》项目</w:t>
      </w:r>
    </w:p>
    <w:bookmarkEnd w:id="4"/>
    <w:p>
      <w:pPr>
        <w:ind w:firstLine="420" w:firstLineChars="200"/>
        <w:jc w:val="left"/>
        <w:rPr>
          <w:rFonts w:ascii="宋体" w:hAnsi="宋体"/>
          <w:color w:val="000000"/>
          <w:szCs w:val="21"/>
        </w:rPr>
      </w:pPr>
      <w:r>
        <w:rPr>
          <w:rFonts w:hint="eastAsia" w:ascii="宋体" w:hAnsi="宋体"/>
          <w:color w:val="000000"/>
          <w:szCs w:val="21"/>
        </w:rPr>
        <w:t>预算</w:t>
      </w:r>
      <w:r>
        <w:rPr>
          <w:rFonts w:ascii="宋体" w:hAnsi="宋体"/>
          <w:color w:val="000000"/>
          <w:szCs w:val="21"/>
        </w:rPr>
        <w:t>金额：</w:t>
      </w:r>
      <w:r>
        <w:rPr>
          <w:rFonts w:hint="eastAsia" w:ascii="宋体" w:hAnsi="宋体"/>
          <w:color w:val="000000"/>
          <w:szCs w:val="21"/>
        </w:rPr>
        <w:t>人民币</w:t>
      </w:r>
      <w:r>
        <w:rPr>
          <w:rFonts w:ascii="宋体" w:hAnsi="宋体"/>
          <w:color w:val="000000"/>
          <w:szCs w:val="21"/>
        </w:rPr>
        <w:t>800000元</w:t>
      </w:r>
      <w:r>
        <w:rPr>
          <w:rFonts w:hint="eastAsia" w:ascii="宋体" w:hAnsi="宋体"/>
          <w:color w:val="000000"/>
          <w:szCs w:val="21"/>
        </w:rPr>
        <w:t>（</w:t>
      </w: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 80 \* CHINESENUM2</w:instrText>
      </w:r>
      <w:r>
        <w:rPr>
          <w:rFonts w:ascii="宋体" w:hAnsi="宋体"/>
          <w:color w:val="000000"/>
          <w:szCs w:val="21"/>
        </w:rPr>
        <w:instrText xml:space="preserve"> </w:instrText>
      </w:r>
      <w:r>
        <w:rPr>
          <w:rFonts w:ascii="宋体" w:hAnsi="宋体"/>
          <w:color w:val="000000"/>
          <w:szCs w:val="21"/>
        </w:rPr>
        <w:fldChar w:fldCharType="separate"/>
      </w:r>
      <w:r>
        <w:rPr>
          <w:rFonts w:hint="eastAsia" w:ascii="宋体" w:hAnsi="宋体"/>
          <w:color w:val="000000"/>
          <w:szCs w:val="21"/>
        </w:rPr>
        <w:t>捌拾</w:t>
      </w:r>
      <w:r>
        <w:rPr>
          <w:rFonts w:ascii="宋体" w:hAnsi="宋体"/>
          <w:color w:val="000000"/>
          <w:szCs w:val="21"/>
        </w:rPr>
        <w:fldChar w:fldCharType="end"/>
      </w:r>
      <w:r>
        <w:rPr>
          <w:rFonts w:hint="eastAsia" w:ascii="宋体" w:hAnsi="宋体"/>
          <w:color w:val="000000"/>
          <w:szCs w:val="21"/>
        </w:rPr>
        <w:t>万元）</w:t>
      </w:r>
      <w:r>
        <w:rPr>
          <w:rFonts w:ascii="宋体" w:hAnsi="宋体"/>
          <w:color w:val="000000"/>
          <w:szCs w:val="21"/>
        </w:rPr>
        <w:t>整</w:t>
      </w:r>
    </w:p>
    <w:p>
      <w:pPr>
        <w:ind w:firstLine="420" w:firstLineChars="200"/>
        <w:jc w:val="left"/>
        <w:rPr>
          <w:rFonts w:ascii="宋体" w:hAnsi="宋体"/>
          <w:color w:val="000000"/>
          <w:szCs w:val="21"/>
        </w:rPr>
      </w:pPr>
      <w:r>
        <w:rPr>
          <w:rFonts w:ascii="宋体" w:hAnsi="宋体"/>
          <w:color w:val="000000"/>
          <w:szCs w:val="21"/>
        </w:rPr>
        <w:t>最高限价：80</w:t>
      </w:r>
      <w:r>
        <w:rPr>
          <w:rFonts w:hint="eastAsia" w:ascii="宋体" w:hAnsi="宋体"/>
          <w:color w:val="000000"/>
          <w:szCs w:val="21"/>
        </w:rPr>
        <w:t>万元</w:t>
      </w:r>
    </w:p>
    <w:p>
      <w:pPr>
        <w:ind w:firstLine="420" w:firstLineChars="200"/>
        <w:jc w:val="left"/>
        <w:rPr>
          <w:rFonts w:ascii="宋体" w:hAnsi="宋体"/>
          <w:color w:val="000000"/>
          <w:szCs w:val="21"/>
          <w:u w:val="single"/>
        </w:rPr>
      </w:pPr>
      <w:r>
        <w:rPr>
          <w:rFonts w:ascii="宋体" w:hAnsi="宋体"/>
          <w:color w:val="000000"/>
          <w:szCs w:val="21"/>
        </w:rPr>
        <w:t>采购需求：</w:t>
      </w:r>
      <w:r>
        <w:rPr>
          <w:rFonts w:hint="eastAsia" w:ascii="宋体" w:hAnsi="宋体"/>
          <w:color w:val="000000"/>
          <w:szCs w:val="21"/>
        </w:rPr>
        <w:t>《规划大厦二楼203、204、205、206会议室LED屏升级改造》项目1项。</w:t>
      </w:r>
    </w:p>
    <w:p>
      <w:pPr>
        <w:ind w:firstLine="420" w:firstLineChars="200"/>
        <w:jc w:val="left"/>
        <w:rPr>
          <w:rFonts w:ascii="宋体" w:hAnsi="宋体"/>
          <w:color w:val="000000"/>
          <w:szCs w:val="21"/>
          <w:u w:val="single"/>
        </w:rPr>
      </w:pPr>
      <w:r>
        <w:rPr>
          <w:rFonts w:ascii="宋体" w:hAnsi="宋体"/>
          <w:color w:val="000000"/>
          <w:szCs w:val="21"/>
        </w:rPr>
        <w:t>合同履行期限：</w:t>
      </w:r>
      <w:r>
        <w:rPr>
          <w:rFonts w:hint="eastAsia" w:ascii="宋体" w:hAnsi="宋体"/>
          <w:color w:val="000000"/>
          <w:szCs w:val="21"/>
        </w:rPr>
        <w:t>合同签订之日起</w:t>
      </w:r>
      <w:r>
        <w:rPr>
          <w:rFonts w:ascii="宋体" w:hAnsi="宋体"/>
          <w:color w:val="000000"/>
          <w:szCs w:val="21"/>
        </w:rPr>
        <w:t>20</w:t>
      </w:r>
      <w:r>
        <w:rPr>
          <w:rFonts w:hint="eastAsia" w:ascii="宋体" w:hAnsi="宋体"/>
          <w:color w:val="000000"/>
          <w:szCs w:val="21"/>
        </w:rPr>
        <w:t>个自然日内完工并通过验收合格</w:t>
      </w:r>
      <w:r>
        <w:rPr>
          <w:rFonts w:ascii="宋体" w:hAnsi="宋体"/>
          <w:color w:val="000000"/>
          <w:szCs w:val="21"/>
        </w:rPr>
        <w:t>。</w:t>
      </w:r>
    </w:p>
    <w:p>
      <w:pPr>
        <w:ind w:firstLine="420" w:firstLineChars="200"/>
        <w:jc w:val="left"/>
        <w:rPr>
          <w:rFonts w:ascii="宋体" w:hAnsi="宋体"/>
          <w:color w:val="000000"/>
          <w:szCs w:val="21"/>
        </w:rPr>
      </w:pPr>
      <w:r>
        <w:rPr>
          <w:rFonts w:ascii="宋体" w:hAnsi="宋体"/>
          <w:color w:val="000000"/>
          <w:szCs w:val="21"/>
        </w:rPr>
        <w:t>本项目</w:t>
      </w:r>
      <w:r>
        <w:rPr>
          <w:rFonts w:hint="eastAsia" w:ascii="宋体" w:hAnsi="宋体"/>
          <w:color w:val="000000"/>
          <w:szCs w:val="21"/>
        </w:rPr>
        <w:t>不</w:t>
      </w:r>
      <w:r>
        <w:rPr>
          <w:rFonts w:ascii="宋体" w:hAnsi="宋体"/>
          <w:color w:val="000000"/>
          <w:szCs w:val="21"/>
        </w:rPr>
        <w:t>接受联合体投标。</w:t>
      </w:r>
    </w:p>
    <w:p>
      <w:pPr>
        <w:ind w:firstLine="413" w:firstLineChars="196"/>
        <w:jc w:val="left"/>
        <w:rPr>
          <w:rFonts w:ascii="宋体" w:hAnsi="宋体"/>
          <w:b/>
          <w:color w:val="000000"/>
          <w:szCs w:val="21"/>
        </w:rPr>
      </w:pPr>
      <w:bookmarkStart w:id="5" w:name="_Toc35393622"/>
      <w:bookmarkStart w:id="6" w:name="_Toc35393791"/>
      <w:bookmarkStart w:id="7" w:name="_Toc28359003"/>
      <w:bookmarkStart w:id="8" w:name="_Toc28359080"/>
    </w:p>
    <w:p>
      <w:pPr>
        <w:ind w:firstLine="413" w:firstLineChars="196"/>
        <w:jc w:val="left"/>
        <w:rPr>
          <w:rFonts w:ascii="宋体" w:hAnsi="宋体"/>
          <w:b/>
          <w:color w:val="000000"/>
          <w:szCs w:val="21"/>
        </w:rPr>
      </w:pPr>
      <w:r>
        <w:rPr>
          <w:rFonts w:ascii="宋体" w:hAnsi="宋体"/>
          <w:b/>
          <w:color w:val="000000"/>
          <w:szCs w:val="21"/>
        </w:rPr>
        <w:t>二、申请人的资格要求：</w:t>
      </w:r>
      <w:bookmarkEnd w:id="5"/>
      <w:bookmarkEnd w:id="6"/>
      <w:bookmarkEnd w:id="7"/>
      <w:bookmarkEnd w:id="8"/>
    </w:p>
    <w:p>
      <w:pPr>
        <w:ind w:firstLine="411" w:firstLineChars="196"/>
        <w:jc w:val="left"/>
        <w:rPr>
          <w:rFonts w:ascii="宋体" w:hAnsi="宋体"/>
          <w:color w:val="000000"/>
          <w:szCs w:val="21"/>
        </w:rPr>
      </w:pPr>
      <w:bookmarkStart w:id="9" w:name="_Toc28359004"/>
      <w:bookmarkStart w:id="10" w:name="_Toc28359081"/>
      <w:bookmarkStart w:id="11" w:name="_Toc35393623"/>
      <w:bookmarkStart w:id="12" w:name="_Toc35393792"/>
      <w:r>
        <w:rPr>
          <w:rFonts w:hint="eastAsia" w:ascii="宋体" w:hAnsi="宋体"/>
          <w:color w:val="000000"/>
          <w:szCs w:val="21"/>
        </w:rPr>
        <w:t>1.已在深圳市政府采购网注册的政府采购供应商，且具有独立法人资格。</w:t>
      </w:r>
    </w:p>
    <w:p>
      <w:pPr>
        <w:ind w:firstLine="411" w:firstLineChars="196"/>
        <w:jc w:val="left"/>
        <w:rPr>
          <w:rFonts w:ascii="宋体" w:hAnsi="宋体"/>
          <w:color w:val="000000"/>
          <w:szCs w:val="21"/>
        </w:rPr>
      </w:pPr>
      <w:r>
        <w:rPr>
          <w:rFonts w:hint="eastAsia" w:ascii="宋体" w:hAnsi="宋体"/>
          <w:color w:val="000000"/>
          <w:szCs w:val="21"/>
        </w:rPr>
        <w:t>2.中标方参与本项目投标前三年内（中标方成立不足三年的可从成立之日起算），无行贿犯罪记录及在经营活动中没有重大违法记录；参与本项目政府采购活动时不存在被有关部门禁止参与政府采购活动且在有效期内的情况；参与本项目政府采购活动时不存在被有关部门列入失信被执行人、重大税收违法案件当事人名单的情况（提供“中标方资格声明函”）。</w:t>
      </w:r>
    </w:p>
    <w:p>
      <w:pPr>
        <w:ind w:firstLine="411" w:firstLineChars="196"/>
        <w:jc w:val="left"/>
        <w:rPr>
          <w:rFonts w:ascii="宋体" w:hAnsi="宋体"/>
          <w:color w:val="000000"/>
          <w:szCs w:val="21"/>
        </w:rPr>
      </w:pPr>
      <w:r>
        <w:rPr>
          <w:rFonts w:hint="eastAsia" w:ascii="宋体" w:hAnsi="宋体"/>
          <w:color w:val="000000"/>
          <w:szCs w:val="21"/>
        </w:rPr>
        <w:t>3. 本项目不接受联合体投标，不允许分包。</w:t>
      </w:r>
    </w:p>
    <w:p>
      <w:pPr>
        <w:ind w:firstLine="413" w:firstLineChars="196"/>
        <w:jc w:val="left"/>
        <w:rPr>
          <w:rFonts w:ascii="宋体" w:hAnsi="宋体"/>
          <w:b/>
          <w:color w:val="000000"/>
          <w:szCs w:val="21"/>
        </w:rPr>
      </w:pPr>
    </w:p>
    <w:p>
      <w:pPr>
        <w:ind w:firstLine="413" w:firstLineChars="196"/>
        <w:jc w:val="left"/>
        <w:rPr>
          <w:rFonts w:ascii="宋体" w:hAnsi="宋体"/>
          <w:b/>
          <w:color w:val="000000"/>
          <w:szCs w:val="21"/>
        </w:rPr>
      </w:pPr>
      <w:r>
        <w:rPr>
          <w:rFonts w:ascii="宋体" w:hAnsi="宋体"/>
          <w:b/>
          <w:color w:val="000000"/>
          <w:szCs w:val="21"/>
        </w:rPr>
        <w:t>三、获取采购文件</w:t>
      </w:r>
      <w:bookmarkEnd w:id="9"/>
      <w:bookmarkEnd w:id="10"/>
      <w:bookmarkEnd w:id="11"/>
      <w:bookmarkEnd w:id="12"/>
    </w:p>
    <w:p>
      <w:pPr>
        <w:ind w:firstLine="420" w:firstLineChars="200"/>
        <w:jc w:val="left"/>
        <w:rPr>
          <w:rFonts w:ascii="宋体" w:hAnsi="宋体"/>
          <w:szCs w:val="21"/>
        </w:rPr>
      </w:pPr>
      <w:r>
        <w:rPr>
          <w:rFonts w:ascii="宋体" w:hAnsi="宋体"/>
          <w:szCs w:val="21"/>
        </w:rPr>
        <w:t>时间：2022年</w:t>
      </w:r>
      <w:r>
        <w:rPr>
          <w:rFonts w:hint="eastAsia" w:ascii="宋体" w:hAnsi="宋体"/>
          <w:color w:val="000000"/>
          <w:szCs w:val="21"/>
          <w:u w:val="none"/>
          <w:lang w:val="en-US" w:eastAsia="zh-CN"/>
        </w:rPr>
        <w:t>9</w:t>
      </w:r>
      <w:r>
        <w:rPr>
          <w:rFonts w:ascii="宋体" w:hAnsi="宋体"/>
          <w:color w:val="000000"/>
          <w:szCs w:val="21"/>
        </w:rPr>
        <w:t>月</w:t>
      </w:r>
      <w:r>
        <w:rPr>
          <w:rFonts w:hint="eastAsia" w:ascii="宋体" w:hAnsi="宋体"/>
          <w:color w:val="000000"/>
          <w:szCs w:val="21"/>
          <w:u w:val="none"/>
        </w:rPr>
        <w:t>2</w:t>
      </w:r>
      <w:r>
        <w:rPr>
          <w:rFonts w:hint="eastAsia" w:ascii="宋体" w:hAnsi="宋体"/>
          <w:color w:val="000000"/>
          <w:szCs w:val="21"/>
          <w:u w:val="none"/>
          <w:lang w:val="en-US" w:eastAsia="zh-CN"/>
        </w:rPr>
        <w:t>8</w:t>
      </w:r>
      <w:r>
        <w:rPr>
          <w:rFonts w:ascii="宋体" w:hAnsi="宋体"/>
          <w:color w:val="000000"/>
          <w:szCs w:val="21"/>
        </w:rPr>
        <w:t>日</w:t>
      </w:r>
      <w:r>
        <w:rPr>
          <w:rFonts w:ascii="宋体" w:hAnsi="宋体"/>
          <w:szCs w:val="21"/>
        </w:rPr>
        <w:t>至2022年</w:t>
      </w:r>
      <w:r>
        <w:rPr>
          <w:rFonts w:hint="eastAsia" w:ascii="宋体" w:hAnsi="宋体"/>
          <w:color w:val="000000"/>
          <w:szCs w:val="21"/>
          <w:u w:val="none"/>
          <w:lang w:val="en-US" w:eastAsia="zh-CN"/>
        </w:rPr>
        <w:t>10</w:t>
      </w:r>
      <w:r>
        <w:rPr>
          <w:rFonts w:ascii="宋体" w:hAnsi="宋体"/>
          <w:color w:val="000000"/>
          <w:szCs w:val="21"/>
        </w:rPr>
        <w:t>月</w:t>
      </w:r>
      <w:r>
        <w:rPr>
          <w:rFonts w:hint="eastAsia" w:ascii="宋体" w:hAnsi="宋体"/>
          <w:color w:val="000000"/>
          <w:szCs w:val="21"/>
          <w:u w:val="none"/>
          <w:lang w:val="en-US" w:eastAsia="zh-CN"/>
        </w:rPr>
        <w:t>9</w:t>
      </w:r>
      <w:r>
        <w:rPr>
          <w:rFonts w:ascii="宋体" w:hAnsi="宋体"/>
          <w:color w:val="000000"/>
          <w:szCs w:val="21"/>
        </w:rPr>
        <w:t>日</w:t>
      </w:r>
      <w:r>
        <w:rPr>
          <w:rFonts w:ascii="宋体" w:hAnsi="宋体"/>
          <w:szCs w:val="21"/>
        </w:rPr>
        <w:t>，</w:t>
      </w:r>
      <w:r>
        <w:rPr>
          <w:rFonts w:hint="eastAsia" w:ascii="宋体" w:hAnsi="宋体"/>
          <w:szCs w:val="21"/>
        </w:rPr>
        <w:t>自行下载附件</w:t>
      </w:r>
    </w:p>
    <w:p>
      <w:pPr>
        <w:ind w:firstLine="413" w:firstLineChars="196"/>
        <w:jc w:val="left"/>
        <w:rPr>
          <w:rFonts w:ascii="宋体" w:hAnsi="宋体"/>
          <w:b/>
          <w:szCs w:val="21"/>
        </w:rPr>
      </w:pPr>
      <w:bookmarkStart w:id="13" w:name="_Toc28359082"/>
      <w:bookmarkStart w:id="14" w:name="_Toc28359005"/>
      <w:bookmarkStart w:id="15" w:name="_Toc35393624"/>
      <w:bookmarkStart w:id="16" w:name="_Toc35393793"/>
    </w:p>
    <w:p>
      <w:pPr>
        <w:ind w:firstLine="413" w:firstLineChars="196"/>
        <w:jc w:val="left"/>
        <w:rPr>
          <w:rFonts w:ascii="宋体" w:hAnsi="宋体"/>
          <w:b/>
          <w:szCs w:val="21"/>
        </w:rPr>
      </w:pPr>
      <w:r>
        <w:rPr>
          <w:rFonts w:ascii="宋体" w:hAnsi="宋体"/>
          <w:b/>
          <w:szCs w:val="21"/>
        </w:rPr>
        <w:t>四、提交投标文件</w:t>
      </w:r>
      <w:bookmarkEnd w:id="13"/>
      <w:bookmarkEnd w:id="14"/>
      <w:r>
        <w:rPr>
          <w:rFonts w:ascii="宋体" w:hAnsi="宋体"/>
          <w:b/>
          <w:szCs w:val="21"/>
        </w:rPr>
        <w:t>截止时间</w:t>
      </w:r>
      <w:bookmarkEnd w:id="15"/>
      <w:bookmarkEnd w:id="16"/>
    </w:p>
    <w:p>
      <w:pPr>
        <w:ind w:firstLine="420" w:firstLineChars="200"/>
        <w:jc w:val="left"/>
        <w:rPr>
          <w:rFonts w:ascii="宋体" w:hAnsi="宋体"/>
          <w:kern w:val="0"/>
          <w:szCs w:val="21"/>
        </w:rPr>
      </w:pPr>
      <w:r>
        <w:rPr>
          <w:rFonts w:ascii="宋体" w:hAnsi="宋体"/>
          <w:kern w:val="0"/>
          <w:szCs w:val="21"/>
        </w:rPr>
        <w:t>提交投标文件时间：2022年</w:t>
      </w:r>
      <w:r>
        <w:rPr>
          <w:rFonts w:hint="eastAsia" w:ascii="宋体" w:hAnsi="宋体"/>
          <w:color w:val="000000"/>
          <w:szCs w:val="21"/>
          <w:u w:val="none"/>
          <w:lang w:val="en-US" w:eastAsia="zh-CN"/>
        </w:rPr>
        <w:t>10</w:t>
      </w:r>
      <w:r>
        <w:rPr>
          <w:rFonts w:ascii="宋体" w:hAnsi="宋体"/>
          <w:color w:val="000000"/>
          <w:szCs w:val="21"/>
        </w:rPr>
        <w:t>月</w:t>
      </w:r>
      <w:r>
        <w:rPr>
          <w:rFonts w:hint="eastAsia" w:ascii="宋体" w:hAnsi="宋体"/>
          <w:color w:val="000000"/>
          <w:szCs w:val="21"/>
          <w:u w:val="none"/>
          <w:lang w:val="en-US" w:eastAsia="zh-CN"/>
        </w:rPr>
        <w:t>9</w:t>
      </w:r>
      <w:r>
        <w:rPr>
          <w:rFonts w:ascii="宋体" w:hAnsi="宋体"/>
          <w:color w:val="000000"/>
          <w:szCs w:val="21"/>
        </w:rPr>
        <w:t>日</w:t>
      </w:r>
      <w:r>
        <w:rPr>
          <w:rFonts w:hint="eastAsia" w:ascii="宋体" w:hAnsi="宋体"/>
          <w:kern w:val="0"/>
          <w:szCs w:val="21"/>
        </w:rPr>
        <w:t>下午1</w:t>
      </w:r>
      <w:r>
        <w:rPr>
          <w:rFonts w:ascii="宋体" w:hAnsi="宋体"/>
          <w:kern w:val="0"/>
          <w:szCs w:val="21"/>
        </w:rPr>
        <w:t>8：00</w:t>
      </w:r>
    </w:p>
    <w:p>
      <w:pPr>
        <w:ind w:firstLine="426" w:firstLineChars="202"/>
        <w:jc w:val="left"/>
        <w:rPr>
          <w:rFonts w:ascii="宋体" w:hAnsi="宋体"/>
          <w:b/>
          <w:kern w:val="0"/>
          <w:szCs w:val="21"/>
        </w:rPr>
      </w:pPr>
    </w:p>
    <w:p>
      <w:pPr>
        <w:ind w:firstLine="413" w:firstLineChars="196"/>
        <w:jc w:val="left"/>
        <w:rPr>
          <w:rFonts w:ascii="宋体" w:hAnsi="宋体"/>
          <w:b/>
          <w:szCs w:val="21"/>
        </w:rPr>
      </w:pPr>
      <w:bookmarkStart w:id="17" w:name="_Toc28359007"/>
      <w:bookmarkStart w:id="18" w:name="_Toc35393625"/>
      <w:bookmarkStart w:id="19" w:name="_Toc28359084"/>
      <w:bookmarkStart w:id="20" w:name="_Toc35393794"/>
      <w:r>
        <w:rPr>
          <w:rFonts w:hint="eastAsia" w:ascii="宋体" w:hAnsi="宋体"/>
          <w:b/>
          <w:szCs w:val="21"/>
        </w:rPr>
        <w:t>五</w:t>
      </w:r>
      <w:r>
        <w:rPr>
          <w:rFonts w:ascii="宋体" w:hAnsi="宋体"/>
          <w:b/>
          <w:szCs w:val="21"/>
        </w:rPr>
        <w:t>、公告期限</w:t>
      </w:r>
      <w:bookmarkEnd w:id="17"/>
      <w:bookmarkEnd w:id="18"/>
      <w:bookmarkEnd w:id="19"/>
      <w:bookmarkEnd w:id="20"/>
    </w:p>
    <w:p>
      <w:pPr>
        <w:ind w:firstLine="420" w:firstLineChars="200"/>
        <w:jc w:val="left"/>
        <w:rPr>
          <w:rFonts w:ascii="宋体" w:hAnsi="宋体"/>
          <w:kern w:val="0"/>
          <w:szCs w:val="21"/>
        </w:rPr>
      </w:pPr>
      <w:r>
        <w:rPr>
          <w:rFonts w:ascii="宋体" w:hAnsi="宋体"/>
          <w:kern w:val="0"/>
          <w:szCs w:val="21"/>
        </w:rPr>
        <w:t>自本公告发布之日起5个自然日。</w:t>
      </w:r>
    </w:p>
    <w:p>
      <w:pPr>
        <w:ind w:firstLine="413" w:firstLineChars="196"/>
        <w:jc w:val="left"/>
        <w:rPr>
          <w:rFonts w:ascii="宋体" w:hAnsi="宋体"/>
          <w:b/>
          <w:szCs w:val="21"/>
        </w:rPr>
      </w:pPr>
      <w:bookmarkStart w:id="21" w:name="_Toc35393796"/>
      <w:bookmarkStart w:id="22" w:name="_Toc28359008"/>
      <w:bookmarkStart w:id="23" w:name="_Toc28359085"/>
      <w:bookmarkStart w:id="24" w:name="_Toc35393627"/>
    </w:p>
    <w:p>
      <w:pPr>
        <w:ind w:firstLine="413" w:firstLineChars="196"/>
        <w:jc w:val="left"/>
        <w:rPr>
          <w:rFonts w:ascii="宋体" w:hAnsi="宋体"/>
          <w:b/>
          <w:szCs w:val="21"/>
        </w:rPr>
      </w:pPr>
      <w:r>
        <w:rPr>
          <w:rFonts w:hint="eastAsia" w:ascii="宋体" w:hAnsi="宋体"/>
          <w:b/>
          <w:szCs w:val="21"/>
        </w:rPr>
        <w:t>六</w:t>
      </w:r>
      <w:r>
        <w:rPr>
          <w:rFonts w:ascii="宋体" w:hAnsi="宋体"/>
          <w:b/>
          <w:szCs w:val="21"/>
        </w:rPr>
        <w:t>、对本次招标提出询问，请按以下方式联系。</w:t>
      </w:r>
      <w:bookmarkEnd w:id="21"/>
      <w:bookmarkEnd w:id="22"/>
      <w:bookmarkEnd w:id="23"/>
      <w:bookmarkEnd w:id="24"/>
    </w:p>
    <w:p>
      <w:pPr>
        <w:ind w:firstLine="420" w:firstLineChars="200"/>
        <w:jc w:val="left"/>
        <w:rPr>
          <w:rFonts w:ascii="宋体" w:hAnsi="宋体"/>
          <w:color w:val="000000"/>
          <w:kern w:val="0"/>
          <w:szCs w:val="21"/>
        </w:rPr>
      </w:pPr>
      <w:bookmarkStart w:id="25" w:name="_Toc28359086"/>
      <w:bookmarkStart w:id="26" w:name="_Toc28359009"/>
      <w:r>
        <w:rPr>
          <w:rFonts w:ascii="宋体" w:hAnsi="宋体"/>
          <w:kern w:val="0"/>
          <w:szCs w:val="21"/>
        </w:rPr>
        <w:t>采购</w:t>
      </w:r>
      <w:r>
        <w:rPr>
          <w:rFonts w:hint="eastAsia" w:ascii="宋体" w:hAnsi="宋体"/>
          <w:kern w:val="0"/>
          <w:szCs w:val="21"/>
        </w:rPr>
        <w:t>人</w:t>
      </w:r>
      <w:r>
        <w:rPr>
          <w:rFonts w:ascii="宋体" w:hAnsi="宋体"/>
          <w:color w:val="000000"/>
          <w:kern w:val="0"/>
          <w:szCs w:val="21"/>
        </w:rPr>
        <w:t>名称：</w:t>
      </w:r>
      <w:r>
        <w:rPr>
          <w:rFonts w:hint="eastAsia" w:ascii="宋体" w:hAnsi="宋体"/>
          <w:color w:val="000000"/>
          <w:kern w:val="0"/>
          <w:szCs w:val="21"/>
        </w:rPr>
        <w:t>深圳市规划国土发展研究中心</w:t>
      </w:r>
    </w:p>
    <w:p>
      <w:pPr>
        <w:ind w:firstLine="420" w:firstLineChars="200"/>
        <w:jc w:val="left"/>
        <w:rPr>
          <w:rFonts w:ascii="宋体" w:hAnsi="宋体"/>
          <w:color w:val="000000"/>
          <w:kern w:val="0"/>
          <w:szCs w:val="21"/>
        </w:rPr>
      </w:pPr>
      <w:r>
        <w:rPr>
          <w:rFonts w:ascii="宋体" w:hAnsi="宋体"/>
          <w:color w:val="000000"/>
          <w:kern w:val="0"/>
          <w:szCs w:val="21"/>
        </w:rPr>
        <w:t>地址：</w:t>
      </w:r>
      <w:r>
        <w:rPr>
          <w:rFonts w:hint="eastAsia" w:ascii="宋体" w:hAnsi="宋体"/>
          <w:color w:val="000000"/>
          <w:kern w:val="0"/>
          <w:szCs w:val="21"/>
        </w:rPr>
        <w:t>深圳市福田区红荔路8009号规划大厦108</w:t>
      </w:r>
    </w:p>
    <w:p>
      <w:pPr>
        <w:ind w:firstLine="420" w:firstLineChars="200"/>
        <w:jc w:val="left"/>
        <w:rPr>
          <w:rFonts w:ascii="宋体" w:hAnsi="宋体"/>
          <w:kern w:val="0"/>
          <w:szCs w:val="21"/>
        </w:rPr>
      </w:pPr>
      <w:r>
        <w:rPr>
          <w:rFonts w:ascii="宋体" w:hAnsi="宋体"/>
          <w:kern w:val="0"/>
          <w:szCs w:val="21"/>
        </w:rPr>
        <w:t>项目联系人：</w:t>
      </w:r>
      <w:r>
        <w:rPr>
          <w:rFonts w:hint="eastAsia" w:ascii="宋体" w:hAnsi="宋体"/>
          <w:kern w:val="0"/>
          <w:szCs w:val="21"/>
        </w:rPr>
        <w:t>高工</w:t>
      </w:r>
    </w:p>
    <w:p>
      <w:pPr>
        <w:ind w:firstLine="420" w:firstLineChars="200"/>
        <w:jc w:val="left"/>
        <w:rPr>
          <w:rFonts w:ascii="宋体" w:hAnsi="宋体"/>
          <w:kern w:val="0"/>
          <w:szCs w:val="21"/>
        </w:rPr>
      </w:pPr>
      <w:r>
        <w:rPr>
          <w:rFonts w:ascii="宋体" w:hAnsi="宋体"/>
          <w:kern w:val="0"/>
          <w:szCs w:val="21"/>
        </w:rPr>
        <w:t>联系方式：0755-23965106</w:t>
      </w:r>
    </w:p>
    <w:bookmarkEnd w:id="25"/>
    <w:bookmarkEnd w:id="26"/>
    <w:p>
      <w:pPr>
        <w:pStyle w:val="5"/>
        <w:numPr>
          <w:ilvl w:val="0"/>
          <w:numId w:val="4"/>
        </w:numPr>
        <w:rPr>
          <w:sz w:val="30"/>
          <w:szCs w:val="30"/>
        </w:rPr>
      </w:pPr>
      <w:r>
        <w:rPr>
          <w:rFonts w:hint="eastAsia"/>
          <w:sz w:val="30"/>
          <w:szCs w:val="30"/>
        </w:rPr>
        <w:t>项目需求</w:t>
      </w:r>
      <w:bookmarkStart w:id="27" w:name="_Toc73521547"/>
      <w:bookmarkStart w:id="28" w:name="_Toc73518117"/>
      <w:bookmarkStart w:id="29" w:name="_Toc60631620"/>
      <w:bookmarkStart w:id="30" w:name="_Toc73517639"/>
      <w:bookmarkStart w:id="31" w:name="_Toc101074876"/>
      <w:bookmarkStart w:id="32" w:name="_Toc73521635"/>
      <w:bookmarkStart w:id="33" w:name="_Toc60560625"/>
      <w:bookmarkStart w:id="34" w:name="_Toc100052364"/>
    </w:p>
    <w:p>
      <w:pPr>
        <w:pStyle w:val="5"/>
        <w:jc w:val="left"/>
        <w:rPr>
          <w:sz w:val="21"/>
          <w:szCs w:val="21"/>
        </w:rPr>
      </w:pPr>
      <w:r>
        <w:rPr>
          <w:rFonts w:hint="eastAsia"/>
          <w:sz w:val="21"/>
          <w:szCs w:val="21"/>
        </w:rPr>
        <w:t>一、对通用条款的补充内容</w:t>
      </w:r>
    </w:p>
    <w:tbl>
      <w:tblPr>
        <w:tblStyle w:val="54"/>
        <w:tblW w:w="829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07"/>
        <w:gridCol w:w="2083"/>
        <w:gridCol w:w="54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807" w:type="dxa"/>
            <w:vAlign w:val="center"/>
          </w:tcPr>
          <w:p>
            <w:pPr>
              <w:jc w:val="left"/>
              <w:rPr>
                <w:rFonts w:ascii="宋体" w:hAnsi="宋体"/>
                <w:bCs/>
                <w:szCs w:val="21"/>
              </w:rPr>
            </w:pPr>
            <w:r>
              <w:rPr>
                <w:rFonts w:hint="eastAsia" w:ascii="宋体" w:hAnsi="宋体"/>
                <w:bCs/>
                <w:szCs w:val="21"/>
              </w:rPr>
              <w:t>序号</w:t>
            </w:r>
          </w:p>
        </w:tc>
        <w:tc>
          <w:tcPr>
            <w:tcW w:w="2083" w:type="dxa"/>
            <w:vAlign w:val="center"/>
          </w:tcPr>
          <w:p>
            <w:pPr>
              <w:jc w:val="left"/>
              <w:rPr>
                <w:rFonts w:ascii="宋体" w:hAnsi="宋体"/>
                <w:bCs/>
                <w:szCs w:val="21"/>
              </w:rPr>
            </w:pPr>
            <w:r>
              <w:rPr>
                <w:rFonts w:hint="eastAsia" w:ascii="宋体" w:hAnsi="宋体"/>
                <w:bCs/>
                <w:szCs w:val="21"/>
              </w:rPr>
              <w:t>内   容</w:t>
            </w:r>
          </w:p>
        </w:tc>
        <w:tc>
          <w:tcPr>
            <w:tcW w:w="5400" w:type="dxa"/>
            <w:vAlign w:val="center"/>
          </w:tcPr>
          <w:p>
            <w:pPr>
              <w:jc w:val="left"/>
              <w:rPr>
                <w:rFonts w:ascii="宋体" w:hAnsi="宋体"/>
                <w:bCs/>
                <w:szCs w:val="21"/>
              </w:rPr>
            </w:pPr>
            <w:r>
              <w:rPr>
                <w:rFonts w:hint="eastAsia" w:ascii="宋体" w:hAnsi="宋体"/>
                <w:bCs/>
                <w:szCs w:val="21"/>
              </w:rPr>
              <w:t>规      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807" w:type="dxa"/>
            <w:vAlign w:val="center"/>
          </w:tcPr>
          <w:p>
            <w:pPr>
              <w:numPr>
                <w:ilvl w:val="0"/>
                <w:numId w:val="5"/>
              </w:numPr>
              <w:jc w:val="left"/>
              <w:rPr>
                <w:rFonts w:ascii="宋体" w:hAnsi="宋体"/>
                <w:szCs w:val="21"/>
              </w:rPr>
            </w:pPr>
          </w:p>
        </w:tc>
        <w:tc>
          <w:tcPr>
            <w:tcW w:w="2083" w:type="dxa"/>
            <w:vAlign w:val="center"/>
          </w:tcPr>
          <w:p>
            <w:pPr>
              <w:jc w:val="left"/>
              <w:rPr>
                <w:rFonts w:ascii="宋体" w:hAnsi="宋体"/>
                <w:szCs w:val="21"/>
              </w:rPr>
            </w:pPr>
            <w:r>
              <w:rPr>
                <w:rFonts w:hint="eastAsia" w:ascii="宋体" w:hAnsi="宋体"/>
                <w:szCs w:val="21"/>
              </w:rPr>
              <w:t>联合体投标</w:t>
            </w:r>
          </w:p>
        </w:tc>
        <w:tc>
          <w:tcPr>
            <w:tcW w:w="5400" w:type="dxa"/>
            <w:vAlign w:val="center"/>
          </w:tcPr>
          <w:p>
            <w:pPr>
              <w:jc w:val="left"/>
              <w:rPr>
                <w:rFonts w:ascii="宋体" w:hAnsi="宋体"/>
                <w:snapToGrid w:val="0"/>
                <w:kern w:val="0"/>
                <w:szCs w:val="21"/>
                <w:lang w:val="zh-CN"/>
              </w:rPr>
            </w:pPr>
            <w:r>
              <w:rPr>
                <w:rFonts w:hint="eastAsia" w:ascii="宋体" w:hAnsi="宋体"/>
                <w:snapToGrid w:val="0"/>
                <w:kern w:val="0"/>
                <w:szCs w:val="21"/>
                <w:lang w:val="zh-CN"/>
              </w:rPr>
              <w:t>见《采购公告》中“对投标人资质要求”部分的相关内容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807" w:type="dxa"/>
            <w:vAlign w:val="center"/>
          </w:tcPr>
          <w:p>
            <w:pPr>
              <w:numPr>
                <w:ilvl w:val="0"/>
                <w:numId w:val="5"/>
              </w:numPr>
              <w:jc w:val="left"/>
              <w:rPr>
                <w:rFonts w:ascii="宋体" w:hAnsi="宋体"/>
                <w:szCs w:val="21"/>
              </w:rPr>
            </w:pPr>
          </w:p>
        </w:tc>
        <w:tc>
          <w:tcPr>
            <w:tcW w:w="2083" w:type="dxa"/>
            <w:vAlign w:val="center"/>
          </w:tcPr>
          <w:p>
            <w:pPr>
              <w:jc w:val="left"/>
              <w:rPr>
                <w:rFonts w:ascii="宋体" w:hAnsi="宋体"/>
                <w:szCs w:val="21"/>
              </w:rPr>
            </w:pPr>
            <w:r>
              <w:rPr>
                <w:rFonts w:ascii="宋体" w:hAnsi="宋体"/>
                <w:szCs w:val="21"/>
              </w:rPr>
              <w:t>投标保证金</w:t>
            </w:r>
          </w:p>
        </w:tc>
        <w:tc>
          <w:tcPr>
            <w:tcW w:w="5400" w:type="dxa"/>
            <w:vAlign w:val="center"/>
          </w:tcPr>
          <w:p>
            <w:pPr>
              <w:jc w:val="left"/>
              <w:rPr>
                <w:rFonts w:ascii="宋体" w:hAnsi="宋体"/>
                <w:szCs w:val="21"/>
              </w:rPr>
            </w:pPr>
            <w:r>
              <w:rPr>
                <w:rFonts w:hint="eastAsia" w:ascii="宋体" w:hAnsi="宋体"/>
                <w:szCs w:val="21"/>
              </w:rPr>
              <w:t>本项目不适用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807" w:type="dxa"/>
            <w:vAlign w:val="center"/>
          </w:tcPr>
          <w:p>
            <w:pPr>
              <w:numPr>
                <w:ilvl w:val="0"/>
                <w:numId w:val="5"/>
              </w:numPr>
              <w:jc w:val="left"/>
              <w:rPr>
                <w:rFonts w:ascii="宋体" w:hAnsi="宋体"/>
                <w:szCs w:val="21"/>
              </w:rPr>
            </w:pPr>
          </w:p>
        </w:tc>
        <w:tc>
          <w:tcPr>
            <w:tcW w:w="2083" w:type="dxa"/>
            <w:vAlign w:val="center"/>
          </w:tcPr>
          <w:p>
            <w:pPr>
              <w:jc w:val="left"/>
              <w:rPr>
                <w:rFonts w:ascii="宋体" w:hAnsi="宋体"/>
                <w:szCs w:val="21"/>
              </w:rPr>
            </w:pPr>
            <w:r>
              <w:rPr>
                <w:rFonts w:hint="eastAsia" w:ascii="宋体" w:hAnsi="宋体"/>
                <w:szCs w:val="21"/>
              </w:rPr>
              <w:t>投标有效期</w:t>
            </w:r>
          </w:p>
        </w:tc>
        <w:tc>
          <w:tcPr>
            <w:tcW w:w="5400" w:type="dxa"/>
            <w:vAlign w:val="center"/>
          </w:tcPr>
          <w:p>
            <w:pPr>
              <w:jc w:val="left"/>
              <w:rPr>
                <w:rFonts w:ascii="宋体" w:hAnsi="宋体"/>
                <w:szCs w:val="21"/>
              </w:rPr>
            </w:pPr>
            <w:r>
              <w:rPr>
                <w:rFonts w:ascii="宋体" w:hAnsi="宋体"/>
                <w:szCs w:val="21"/>
              </w:rPr>
              <w:t>90日历天（从投标截止之日算起）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807" w:type="dxa"/>
            <w:vAlign w:val="center"/>
          </w:tcPr>
          <w:p>
            <w:pPr>
              <w:numPr>
                <w:ilvl w:val="0"/>
                <w:numId w:val="5"/>
              </w:numPr>
              <w:jc w:val="left"/>
              <w:rPr>
                <w:rFonts w:ascii="宋体" w:hAnsi="宋体"/>
                <w:szCs w:val="21"/>
              </w:rPr>
            </w:pPr>
          </w:p>
        </w:tc>
        <w:tc>
          <w:tcPr>
            <w:tcW w:w="2083" w:type="dxa"/>
            <w:vAlign w:val="center"/>
          </w:tcPr>
          <w:p>
            <w:pPr>
              <w:jc w:val="left"/>
              <w:rPr>
                <w:rFonts w:ascii="宋体" w:hAnsi="宋体"/>
                <w:szCs w:val="21"/>
              </w:rPr>
            </w:pPr>
            <w:r>
              <w:rPr>
                <w:rFonts w:hint="eastAsia" w:ascii="宋体" w:hAnsi="宋体"/>
                <w:szCs w:val="21"/>
              </w:rPr>
              <w:t>投标人的替代方案</w:t>
            </w:r>
          </w:p>
        </w:tc>
        <w:tc>
          <w:tcPr>
            <w:tcW w:w="5400" w:type="dxa"/>
            <w:vAlign w:val="center"/>
          </w:tcPr>
          <w:p>
            <w:pPr>
              <w:jc w:val="left"/>
              <w:rPr>
                <w:rFonts w:ascii="宋体" w:hAnsi="宋体"/>
                <w:szCs w:val="21"/>
              </w:rPr>
            </w:pPr>
            <w:r>
              <w:rPr>
                <w:rFonts w:hint="eastAsia" w:ascii="宋体" w:hAnsi="宋体"/>
                <w:szCs w:val="21"/>
              </w:rPr>
              <w:t>不允许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807" w:type="dxa"/>
            <w:vAlign w:val="center"/>
          </w:tcPr>
          <w:p>
            <w:pPr>
              <w:numPr>
                <w:ilvl w:val="0"/>
                <w:numId w:val="5"/>
              </w:numPr>
              <w:spacing w:line="240" w:lineRule="exact"/>
              <w:jc w:val="left"/>
              <w:rPr>
                <w:rFonts w:ascii="宋体" w:hAnsi="宋体"/>
                <w:szCs w:val="21"/>
              </w:rPr>
            </w:pPr>
          </w:p>
        </w:tc>
        <w:tc>
          <w:tcPr>
            <w:tcW w:w="2083" w:type="dxa"/>
            <w:vAlign w:val="center"/>
          </w:tcPr>
          <w:p>
            <w:pPr>
              <w:spacing w:line="240" w:lineRule="exact"/>
              <w:jc w:val="left"/>
              <w:rPr>
                <w:rFonts w:ascii="宋体" w:hAnsi="宋体"/>
                <w:szCs w:val="21"/>
              </w:rPr>
            </w:pPr>
            <w:r>
              <w:rPr>
                <w:rFonts w:hint="eastAsia" w:ascii="宋体" w:hAnsi="宋体"/>
                <w:szCs w:val="21"/>
              </w:rPr>
              <w:t>投标文件的递交</w:t>
            </w:r>
          </w:p>
        </w:tc>
        <w:tc>
          <w:tcPr>
            <w:tcW w:w="5400" w:type="dxa"/>
            <w:vAlign w:val="center"/>
          </w:tcPr>
          <w:p>
            <w:pPr>
              <w:spacing w:line="240" w:lineRule="exact"/>
              <w:jc w:val="left"/>
              <w:rPr>
                <w:rFonts w:ascii="宋体" w:hAnsi="宋体"/>
                <w:szCs w:val="21"/>
              </w:rPr>
            </w:pPr>
            <w:r>
              <w:rPr>
                <w:rFonts w:hint="eastAsia" w:ascii="宋体" w:hAnsi="宋体"/>
                <w:szCs w:val="21"/>
              </w:rPr>
              <w:t>在采购文件规定的投标截止时间前直接送达至指定地点。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807" w:type="dxa"/>
            <w:vAlign w:val="center"/>
          </w:tcPr>
          <w:p>
            <w:pPr>
              <w:numPr>
                <w:ilvl w:val="0"/>
                <w:numId w:val="5"/>
              </w:numPr>
              <w:jc w:val="left"/>
              <w:rPr>
                <w:rFonts w:ascii="宋体" w:hAnsi="宋体"/>
                <w:color w:val="000000"/>
                <w:szCs w:val="21"/>
              </w:rPr>
            </w:pPr>
          </w:p>
        </w:tc>
        <w:tc>
          <w:tcPr>
            <w:tcW w:w="2083" w:type="dxa"/>
            <w:vAlign w:val="center"/>
          </w:tcPr>
          <w:p>
            <w:pPr>
              <w:jc w:val="left"/>
              <w:rPr>
                <w:rFonts w:ascii="宋体" w:hAnsi="宋体"/>
                <w:color w:val="000000"/>
                <w:szCs w:val="21"/>
              </w:rPr>
            </w:pPr>
            <w:r>
              <w:rPr>
                <w:rFonts w:hint="eastAsia" w:ascii="宋体" w:hAnsi="宋体"/>
                <w:color w:val="000000"/>
                <w:szCs w:val="21"/>
              </w:rPr>
              <w:t>履约担保金额</w:t>
            </w:r>
          </w:p>
        </w:tc>
        <w:tc>
          <w:tcPr>
            <w:tcW w:w="5400" w:type="dxa"/>
            <w:vAlign w:val="center"/>
          </w:tcPr>
          <w:p>
            <w:pPr>
              <w:jc w:val="left"/>
              <w:rPr>
                <w:rFonts w:ascii="宋体" w:hAnsi="宋体"/>
                <w:color w:val="000000"/>
                <w:szCs w:val="21"/>
              </w:rPr>
            </w:pPr>
            <w:r>
              <w:rPr>
                <w:rFonts w:hint="eastAsia" w:ascii="宋体" w:hAnsi="宋体"/>
                <w:color w:val="000000"/>
                <w:szCs w:val="21"/>
              </w:rPr>
              <w:t>无</w:t>
            </w:r>
          </w:p>
        </w:tc>
      </w:tr>
      <w:bookmarkEnd w:id="27"/>
      <w:bookmarkEnd w:id="28"/>
      <w:bookmarkEnd w:id="29"/>
      <w:bookmarkEnd w:id="30"/>
      <w:bookmarkEnd w:id="31"/>
      <w:bookmarkEnd w:id="32"/>
      <w:bookmarkEnd w:id="33"/>
      <w:bookmarkEnd w:id="34"/>
    </w:tbl>
    <w:p>
      <w:pPr>
        <w:spacing w:before="120" w:beforeLines="50" w:line="360" w:lineRule="auto"/>
        <w:jc w:val="left"/>
        <w:rPr>
          <w:rFonts w:ascii="宋体" w:hAnsi="宋体"/>
          <w:szCs w:val="21"/>
        </w:rPr>
      </w:pPr>
      <w:r>
        <w:rPr>
          <w:rFonts w:hint="eastAsia" w:ascii="宋体" w:hAnsi="宋体"/>
          <w:color w:val="000000"/>
          <w:szCs w:val="21"/>
        </w:rPr>
        <w:t>备注：本表为通用条款相关内容的补充和明确，如与</w:t>
      </w:r>
      <w:r>
        <w:rPr>
          <w:rFonts w:hint="eastAsia" w:ascii="宋体" w:hAnsi="宋体"/>
          <w:szCs w:val="21"/>
        </w:rPr>
        <w:t>通用条款相冲突的以本表为准。</w:t>
      </w:r>
    </w:p>
    <w:p>
      <w:pPr>
        <w:pStyle w:val="5"/>
        <w:spacing w:before="120" w:beforeLines="50" w:after="120" w:afterLines="50"/>
        <w:jc w:val="left"/>
        <w:rPr>
          <w:sz w:val="21"/>
          <w:szCs w:val="21"/>
        </w:rPr>
      </w:pPr>
      <w:r>
        <w:rPr>
          <w:rFonts w:hint="eastAsia"/>
          <w:sz w:val="21"/>
          <w:szCs w:val="21"/>
        </w:rPr>
        <w:t>二、实质性响应条款</w:t>
      </w:r>
    </w:p>
    <w:tbl>
      <w:tblPr>
        <w:tblStyle w:val="54"/>
        <w:tblW w:w="8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7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5" w:type="dxa"/>
          </w:tcPr>
          <w:p>
            <w:pPr>
              <w:adjustRightInd w:val="0"/>
              <w:snapToGrid w:val="0"/>
              <w:spacing w:line="360" w:lineRule="auto"/>
              <w:jc w:val="left"/>
              <w:rPr>
                <w:rFonts w:ascii="宋体" w:hAnsi="宋体"/>
                <w:kern w:val="0"/>
                <w:szCs w:val="21"/>
              </w:rPr>
            </w:pPr>
            <w:r>
              <w:rPr>
                <w:rFonts w:hint="eastAsia" w:ascii="宋体" w:hAnsi="宋体"/>
                <w:kern w:val="0"/>
                <w:szCs w:val="21"/>
              </w:rPr>
              <w:t>序号</w:t>
            </w:r>
          </w:p>
        </w:tc>
        <w:tc>
          <w:tcPr>
            <w:tcW w:w="7483" w:type="dxa"/>
          </w:tcPr>
          <w:p>
            <w:pPr>
              <w:adjustRightInd w:val="0"/>
              <w:snapToGrid w:val="0"/>
              <w:spacing w:line="360" w:lineRule="auto"/>
              <w:jc w:val="left"/>
              <w:rPr>
                <w:rFonts w:ascii="宋体" w:hAnsi="宋体"/>
                <w:kern w:val="0"/>
                <w:szCs w:val="21"/>
              </w:rPr>
            </w:pPr>
            <w:r>
              <w:rPr>
                <w:rFonts w:hint="eastAsia" w:ascii="宋体" w:hAnsi="宋体"/>
                <w:kern w:val="0"/>
                <w:szCs w:val="21"/>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05" w:type="dxa"/>
          </w:tcPr>
          <w:p>
            <w:pPr>
              <w:adjustRightInd w:val="0"/>
              <w:snapToGrid w:val="0"/>
              <w:spacing w:line="360" w:lineRule="auto"/>
              <w:jc w:val="left"/>
              <w:rPr>
                <w:rFonts w:ascii="宋体" w:hAnsi="宋体"/>
                <w:kern w:val="0"/>
                <w:szCs w:val="21"/>
              </w:rPr>
            </w:pPr>
            <w:r>
              <w:rPr>
                <w:rFonts w:hint="eastAsia" w:ascii="宋体" w:hAnsi="宋体"/>
                <w:kern w:val="0"/>
                <w:szCs w:val="21"/>
              </w:rPr>
              <w:t>1</w:t>
            </w:r>
          </w:p>
        </w:tc>
        <w:tc>
          <w:tcPr>
            <w:tcW w:w="7483" w:type="dxa"/>
          </w:tcPr>
          <w:p>
            <w:pPr>
              <w:adjustRightInd w:val="0"/>
              <w:snapToGrid w:val="0"/>
              <w:jc w:val="left"/>
              <w:rPr>
                <w:rFonts w:ascii="宋体" w:hAnsi="宋体"/>
                <w:color w:val="000000"/>
                <w:kern w:val="0"/>
                <w:szCs w:val="21"/>
              </w:rPr>
            </w:pPr>
            <w:r>
              <w:rPr>
                <w:rFonts w:hint="eastAsia" w:ascii="宋体" w:hAnsi="宋体"/>
                <w:color w:val="000000"/>
                <w:kern w:val="0"/>
                <w:szCs w:val="21"/>
              </w:rPr>
              <w:t>完工期：合同签订之日起</w:t>
            </w:r>
            <w:r>
              <w:rPr>
                <w:rFonts w:ascii="宋体" w:hAnsi="宋体"/>
                <w:color w:val="000000"/>
                <w:kern w:val="0"/>
                <w:szCs w:val="21"/>
              </w:rPr>
              <w:t>20</w:t>
            </w:r>
            <w:r>
              <w:rPr>
                <w:rFonts w:hint="eastAsia" w:ascii="宋体" w:hAnsi="宋体"/>
                <w:color w:val="000000"/>
                <w:kern w:val="0"/>
                <w:szCs w:val="21"/>
              </w:rPr>
              <w:t>个自然日内完工并通过验收合格。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tcPr>
          <w:p>
            <w:pPr>
              <w:adjustRightInd w:val="0"/>
              <w:snapToGrid w:val="0"/>
              <w:spacing w:line="360" w:lineRule="auto"/>
              <w:jc w:val="left"/>
              <w:rPr>
                <w:rFonts w:ascii="宋体" w:hAnsi="宋体"/>
                <w:kern w:val="0"/>
                <w:szCs w:val="21"/>
              </w:rPr>
            </w:pPr>
            <w:r>
              <w:rPr>
                <w:rFonts w:hint="eastAsia" w:ascii="宋体" w:hAnsi="宋体"/>
                <w:kern w:val="0"/>
                <w:szCs w:val="21"/>
              </w:rPr>
              <w:t>2</w:t>
            </w:r>
          </w:p>
        </w:tc>
        <w:tc>
          <w:tcPr>
            <w:tcW w:w="7483" w:type="dxa"/>
          </w:tcPr>
          <w:p>
            <w:pPr>
              <w:adjustRightInd w:val="0"/>
              <w:snapToGrid w:val="0"/>
              <w:jc w:val="left"/>
              <w:rPr>
                <w:rFonts w:ascii="宋体" w:hAnsi="宋体"/>
                <w:color w:val="000000"/>
                <w:kern w:val="0"/>
                <w:szCs w:val="21"/>
              </w:rPr>
            </w:pPr>
            <w:r>
              <w:rPr>
                <w:rFonts w:hint="eastAsia" w:ascii="宋体" w:hAnsi="宋体"/>
                <w:color w:val="000000"/>
                <w:kern w:val="0"/>
                <w:szCs w:val="21"/>
              </w:rPr>
              <w:t>质量保修责任：自工程竣工验收完毕之日的第二天计算，整体免费保修期为2年（其中防水部分工程免费保修期为5年），免费保修期内中标人应免费提供保养维修服务。</w:t>
            </w:r>
          </w:p>
        </w:tc>
      </w:tr>
    </w:tbl>
    <w:p>
      <w:pPr>
        <w:spacing w:before="120" w:beforeLines="50" w:line="360" w:lineRule="auto"/>
        <w:jc w:val="left"/>
        <w:rPr>
          <w:rFonts w:ascii="宋体" w:hAnsi="宋体"/>
          <w:szCs w:val="21"/>
        </w:rPr>
      </w:pPr>
      <w:r>
        <w:rPr>
          <w:rFonts w:hint="eastAsia" w:ascii="宋体" w:hAnsi="宋体"/>
          <w:b/>
          <w:kern w:val="0"/>
          <w:szCs w:val="21"/>
        </w:rPr>
        <w:t>注：上表所列内容为不可负偏离条款</w:t>
      </w:r>
    </w:p>
    <w:p>
      <w:pPr>
        <w:pStyle w:val="5"/>
        <w:spacing w:before="120" w:beforeLines="50" w:after="120" w:afterLines="50" w:line="360" w:lineRule="auto"/>
        <w:jc w:val="left"/>
        <w:rPr>
          <w:sz w:val="21"/>
          <w:szCs w:val="21"/>
        </w:rPr>
      </w:pPr>
      <w:r>
        <w:rPr>
          <w:rFonts w:hint="eastAsia"/>
          <w:sz w:val="21"/>
          <w:szCs w:val="21"/>
        </w:rPr>
        <w:t>三、</w:t>
      </w:r>
      <w:r>
        <w:rPr>
          <w:sz w:val="21"/>
          <w:szCs w:val="21"/>
        </w:rPr>
        <w:t xml:space="preserve">投标文件的编制 </w:t>
      </w:r>
    </w:p>
    <w:p>
      <w:pPr>
        <w:jc w:val="left"/>
        <w:rPr>
          <w:rFonts w:ascii="宋体" w:hAnsi="宋体"/>
          <w:szCs w:val="21"/>
        </w:rPr>
      </w:pPr>
      <w:r>
        <w:rPr>
          <w:rFonts w:hint="eastAsia" w:ascii="宋体" w:hAnsi="宋体"/>
          <w:szCs w:val="21"/>
        </w:rPr>
        <w:t>（一）标书基本格式</w:t>
      </w:r>
    </w:p>
    <w:p>
      <w:pPr>
        <w:jc w:val="left"/>
        <w:rPr>
          <w:rFonts w:ascii="宋体" w:hAnsi="宋体"/>
          <w:szCs w:val="21"/>
        </w:rPr>
      </w:pPr>
      <w:r>
        <w:rPr>
          <w:rFonts w:hint="eastAsia" w:ascii="宋体" w:hAnsi="宋体"/>
          <w:szCs w:val="21"/>
        </w:rPr>
        <w:t>第一部分 资信证明（所有复印件需加盖公章）</w:t>
      </w:r>
    </w:p>
    <w:p>
      <w:pPr>
        <w:jc w:val="left"/>
        <w:rPr>
          <w:rFonts w:ascii="宋体" w:hAnsi="宋体"/>
          <w:szCs w:val="21"/>
        </w:rPr>
      </w:pPr>
      <w:r>
        <w:rPr>
          <w:rFonts w:hint="eastAsia" w:ascii="宋体" w:hAnsi="宋体"/>
          <w:szCs w:val="21"/>
        </w:rPr>
        <w:t>*1 企业法人授权书（法人、被授权人身份证）</w:t>
      </w:r>
    </w:p>
    <w:p>
      <w:pPr>
        <w:jc w:val="left"/>
        <w:rPr>
          <w:rFonts w:ascii="宋体" w:hAnsi="宋体"/>
          <w:szCs w:val="21"/>
        </w:rPr>
      </w:pPr>
      <w:r>
        <w:rPr>
          <w:rFonts w:hint="eastAsia" w:ascii="宋体" w:hAnsi="宋体"/>
          <w:szCs w:val="21"/>
        </w:rPr>
        <w:t>*2 企业营业执照</w:t>
      </w:r>
    </w:p>
    <w:p>
      <w:pPr>
        <w:jc w:val="left"/>
        <w:rPr>
          <w:rFonts w:ascii="宋体" w:hAnsi="宋体"/>
          <w:szCs w:val="21"/>
        </w:rPr>
      </w:pPr>
      <w:r>
        <w:rPr>
          <w:rFonts w:ascii="宋体" w:hAnsi="宋体"/>
          <w:szCs w:val="21"/>
        </w:rPr>
        <w:t xml:space="preserve">*3 </w:t>
      </w:r>
      <w:r>
        <w:rPr>
          <w:rFonts w:hint="eastAsia" w:ascii="宋体" w:hAnsi="宋体"/>
          <w:szCs w:val="21"/>
        </w:rPr>
        <w:t>投标人投标文件中必须签署《政府采购投标及履约承诺函》（格式参考附件1）</w:t>
      </w:r>
    </w:p>
    <w:p>
      <w:pPr>
        <w:jc w:val="left"/>
        <w:rPr>
          <w:rFonts w:ascii="宋体" w:hAnsi="宋体"/>
          <w:szCs w:val="21"/>
        </w:rPr>
      </w:pPr>
      <w:r>
        <w:rPr>
          <w:rFonts w:hint="eastAsia" w:ascii="宋体" w:hAnsi="宋体"/>
          <w:szCs w:val="21"/>
        </w:rPr>
        <w:t>3 其它（证明企业有承接项目能力的补充证明材料）</w:t>
      </w:r>
    </w:p>
    <w:p>
      <w:pPr>
        <w:jc w:val="left"/>
        <w:rPr>
          <w:rFonts w:ascii="宋体" w:hAnsi="宋体"/>
          <w:szCs w:val="21"/>
        </w:rPr>
      </w:pPr>
      <w:r>
        <w:rPr>
          <w:rFonts w:hint="eastAsia" w:ascii="宋体" w:hAnsi="宋体"/>
          <w:szCs w:val="21"/>
        </w:rPr>
        <w:t>第二部分 参评材料</w:t>
      </w:r>
    </w:p>
    <w:p>
      <w:pPr>
        <w:jc w:val="left"/>
        <w:rPr>
          <w:rFonts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企业情况简介</w:t>
      </w:r>
    </w:p>
    <w:p>
      <w:pPr>
        <w:jc w:val="left"/>
        <w:rPr>
          <w:rFonts w:ascii="宋体" w:hAnsi="宋体"/>
          <w:szCs w:val="21"/>
        </w:rPr>
      </w:pPr>
      <w:r>
        <w:rPr>
          <w:rFonts w:hint="eastAsia" w:ascii="宋体" w:hAnsi="宋体"/>
          <w:szCs w:val="21"/>
        </w:rPr>
        <w:t>*1）企业概况一览表（格式参考附件</w:t>
      </w:r>
      <w:r>
        <w:rPr>
          <w:rFonts w:ascii="宋体" w:hAnsi="宋体"/>
          <w:szCs w:val="21"/>
        </w:rPr>
        <w:t>2</w:t>
      </w:r>
      <w:r>
        <w:rPr>
          <w:rFonts w:hint="eastAsia" w:ascii="宋体" w:hAnsi="宋体"/>
          <w:szCs w:val="21"/>
        </w:rPr>
        <w:t>）</w:t>
      </w:r>
    </w:p>
    <w:p>
      <w:pPr>
        <w:jc w:val="left"/>
        <w:rPr>
          <w:rFonts w:ascii="宋体" w:hAnsi="宋体"/>
          <w:szCs w:val="21"/>
        </w:rPr>
      </w:pPr>
      <w:r>
        <w:rPr>
          <w:rFonts w:hint="eastAsia" w:ascii="宋体" w:hAnsi="宋体"/>
          <w:szCs w:val="21"/>
        </w:rPr>
        <w:t>*2）技术人员配备情况</w:t>
      </w:r>
    </w:p>
    <w:p>
      <w:pPr>
        <w:jc w:val="left"/>
        <w:rPr>
          <w:rFonts w:ascii="宋体" w:hAnsi="宋体"/>
          <w:szCs w:val="21"/>
        </w:rPr>
      </w:pPr>
      <w:r>
        <w:rPr>
          <w:rFonts w:hint="eastAsia" w:ascii="宋体" w:hAnsi="宋体"/>
          <w:szCs w:val="21"/>
        </w:rPr>
        <w:t>*3）类似项目业绩</w:t>
      </w:r>
    </w:p>
    <w:p>
      <w:pPr>
        <w:jc w:val="left"/>
        <w:rPr>
          <w:rFonts w:ascii="宋体" w:hAnsi="宋体"/>
          <w:szCs w:val="21"/>
        </w:rPr>
      </w:pPr>
      <w:r>
        <w:rPr>
          <w:rFonts w:hint="eastAsia" w:ascii="宋体" w:hAnsi="宋体"/>
          <w:szCs w:val="21"/>
        </w:rPr>
        <w:t>4）行业资质证明</w:t>
      </w:r>
    </w:p>
    <w:p>
      <w:pPr>
        <w:jc w:val="left"/>
        <w:rPr>
          <w:rFonts w:ascii="宋体" w:hAnsi="宋体"/>
          <w:szCs w:val="21"/>
        </w:rPr>
      </w:pPr>
      <w:r>
        <w:rPr>
          <w:rFonts w:hint="eastAsia" w:ascii="宋体" w:hAnsi="宋体"/>
          <w:szCs w:val="21"/>
        </w:rPr>
        <w:t>5）其它</w:t>
      </w:r>
    </w:p>
    <w:p>
      <w:pPr>
        <w:jc w:val="left"/>
        <w:rPr>
          <w:rFonts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实施方案和报价</w:t>
      </w:r>
    </w:p>
    <w:p>
      <w:pPr>
        <w:jc w:val="left"/>
        <w:rPr>
          <w:rFonts w:ascii="宋体" w:hAnsi="宋体"/>
          <w:szCs w:val="21"/>
        </w:rPr>
      </w:pPr>
      <w:r>
        <w:rPr>
          <w:rFonts w:hint="eastAsia" w:ascii="宋体" w:hAnsi="宋体"/>
          <w:szCs w:val="21"/>
        </w:rPr>
        <w:t>*1）项目实施方案</w:t>
      </w:r>
    </w:p>
    <w:p>
      <w:pPr>
        <w:jc w:val="left"/>
        <w:rPr>
          <w:rFonts w:ascii="宋体" w:hAnsi="宋体"/>
          <w:szCs w:val="21"/>
        </w:rPr>
      </w:pPr>
      <w:r>
        <w:rPr>
          <w:rFonts w:hint="eastAsia" w:ascii="宋体" w:hAnsi="宋体"/>
          <w:szCs w:val="21"/>
        </w:rPr>
        <w:t>*2）工作进度计划</w:t>
      </w:r>
    </w:p>
    <w:p>
      <w:pPr>
        <w:jc w:val="left"/>
        <w:rPr>
          <w:rFonts w:ascii="宋体" w:hAnsi="宋体"/>
          <w:szCs w:val="21"/>
        </w:rPr>
      </w:pPr>
      <w:r>
        <w:rPr>
          <w:rFonts w:hint="eastAsia" w:ascii="宋体" w:hAnsi="宋体"/>
          <w:szCs w:val="21"/>
        </w:rPr>
        <w:t>*3）人员配置</w:t>
      </w:r>
    </w:p>
    <w:p>
      <w:pPr>
        <w:jc w:val="left"/>
        <w:rPr>
          <w:rFonts w:ascii="宋体" w:hAnsi="宋体"/>
          <w:szCs w:val="21"/>
        </w:rPr>
      </w:pPr>
      <w:r>
        <w:rPr>
          <w:rFonts w:hint="eastAsia" w:ascii="宋体" w:hAnsi="宋体"/>
          <w:szCs w:val="21"/>
        </w:rPr>
        <w:t>*4）投标报价</w:t>
      </w:r>
    </w:p>
    <w:p>
      <w:pPr>
        <w:jc w:val="left"/>
        <w:rPr>
          <w:rFonts w:ascii="宋体" w:hAnsi="宋体"/>
          <w:szCs w:val="21"/>
        </w:rPr>
      </w:pPr>
      <w:r>
        <w:rPr>
          <w:rFonts w:hint="eastAsia" w:ascii="宋体" w:hAnsi="宋体"/>
          <w:szCs w:val="21"/>
        </w:rPr>
        <w:t>*5）计费标准</w:t>
      </w:r>
    </w:p>
    <w:p>
      <w:pPr>
        <w:jc w:val="left"/>
        <w:rPr>
          <w:rFonts w:ascii="宋体" w:hAnsi="宋体"/>
          <w:szCs w:val="21"/>
        </w:rPr>
      </w:pPr>
      <w:r>
        <w:rPr>
          <w:rFonts w:hint="eastAsia" w:ascii="宋体" w:hAnsi="宋体"/>
          <w:szCs w:val="21"/>
        </w:rPr>
        <w:t>*6）质量保障措施</w:t>
      </w:r>
    </w:p>
    <w:p>
      <w:pPr>
        <w:jc w:val="left"/>
        <w:rPr>
          <w:rFonts w:ascii="宋体" w:hAnsi="宋体"/>
          <w:szCs w:val="21"/>
        </w:rPr>
      </w:pPr>
      <w:r>
        <w:rPr>
          <w:rFonts w:hint="eastAsia" w:ascii="宋体" w:hAnsi="宋体"/>
          <w:szCs w:val="21"/>
        </w:rPr>
        <w:t>7）其它</w:t>
      </w:r>
    </w:p>
    <w:p>
      <w:pPr>
        <w:jc w:val="left"/>
        <w:rPr>
          <w:rFonts w:ascii="宋体" w:hAnsi="宋体"/>
          <w:szCs w:val="21"/>
        </w:rPr>
      </w:pPr>
      <w:r>
        <w:rPr>
          <w:rFonts w:hint="eastAsia" w:ascii="宋体" w:hAnsi="宋体"/>
          <w:szCs w:val="21"/>
        </w:rPr>
        <w:t>注：*为必须提供材料项。</w:t>
      </w:r>
    </w:p>
    <w:p>
      <w:pPr>
        <w:jc w:val="left"/>
        <w:rPr>
          <w:rFonts w:ascii="宋体" w:hAnsi="宋体"/>
          <w:szCs w:val="21"/>
        </w:rPr>
      </w:pPr>
    </w:p>
    <w:p>
      <w:pPr>
        <w:jc w:val="left"/>
        <w:rPr>
          <w:rFonts w:ascii="宋体" w:hAnsi="宋体"/>
          <w:szCs w:val="21"/>
        </w:rPr>
      </w:pPr>
      <w:r>
        <w:rPr>
          <w:rFonts w:hint="eastAsia" w:ascii="宋体" w:hAnsi="宋体"/>
          <w:szCs w:val="21"/>
        </w:rPr>
        <w:t>（二）提供材料要求</w:t>
      </w:r>
    </w:p>
    <w:p>
      <w:pPr>
        <w:jc w:val="left"/>
        <w:rPr>
          <w:rFonts w:ascii="宋体" w:hAnsi="宋体"/>
          <w:szCs w:val="21"/>
        </w:rPr>
      </w:pPr>
      <w:r>
        <w:rPr>
          <w:rFonts w:hint="eastAsia" w:ascii="宋体" w:hAnsi="宋体"/>
          <w:szCs w:val="21"/>
        </w:rPr>
        <w:t>1.投标人企业授权代表需准备下列文件：</w:t>
      </w:r>
    </w:p>
    <w:p>
      <w:pPr>
        <w:jc w:val="left"/>
        <w:rPr>
          <w:rFonts w:ascii="宋体" w:hAnsi="宋体"/>
          <w:szCs w:val="21"/>
        </w:rPr>
      </w:pPr>
      <w:r>
        <w:rPr>
          <w:rFonts w:hint="eastAsia" w:ascii="宋体" w:hAnsi="宋体"/>
          <w:szCs w:val="21"/>
        </w:rPr>
        <w:t>第一部分 资信材料：1份。</w:t>
      </w:r>
    </w:p>
    <w:p>
      <w:pPr>
        <w:jc w:val="left"/>
        <w:rPr>
          <w:rFonts w:ascii="宋体" w:hAnsi="宋体"/>
          <w:szCs w:val="21"/>
        </w:rPr>
      </w:pPr>
      <w:r>
        <w:rPr>
          <w:rFonts w:hint="eastAsia" w:ascii="宋体" w:hAnsi="宋体"/>
          <w:szCs w:val="21"/>
        </w:rPr>
        <w:t>第二部分 参评材料：一式7份（1份正本、6份副本）。</w:t>
      </w:r>
    </w:p>
    <w:p>
      <w:pPr>
        <w:jc w:val="left"/>
        <w:rPr>
          <w:rFonts w:ascii="宋体" w:hAnsi="宋体"/>
          <w:szCs w:val="21"/>
        </w:rPr>
      </w:pPr>
      <w:r>
        <w:rPr>
          <w:rFonts w:hint="eastAsia" w:ascii="宋体" w:hAnsi="宋体"/>
          <w:szCs w:val="21"/>
        </w:rPr>
        <w:t>投标文件必须经法人代表或授权代表签字并加盖企业公章；第一、第二部分材料分别包装，封面应当清楚写明投标人名称、项目名称和“在（招标文件中规定的开标日期和时间）之前不得启封”的字样，密封形式提交。</w:t>
      </w:r>
    </w:p>
    <w:p>
      <w:pPr>
        <w:jc w:val="left"/>
        <w:rPr>
          <w:rFonts w:ascii="宋体" w:hAnsi="宋体"/>
          <w:szCs w:val="21"/>
        </w:rPr>
      </w:pPr>
      <w:r>
        <w:rPr>
          <w:rFonts w:hint="eastAsia" w:ascii="宋体" w:hAnsi="宋体"/>
          <w:szCs w:val="21"/>
        </w:rPr>
        <w:t>2. 投标文件均须应用A4或A3幅面的纸张打印。</w:t>
      </w:r>
    </w:p>
    <w:p>
      <w:pPr>
        <w:jc w:val="left"/>
        <w:rPr>
          <w:rFonts w:ascii="宋体" w:hAnsi="宋体"/>
          <w:szCs w:val="21"/>
        </w:rPr>
      </w:pPr>
      <w:r>
        <w:rPr>
          <w:rFonts w:hint="eastAsia" w:ascii="宋体" w:hAnsi="宋体"/>
          <w:szCs w:val="21"/>
        </w:rPr>
        <w:t>3. 投标文件外包装按招标文件提供的统一格式（见附件3）。</w:t>
      </w:r>
    </w:p>
    <w:p>
      <w:pPr>
        <w:widowControl/>
        <w:jc w:val="left"/>
        <w:rPr>
          <w:rFonts w:ascii="宋体" w:hAnsi="宋体"/>
          <w:szCs w:val="21"/>
        </w:rPr>
      </w:pPr>
      <w:r>
        <w:rPr>
          <w:rFonts w:ascii="宋体" w:hAnsi="宋体"/>
          <w:szCs w:val="21"/>
        </w:rPr>
        <w:br w:type="page"/>
      </w:r>
    </w:p>
    <w:p>
      <w:pPr>
        <w:jc w:val="left"/>
        <w:rPr>
          <w:rFonts w:ascii="宋体" w:hAnsi="宋体"/>
          <w:szCs w:val="21"/>
        </w:rPr>
      </w:pPr>
    </w:p>
    <w:p>
      <w:pPr>
        <w:pStyle w:val="5"/>
        <w:numPr>
          <w:ilvl w:val="0"/>
          <w:numId w:val="4"/>
        </w:numPr>
        <w:rPr>
          <w:sz w:val="30"/>
          <w:szCs w:val="30"/>
        </w:rPr>
      </w:pPr>
      <w:r>
        <w:rPr>
          <w:rFonts w:hint="eastAsia"/>
          <w:sz w:val="30"/>
          <w:szCs w:val="30"/>
        </w:rPr>
        <w:t>具体实施要求</w:t>
      </w:r>
    </w:p>
    <w:p>
      <w:pPr>
        <w:jc w:val="left"/>
        <w:rPr>
          <w:rFonts w:ascii="宋体" w:hAnsi="宋体"/>
          <w:szCs w:val="21"/>
        </w:rPr>
      </w:pPr>
    </w:p>
    <w:p>
      <w:pPr>
        <w:tabs>
          <w:tab w:val="left" w:pos="420"/>
          <w:tab w:val="left" w:pos="540"/>
          <w:tab w:val="left" w:pos="574"/>
        </w:tabs>
        <w:adjustRightInd w:val="0"/>
        <w:snapToGrid w:val="0"/>
        <w:spacing w:before="120" w:beforeLines="50" w:after="120" w:afterLines="50" w:line="360" w:lineRule="auto"/>
        <w:jc w:val="left"/>
        <w:outlineLvl w:val="0"/>
        <w:rPr>
          <w:rFonts w:ascii="宋体" w:hAnsi="宋体" w:cs="宋体"/>
          <w:b/>
          <w:szCs w:val="21"/>
        </w:rPr>
      </w:pPr>
      <w:r>
        <w:rPr>
          <w:rFonts w:hint="eastAsia" w:ascii="宋体" w:hAnsi="宋体" w:cs="宋体"/>
          <w:b/>
          <w:szCs w:val="21"/>
        </w:rPr>
        <w:t>4</w:t>
      </w:r>
      <w:r>
        <w:rPr>
          <w:rFonts w:ascii="宋体" w:hAnsi="宋体" w:cs="宋体"/>
          <w:b/>
          <w:szCs w:val="21"/>
        </w:rPr>
        <w:t>.1</w:t>
      </w:r>
      <w:r>
        <w:rPr>
          <w:rFonts w:hint="eastAsia" w:ascii="宋体" w:hAnsi="宋体" w:cs="宋体"/>
          <w:b/>
          <w:szCs w:val="21"/>
        </w:rPr>
        <w:t>项目概况</w:t>
      </w:r>
    </w:p>
    <w:p>
      <w:pPr>
        <w:numPr>
          <w:ilvl w:val="0"/>
          <w:numId w:val="6"/>
        </w:numPr>
        <w:adjustRightInd w:val="0"/>
        <w:snapToGrid w:val="0"/>
        <w:jc w:val="left"/>
        <w:rPr>
          <w:rFonts w:ascii="宋体" w:hAnsi="宋体" w:cs="宋体"/>
          <w:szCs w:val="21"/>
        </w:rPr>
      </w:pPr>
      <w:r>
        <w:rPr>
          <w:rFonts w:hint="eastAsia" w:ascii="宋体" w:hAnsi="宋体" w:cs="宋体"/>
          <w:szCs w:val="21"/>
        </w:rPr>
        <w:t>招标（或采购）范围：</w:t>
      </w:r>
      <w:r>
        <w:rPr>
          <w:rFonts w:hint="eastAsia" w:ascii="宋体" w:hAnsi="宋体" w:cs="宋体"/>
          <w:kern w:val="0"/>
          <w:szCs w:val="21"/>
        </w:rPr>
        <w:t>深圳市规划国土发展研究中心规划大厦二层2</w:t>
      </w:r>
      <w:r>
        <w:rPr>
          <w:rFonts w:ascii="宋体" w:hAnsi="宋体" w:cs="宋体"/>
          <w:kern w:val="0"/>
          <w:szCs w:val="21"/>
        </w:rPr>
        <w:t>03</w:t>
      </w:r>
      <w:r>
        <w:rPr>
          <w:rFonts w:hint="eastAsia" w:ascii="宋体" w:hAnsi="宋体" w:cs="宋体"/>
          <w:kern w:val="0"/>
          <w:szCs w:val="21"/>
        </w:rPr>
        <w:t>、2</w:t>
      </w:r>
      <w:r>
        <w:rPr>
          <w:rFonts w:ascii="宋体" w:hAnsi="宋体" w:cs="宋体"/>
          <w:kern w:val="0"/>
          <w:szCs w:val="21"/>
        </w:rPr>
        <w:t>04</w:t>
      </w:r>
      <w:r>
        <w:rPr>
          <w:rFonts w:hint="eastAsia" w:ascii="宋体" w:hAnsi="宋体" w:cs="宋体"/>
          <w:kern w:val="0"/>
          <w:szCs w:val="21"/>
        </w:rPr>
        <w:t>、2</w:t>
      </w:r>
      <w:r>
        <w:rPr>
          <w:rFonts w:ascii="宋体" w:hAnsi="宋体" w:cs="宋体"/>
          <w:kern w:val="0"/>
          <w:szCs w:val="21"/>
        </w:rPr>
        <w:t>05</w:t>
      </w:r>
      <w:r>
        <w:rPr>
          <w:rFonts w:hint="eastAsia" w:ascii="宋体" w:hAnsi="宋体" w:cs="宋体"/>
          <w:kern w:val="0"/>
          <w:szCs w:val="21"/>
        </w:rPr>
        <w:t>、2</w:t>
      </w:r>
      <w:r>
        <w:rPr>
          <w:rFonts w:ascii="宋体" w:hAnsi="宋体" w:cs="宋体"/>
          <w:kern w:val="0"/>
          <w:szCs w:val="21"/>
        </w:rPr>
        <w:t>06</w:t>
      </w:r>
      <w:r>
        <w:rPr>
          <w:rFonts w:hint="eastAsia" w:ascii="宋体" w:hAnsi="宋体" w:cs="宋体"/>
          <w:kern w:val="0"/>
          <w:szCs w:val="21"/>
        </w:rPr>
        <w:t>四间会议室。</w:t>
      </w:r>
      <w:r>
        <w:rPr>
          <w:rFonts w:ascii="宋体" w:hAnsi="宋体" w:cs="宋体"/>
          <w:szCs w:val="21"/>
        </w:rPr>
        <w:t xml:space="preserve"> </w:t>
      </w:r>
    </w:p>
    <w:p>
      <w:pPr>
        <w:numPr>
          <w:ilvl w:val="0"/>
          <w:numId w:val="6"/>
        </w:numPr>
        <w:adjustRightInd w:val="0"/>
        <w:snapToGrid w:val="0"/>
        <w:jc w:val="left"/>
        <w:rPr>
          <w:rFonts w:ascii="宋体" w:hAnsi="宋体" w:cs="宋体"/>
          <w:szCs w:val="21"/>
        </w:rPr>
      </w:pPr>
      <w:r>
        <w:rPr>
          <w:rFonts w:hint="eastAsia" w:ascii="宋体" w:hAnsi="宋体" w:cs="宋体"/>
          <w:szCs w:val="21"/>
        </w:rPr>
        <w:t>合同方式：总价包干合同，结算时，结算金额不做调整。</w:t>
      </w:r>
    </w:p>
    <w:p>
      <w:pPr>
        <w:numPr>
          <w:ilvl w:val="0"/>
          <w:numId w:val="6"/>
        </w:numPr>
        <w:adjustRightInd w:val="0"/>
        <w:snapToGrid w:val="0"/>
        <w:jc w:val="left"/>
        <w:rPr>
          <w:rFonts w:ascii="宋体" w:hAnsi="宋体" w:cs="宋体"/>
          <w:szCs w:val="21"/>
        </w:rPr>
      </w:pPr>
      <w:r>
        <w:rPr>
          <w:rFonts w:hint="eastAsia" w:ascii="宋体" w:hAnsi="宋体" w:cs="宋体"/>
          <w:szCs w:val="21"/>
        </w:rPr>
        <w:t>质量要求：按国家标准验收合格。</w:t>
      </w:r>
    </w:p>
    <w:p>
      <w:pPr>
        <w:numPr>
          <w:ilvl w:val="0"/>
          <w:numId w:val="6"/>
        </w:numPr>
        <w:adjustRightInd w:val="0"/>
        <w:snapToGrid w:val="0"/>
        <w:jc w:val="left"/>
        <w:rPr>
          <w:rFonts w:ascii="宋体" w:hAnsi="宋体" w:cs="宋体"/>
          <w:szCs w:val="21"/>
        </w:rPr>
      </w:pPr>
      <w:r>
        <w:rPr>
          <w:rFonts w:hint="eastAsia" w:ascii="宋体" w:hAnsi="宋体" w:cs="宋体"/>
          <w:szCs w:val="21"/>
        </w:rPr>
        <w:t>完工期：合同签订之日起</w:t>
      </w:r>
      <w:r>
        <w:rPr>
          <w:rFonts w:ascii="宋体" w:hAnsi="宋体" w:cs="宋体"/>
          <w:b/>
          <w:bCs/>
          <w:szCs w:val="21"/>
        </w:rPr>
        <w:t>20</w:t>
      </w:r>
      <w:r>
        <w:rPr>
          <w:rFonts w:hint="eastAsia" w:ascii="宋体" w:hAnsi="宋体" w:cs="宋体"/>
          <w:szCs w:val="21"/>
        </w:rPr>
        <w:t>个自然日内安装完工并通过验收合格。</w:t>
      </w:r>
    </w:p>
    <w:p>
      <w:pPr>
        <w:numPr>
          <w:ilvl w:val="0"/>
          <w:numId w:val="6"/>
        </w:numPr>
        <w:adjustRightInd w:val="0"/>
        <w:snapToGrid w:val="0"/>
        <w:jc w:val="left"/>
        <w:rPr>
          <w:rFonts w:ascii="宋体" w:hAnsi="宋体" w:cs="宋体"/>
          <w:szCs w:val="21"/>
        </w:rPr>
      </w:pPr>
      <w:r>
        <w:rPr>
          <w:rFonts w:ascii="宋体" w:hAnsi="宋体"/>
          <w:szCs w:val="21"/>
        </w:rPr>
        <w:t>采购需求书：本项目</w:t>
      </w:r>
      <w:r>
        <w:rPr>
          <w:rFonts w:hint="eastAsia" w:ascii="宋体" w:hAnsi="宋体"/>
          <w:szCs w:val="21"/>
        </w:rPr>
        <w:t>升级</w:t>
      </w:r>
      <w:r>
        <w:rPr>
          <w:rFonts w:ascii="宋体" w:hAnsi="宋体"/>
          <w:szCs w:val="21"/>
        </w:rPr>
        <w:t>改造主要内容为</w:t>
      </w:r>
      <w:r>
        <w:rPr>
          <w:rFonts w:hint="eastAsia" w:ascii="宋体" w:hAnsi="宋体" w:cs="宋体"/>
          <w:kern w:val="0"/>
          <w:szCs w:val="21"/>
        </w:rPr>
        <w:t>深圳市规划国土发展研究中心规划大厦二层2</w:t>
      </w:r>
      <w:r>
        <w:rPr>
          <w:rFonts w:ascii="宋体" w:hAnsi="宋体" w:cs="宋体"/>
          <w:kern w:val="0"/>
          <w:szCs w:val="21"/>
        </w:rPr>
        <w:t>03</w:t>
      </w:r>
      <w:r>
        <w:rPr>
          <w:rFonts w:hint="eastAsia" w:ascii="宋体" w:hAnsi="宋体" w:cs="宋体"/>
          <w:kern w:val="0"/>
          <w:szCs w:val="21"/>
        </w:rPr>
        <w:t>、2</w:t>
      </w:r>
      <w:r>
        <w:rPr>
          <w:rFonts w:ascii="宋体" w:hAnsi="宋体" w:cs="宋体"/>
          <w:kern w:val="0"/>
          <w:szCs w:val="21"/>
        </w:rPr>
        <w:t>04</w:t>
      </w:r>
      <w:r>
        <w:rPr>
          <w:rFonts w:hint="eastAsia" w:ascii="宋体" w:hAnsi="宋体" w:cs="宋体"/>
          <w:kern w:val="0"/>
          <w:szCs w:val="21"/>
        </w:rPr>
        <w:t>、2</w:t>
      </w:r>
      <w:r>
        <w:rPr>
          <w:rFonts w:ascii="宋体" w:hAnsi="宋体" w:cs="宋体"/>
          <w:kern w:val="0"/>
          <w:szCs w:val="21"/>
        </w:rPr>
        <w:t>05</w:t>
      </w:r>
      <w:r>
        <w:rPr>
          <w:rFonts w:hint="eastAsia" w:ascii="宋体" w:hAnsi="宋体" w:cs="宋体"/>
          <w:kern w:val="0"/>
          <w:szCs w:val="21"/>
        </w:rPr>
        <w:t>、2</w:t>
      </w:r>
      <w:r>
        <w:rPr>
          <w:rFonts w:ascii="宋体" w:hAnsi="宋体" w:cs="宋体"/>
          <w:kern w:val="0"/>
          <w:szCs w:val="21"/>
        </w:rPr>
        <w:t>06</w:t>
      </w:r>
      <w:r>
        <w:rPr>
          <w:rFonts w:hint="eastAsia" w:ascii="宋体" w:hAnsi="宋体" w:cs="宋体"/>
          <w:kern w:val="0"/>
          <w:szCs w:val="21"/>
        </w:rPr>
        <w:t>四间会议室的L</w:t>
      </w:r>
      <w:r>
        <w:rPr>
          <w:rFonts w:ascii="宋体" w:hAnsi="宋体" w:cs="宋体"/>
          <w:kern w:val="0"/>
          <w:szCs w:val="21"/>
        </w:rPr>
        <w:t>ED</w:t>
      </w:r>
      <w:r>
        <w:rPr>
          <w:rFonts w:hint="eastAsia" w:ascii="宋体" w:hAnsi="宋体" w:cs="宋体"/>
          <w:kern w:val="0"/>
          <w:szCs w:val="21"/>
        </w:rPr>
        <w:t>屏</w:t>
      </w:r>
      <w:r>
        <w:rPr>
          <w:rFonts w:ascii="宋体" w:hAnsi="宋体"/>
          <w:szCs w:val="21"/>
        </w:rPr>
        <w:t>等。</w:t>
      </w:r>
    </w:p>
    <w:p>
      <w:pPr>
        <w:tabs>
          <w:tab w:val="left" w:pos="420"/>
          <w:tab w:val="left" w:pos="540"/>
          <w:tab w:val="left" w:pos="574"/>
        </w:tabs>
        <w:adjustRightInd w:val="0"/>
        <w:snapToGrid w:val="0"/>
        <w:spacing w:before="120" w:beforeLines="50" w:after="120" w:afterLines="50" w:line="360" w:lineRule="auto"/>
        <w:jc w:val="left"/>
        <w:outlineLvl w:val="0"/>
        <w:rPr>
          <w:rFonts w:ascii="宋体" w:hAnsi="宋体" w:cs="宋体"/>
          <w:b/>
          <w:szCs w:val="21"/>
        </w:rPr>
      </w:pPr>
      <w:r>
        <w:rPr>
          <w:rFonts w:hint="eastAsia" w:ascii="宋体" w:hAnsi="宋体" w:cs="宋体"/>
          <w:b/>
          <w:szCs w:val="21"/>
        </w:rPr>
        <w:t>4</w:t>
      </w:r>
      <w:r>
        <w:rPr>
          <w:rFonts w:ascii="宋体" w:hAnsi="宋体" w:cs="宋体"/>
          <w:b/>
          <w:szCs w:val="21"/>
        </w:rPr>
        <w:t>.2安装</w:t>
      </w:r>
      <w:r>
        <w:rPr>
          <w:rFonts w:hint="eastAsia" w:ascii="宋体" w:hAnsi="宋体" w:cs="宋体"/>
          <w:b/>
          <w:szCs w:val="21"/>
        </w:rPr>
        <w:t>要求</w:t>
      </w:r>
    </w:p>
    <w:p>
      <w:pPr>
        <w:adjustRightInd w:val="0"/>
        <w:snapToGrid w:val="0"/>
        <w:ind w:left="425"/>
        <w:jc w:val="left"/>
        <w:rPr>
          <w:rFonts w:ascii="宋体" w:hAnsi="宋体" w:cs="宋体"/>
          <w:szCs w:val="21"/>
        </w:rPr>
      </w:pPr>
      <w:r>
        <w:rPr>
          <w:rFonts w:hint="eastAsia" w:ascii="宋体" w:hAnsi="宋体" w:cs="宋体"/>
          <w:szCs w:val="21"/>
        </w:rPr>
        <w:t>中标人必须本项目要求提供原厂的安装调试服务，中标方应当派有经验的技术人员到现场进行安装、调试，直到设备正常使用。</w:t>
      </w:r>
    </w:p>
    <w:p>
      <w:pPr>
        <w:tabs>
          <w:tab w:val="left" w:pos="420"/>
          <w:tab w:val="left" w:pos="540"/>
          <w:tab w:val="left" w:pos="574"/>
        </w:tabs>
        <w:adjustRightInd w:val="0"/>
        <w:snapToGrid w:val="0"/>
        <w:spacing w:before="120" w:beforeLines="50" w:after="120" w:afterLines="50" w:line="360" w:lineRule="auto"/>
        <w:jc w:val="left"/>
        <w:outlineLvl w:val="0"/>
        <w:rPr>
          <w:rFonts w:ascii="宋体" w:hAnsi="宋体" w:cs="宋体"/>
          <w:b/>
          <w:szCs w:val="21"/>
        </w:rPr>
      </w:pPr>
      <w:r>
        <w:rPr>
          <w:rFonts w:hint="eastAsia" w:ascii="宋体" w:hAnsi="宋体" w:cs="宋体"/>
          <w:b/>
          <w:szCs w:val="21"/>
        </w:rPr>
        <w:t>4</w:t>
      </w:r>
      <w:r>
        <w:rPr>
          <w:rFonts w:ascii="宋体" w:hAnsi="宋体" w:cs="宋体"/>
          <w:b/>
          <w:szCs w:val="21"/>
        </w:rPr>
        <w:t>.3</w:t>
      </w:r>
      <w:r>
        <w:rPr>
          <w:rFonts w:hint="eastAsia" w:ascii="宋体" w:hAnsi="宋体" w:cs="宋体"/>
          <w:b/>
          <w:szCs w:val="21"/>
        </w:rPr>
        <w:t>项目技术要求</w:t>
      </w:r>
    </w:p>
    <w:p>
      <w:pPr>
        <w:tabs>
          <w:tab w:val="left" w:pos="425"/>
        </w:tabs>
        <w:adjustRightInd w:val="0"/>
        <w:snapToGrid w:val="0"/>
        <w:ind w:left="425"/>
        <w:jc w:val="left"/>
        <w:rPr>
          <w:rFonts w:ascii="宋体" w:hAnsi="宋体" w:cs="宋体"/>
          <w:szCs w:val="21"/>
        </w:rPr>
      </w:pPr>
      <w:r>
        <w:rPr>
          <w:rFonts w:hint="eastAsia" w:ascii="宋体" w:hAnsi="宋体" w:cs="宋体"/>
          <w:szCs w:val="21"/>
        </w:rPr>
        <w:t>对规划大厦2楼现203、204、205、206共有4间会议室原投影显示系统进行提升改造；每间会议室新建设1套小间距LED屏，显示间距小于等于1.25mm，显示面积大于3.24平米，采用最新COB封装技术，实现2K画面的显示效果，显示图形、图像、文字的数据真实和精准，显示的无缝隙，色彩一致性和还原性更高，以及画面像素点对点的显示，以实现图文的精准表达。具体设备详见下表：设备采购清单，带“▲”号的参数为重要条款，负偏离将导致严重扣分；带“★”号的参数为不可负偏离条款，负偏离将导致废标。</w:t>
      </w:r>
    </w:p>
    <w:p>
      <w:pPr>
        <w:tabs>
          <w:tab w:val="left" w:pos="425"/>
        </w:tabs>
        <w:adjustRightInd w:val="0"/>
        <w:snapToGrid w:val="0"/>
        <w:ind w:left="425"/>
        <w:jc w:val="left"/>
        <w:rPr>
          <w:rFonts w:ascii="宋体" w:hAnsi="宋体" w:cs="宋体"/>
          <w:szCs w:val="21"/>
        </w:rPr>
      </w:pPr>
    </w:p>
    <w:p>
      <w:pPr>
        <w:tabs>
          <w:tab w:val="left" w:pos="425"/>
        </w:tabs>
        <w:adjustRightInd w:val="0"/>
        <w:snapToGrid w:val="0"/>
        <w:jc w:val="center"/>
        <w:rPr>
          <w:rFonts w:ascii="宋体" w:hAnsi="宋体" w:cs="宋体"/>
          <w:b/>
          <w:bCs/>
          <w:szCs w:val="21"/>
        </w:rPr>
      </w:pPr>
      <w:r>
        <w:rPr>
          <w:rFonts w:hint="eastAsia" w:ascii="宋体" w:hAnsi="宋体" w:cs="宋体"/>
          <w:b/>
          <w:bCs/>
          <w:szCs w:val="21"/>
        </w:rPr>
        <w:t>4</w:t>
      </w:r>
      <w:r>
        <w:rPr>
          <w:rFonts w:ascii="宋体" w:hAnsi="宋体" w:cs="宋体"/>
          <w:b/>
          <w:bCs/>
          <w:szCs w:val="21"/>
        </w:rPr>
        <w:t>.3</w:t>
      </w:r>
      <w:r>
        <w:rPr>
          <w:rFonts w:hint="eastAsia" w:ascii="宋体" w:hAnsi="宋体" w:cs="宋体"/>
          <w:b/>
          <w:bCs/>
          <w:szCs w:val="21"/>
        </w:rPr>
        <w:t>设备采购清单</w:t>
      </w:r>
    </w:p>
    <w:tbl>
      <w:tblPr>
        <w:tblStyle w:val="54"/>
        <w:tblW w:w="8942" w:type="dxa"/>
        <w:jc w:val="center"/>
        <w:tblLayout w:type="fixed"/>
        <w:tblCellMar>
          <w:top w:w="0" w:type="dxa"/>
          <w:left w:w="108" w:type="dxa"/>
          <w:bottom w:w="0" w:type="dxa"/>
          <w:right w:w="108" w:type="dxa"/>
        </w:tblCellMar>
      </w:tblPr>
      <w:tblGrid>
        <w:gridCol w:w="418"/>
        <w:gridCol w:w="673"/>
        <w:gridCol w:w="6718"/>
        <w:gridCol w:w="554"/>
        <w:gridCol w:w="579"/>
      </w:tblGrid>
      <w:tr>
        <w:tblPrEx>
          <w:tblCellMar>
            <w:top w:w="0" w:type="dxa"/>
            <w:left w:w="108" w:type="dxa"/>
            <w:bottom w:w="0" w:type="dxa"/>
            <w:right w:w="108" w:type="dxa"/>
          </w:tblCellMar>
        </w:tblPrEx>
        <w:trPr>
          <w:trHeight w:val="336" w:hRule="atLeast"/>
          <w:jc w:val="center"/>
        </w:trPr>
        <w:tc>
          <w:tcPr>
            <w:tcW w:w="4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序号</w:t>
            </w:r>
          </w:p>
        </w:tc>
        <w:tc>
          <w:tcPr>
            <w:tcW w:w="67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设备名称</w:t>
            </w:r>
          </w:p>
        </w:tc>
        <w:tc>
          <w:tcPr>
            <w:tcW w:w="671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技术参数要求</w:t>
            </w:r>
          </w:p>
        </w:tc>
        <w:tc>
          <w:tcPr>
            <w:tcW w:w="55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单位</w:t>
            </w:r>
          </w:p>
        </w:tc>
        <w:tc>
          <w:tcPr>
            <w:tcW w:w="57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数量</w:t>
            </w:r>
          </w:p>
        </w:tc>
      </w:tr>
      <w:tr>
        <w:tblPrEx>
          <w:tblCellMar>
            <w:top w:w="0" w:type="dxa"/>
            <w:left w:w="108" w:type="dxa"/>
            <w:bottom w:w="0" w:type="dxa"/>
            <w:right w:w="108" w:type="dxa"/>
          </w:tblCellMar>
        </w:tblPrEx>
        <w:trPr>
          <w:trHeight w:val="336" w:hRule="atLeast"/>
          <w:jc w:val="center"/>
        </w:trPr>
        <w:tc>
          <w:tcPr>
            <w:tcW w:w="418"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1</w:t>
            </w:r>
          </w:p>
        </w:tc>
        <w:tc>
          <w:tcPr>
            <w:tcW w:w="673"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LED显示屏</w:t>
            </w: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1.★像素点间距≤1.25mm；</w:t>
            </w:r>
          </w:p>
        </w:tc>
        <w:tc>
          <w:tcPr>
            <w:tcW w:w="554"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rPr>
                <w:rFonts w:ascii="宋体" w:hAnsi="宋体" w:cs="宋体"/>
                <w:kern w:val="0"/>
                <w:sz w:val="20"/>
                <w:szCs w:val="20"/>
              </w:rPr>
            </w:pPr>
            <w:r>
              <w:rPr>
                <w:rFonts w:hint="eastAsia" w:ascii="宋体" w:hAnsi="宋体" w:cs="宋体"/>
                <w:kern w:val="0"/>
                <w:sz w:val="20"/>
                <w:szCs w:val="20"/>
              </w:rPr>
              <w:t>台</w:t>
            </w:r>
          </w:p>
        </w:tc>
        <w:tc>
          <w:tcPr>
            <w:tcW w:w="579"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4</w:t>
            </w: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2.★单面屏幕尺寸:宽×高≥  2.4 m× 1.35  m；净显示面积≥  3.24平方米；单面屏幕分辨率≥ 1920 ×1080  ；（整屏成品尺寸偏差不得大于2%）；</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3.★封装方式： COB；采用RGB芯片全倒装技术，芯片直接焊在PCB上，散热好；</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4.▲模组面采用高分子材料，透光率高达60%，发光芯片光损耗降低，达到低耗低温升效果，支持HDR3.0高图像动态技术；</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5.▲LED面板设计按共阴原理设计（恒流源输出端驱动LED的阳极，同时一个像素的三个基色R/G/B的阴极在封装时连接在一起），屏体表面温度不超过体温；（需提供CNAS、CMA认可的检测报告复印件，并加盖原厂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6.单元比例:16:9；</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7.▲对比度：20000：1；亮度：50～4500 CD/㎡可选；箱体间/模组间相对错位值＜0.9%；发光点中心距偏差＜0.8%；</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8.视角：水平/垂直≥170°；</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9.箱体平整度≤0.1mm；</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1</w:t>
            </w:r>
            <w:r>
              <w:rPr>
                <w:rFonts w:ascii="宋体" w:hAnsi="宋体" w:cs="宋体"/>
                <w:kern w:val="0"/>
                <w:sz w:val="20"/>
                <w:szCs w:val="20"/>
              </w:rPr>
              <w:t>0</w:t>
            </w:r>
            <w:r>
              <w:rPr>
                <w:rFonts w:hint="eastAsia" w:ascii="宋体" w:hAnsi="宋体" w:cs="宋体"/>
                <w:kern w:val="0"/>
                <w:sz w:val="20"/>
                <w:szCs w:val="20"/>
              </w:rPr>
              <w:t>.换帧频率：50/60/120/240Hz；</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1</w:t>
            </w:r>
            <w:r>
              <w:rPr>
                <w:rFonts w:ascii="宋体" w:hAnsi="宋体" w:cs="宋体"/>
                <w:kern w:val="0"/>
                <w:sz w:val="20"/>
                <w:szCs w:val="20"/>
              </w:rPr>
              <w:t>1</w:t>
            </w:r>
            <w:r>
              <w:rPr>
                <w:rFonts w:hint="eastAsia" w:ascii="宋体" w:hAnsi="宋体" w:cs="宋体"/>
                <w:kern w:val="0"/>
                <w:sz w:val="20"/>
                <w:szCs w:val="20"/>
              </w:rPr>
              <w:t>.刷新率：支持通过配套软件调节刷新率的设置选项，刷新率1920Hz-7680Hz可调；</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1</w:t>
            </w:r>
            <w:r>
              <w:rPr>
                <w:rFonts w:ascii="宋体" w:hAnsi="宋体" w:cs="宋体"/>
                <w:kern w:val="0"/>
                <w:sz w:val="20"/>
                <w:szCs w:val="20"/>
              </w:rPr>
              <w:t>2</w:t>
            </w:r>
            <w:r>
              <w:rPr>
                <w:rFonts w:hint="eastAsia" w:ascii="宋体" w:hAnsi="宋体" w:cs="宋体"/>
                <w:kern w:val="0"/>
                <w:sz w:val="20"/>
                <w:szCs w:val="20"/>
              </w:rPr>
              <w:t>.防护等级：整机防尘达到IP6X,整机灯面防水达到IPX5；</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1</w:t>
            </w:r>
            <w:r>
              <w:rPr>
                <w:rFonts w:ascii="宋体" w:hAnsi="宋体" w:cs="宋体"/>
                <w:kern w:val="0"/>
                <w:sz w:val="20"/>
                <w:szCs w:val="20"/>
              </w:rPr>
              <w:t>3</w:t>
            </w:r>
            <w:r>
              <w:rPr>
                <w:rFonts w:hint="eastAsia" w:ascii="宋体" w:hAnsi="宋体" w:cs="宋体"/>
                <w:kern w:val="0"/>
                <w:sz w:val="20"/>
                <w:szCs w:val="20"/>
              </w:rPr>
              <w:t>.箱体和后盖均为压铸铝合金材质，均为一次性整体压铸成型，背板和后盖均为铸铝合金材质，全金属自然散热结构，无风扇，无孔，防尘、静音设计；（需提供CNAS、CMA认可的检测报告复印件，并加盖原厂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1</w:t>
            </w:r>
            <w:r>
              <w:rPr>
                <w:rFonts w:ascii="宋体" w:hAnsi="宋体" w:cs="宋体"/>
                <w:kern w:val="0"/>
                <w:sz w:val="20"/>
                <w:szCs w:val="20"/>
              </w:rPr>
              <w:t>4</w:t>
            </w:r>
            <w:r>
              <w:rPr>
                <w:rFonts w:hint="eastAsia" w:ascii="宋体" w:hAnsi="宋体" w:cs="宋体"/>
                <w:kern w:val="0"/>
                <w:sz w:val="20"/>
                <w:szCs w:val="20"/>
              </w:rPr>
              <w:t>.最大功耗(W) ≤350W/㎡；平均功耗(W) ≤110W/㎡； （需提供CNAS、CMA认可的检测报告复印件，并加盖原厂公章。）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1</w:t>
            </w:r>
            <w:r>
              <w:rPr>
                <w:rFonts w:ascii="宋体" w:hAnsi="宋体" w:cs="宋体"/>
                <w:kern w:val="0"/>
                <w:sz w:val="20"/>
                <w:szCs w:val="20"/>
              </w:rPr>
              <w:t>5</w:t>
            </w:r>
            <w:r>
              <w:rPr>
                <w:rFonts w:hint="eastAsia" w:ascii="宋体" w:hAnsi="宋体" w:cs="宋体"/>
                <w:kern w:val="0"/>
                <w:sz w:val="20"/>
                <w:szCs w:val="20"/>
              </w:rPr>
              <w:t>.在环境温度为45°的条件下，将屏体调到最大亮度白色连续工作8小时，表面温升小于20℃（温升20K）；</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1</w:t>
            </w:r>
            <w:r>
              <w:rPr>
                <w:rFonts w:ascii="宋体" w:hAnsi="宋体" w:cs="宋体"/>
                <w:kern w:val="0"/>
                <w:sz w:val="20"/>
                <w:szCs w:val="20"/>
              </w:rPr>
              <w:t>6</w:t>
            </w:r>
            <w:r>
              <w:rPr>
                <w:rFonts w:hint="eastAsia" w:ascii="宋体" w:hAnsi="宋体" w:cs="宋体"/>
                <w:kern w:val="0"/>
                <w:sz w:val="20"/>
                <w:szCs w:val="20"/>
              </w:rPr>
              <w:t>.▲模组、接收卡与主板采用硬接口设计，板对板设计，无排线，支持直接插拔，接插件镀金&gt;501厚度模组浮动式接插件，模组和驱动板之间采用浮动式接插件，具有嵌合纠偏功能，使连接更稳定；（需提供CNAS、CMA认可的检测报告复印件，并加盖原厂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ascii="宋体" w:hAnsi="宋体" w:cs="宋体"/>
                <w:kern w:val="0"/>
                <w:sz w:val="20"/>
                <w:szCs w:val="20"/>
              </w:rPr>
              <w:t>17</w:t>
            </w:r>
            <w:r>
              <w:rPr>
                <w:rFonts w:hint="eastAsia" w:ascii="宋体" w:hAnsi="宋体" w:cs="宋体"/>
                <w:kern w:val="0"/>
                <w:sz w:val="20"/>
                <w:szCs w:val="20"/>
              </w:rPr>
              <w:t>.抗拉强度＞200Mpa，屈服强度＞200Mpa，硬度&gt;80HBS；</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ascii="宋体" w:hAnsi="宋体" w:cs="宋体"/>
                <w:kern w:val="0"/>
                <w:sz w:val="20"/>
                <w:szCs w:val="20"/>
              </w:rPr>
              <w:t>18</w:t>
            </w:r>
            <w:r>
              <w:rPr>
                <w:rFonts w:hint="eastAsia" w:ascii="宋体" w:hAnsi="宋体" w:cs="宋体"/>
                <w:kern w:val="0"/>
                <w:sz w:val="20"/>
                <w:szCs w:val="20"/>
              </w:rPr>
              <w:t>.支持单点亮度/颜色校正；</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ascii="宋体" w:hAnsi="宋体" w:cs="宋体"/>
                <w:kern w:val="0"/>
                <w:sz w:val="20"/>
                <w:szCs w:val="20"/>
              </w:rPr>
              <w:t>19</w:t>
            </w:r>
            <w:r>
              <w:rPr>
                <w:rFonts w:hint="eastAsia" w:ascii="宋体" w:hAnsi="宋体" w:cs="宋体"/>
                <w:kern w:val="0"/>
                <w:sz w:val="20"/>
                <w:szCs w:val="20"/>
              </w:rPr>
              <w:t>.支持AdobeRGB\117%NTSC\DCI-P3\BT2020色域；</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ascii="宋体" w:hAnsi="宋体" w:cs="宋体"/>
                <w:kern w:val="0"/>
                <w:sz w:val="20"/>
                <w:szCs w:val="20"/>
              </w:rPr>
              <w:t>20</w:t>
            </w:r>
            <w:r>
              <w:rPr>
                <w:rFonts w:hint="eastAsia" w:ascii="宋体" w:hAnsi="宋体" w:cs="宋体"/>
                <w:kern w:val="0"/>
                <w:sz w:val="20"/>
                <w:szCs w:val="20"/>
              </w:rPr>
              <w:t>.平均无故障时间≥150000小时；</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ascii="宋体" w:hAnsi="宋体" w:cs="宋体"/>
                <w:kern w:val="0"/>
                <w:sz w:val="20"/>
                <w:szCs w:val="20"/>
              </w:rPr>
              <w:t>21</w:t>
            </w:r>
            <w:r>
              <w:rPr>
                <w:rFonts w:hint="eastAsia" w:ascii="宋体" w:hAnsi="宋体" w:cs="宋体"/>
                <w:kern w:val="0"/>
                <w:sz w:val="20"/>
                <w:szCs w:val="20"/>
              </w:rPr>
              <w:t>.产品PCB板、单元塑料面板料单元整体符合着火危险（GBT 5169.16-2008标准测试）V-0级；（需提供CNAS、CMA认可的检测报告复印件，并加盖原厂公章。）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2</w:t>
            </w:r>
            <w:r>
              <w:rPr>
                <w:rFonts w:ascii="宋体" w:hAnsi="宋体" w:cs="宋体"/>
                <w:kern w:val="0"/>
                <w:sz w:val="20"/>
                <w:szCs w:val="20"/>
              </w:rPr>
              <w:t>2</w:t>
            </w:r>
            <w:r>
              <w:rPr>
                <w:rFonts w:hint="eastAsia" w:ascii="宋体" w:hAnsi="宋体" w:cs="宋体"/>
                <w:kern w:val="0"/>
                <w:sz w:val="20"/>
                <w:szCs w:val="20"/>
              </w:rPr>
              <w:t>.所投屏体须通过CCC强制认证，不接受OEM产品，并提供证书复印件加盖原厂公章。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2</w:t>
            </w:r>
            <w:r>
              <w:rPr>
                <w:rFonts w:ascii="宋体" w:hAnsi="宋体" w:cs="宋体"/>
                <w:kern w:val="0"/>
                <w:sz w:val="20"/>
                <w:szCs w:val="20"/>
              </w:rPr>
              <w:t>3</w:t>
            </w:r>
            <w:r>
              <w:rPr>
                <w:rFonts w:hint="eastAsia" w:ascii="宋体" w:hAnsi="宋体" w:cs="宋体"/>
                <w:kern w:val="0"/>
                <w:sz w:val="20"/>
                <w:szCs w:val="20"/>
              </w:rPr>
              <w:t>. 产品具有中国环境标志（II型）认证证书，提供证书复印件并加盖公章；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2</w:t>
            </w:r>
          </w:p>
        </w:tc>
        <w:tc>
          <w:tcPr>
            <w:tcW w:w="67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拼接控制器</w:t>
            </w: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1.平均无故障时间（MTBF）＞100000小时，保证设备正常稳定运行。</w:t>
            </w:r>
          </w:p>
        </w:tc>
        <w:tc>
          <w:tcPr>
            <w:tcW w:w="554"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套</w:t>
            </w:r>
          </w:p>
        </w:tc>
        <w:tc>
          <w:tcPr>
            <w:tcW w:w="579"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4</w:t>
            </w: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2.支持SDI、HDMI、VGA、CVBS、YPbPr、IP、DVI、HDBae等信号混合输入，输出支持DVI、HDMI、VGA、Dual-link DVI、SDI、HDBaseT等信号。</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3.图像开窗/关闭功能： 支持在任一输出通道打开多个窗口， 显示图像内容，单屏最多可开 16 个 窗口。支持有线、无线各客户端。</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4.窗口叠加功能：支持已开窗 窗口任意互相叠加，支持有 线、无线各客户端。</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5.支持4:4:4图像无损处理，不丢失任何像素细节，内部处理信号不丢不降帧，任何分辨率下60HZ不丢帧。</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6.支持自适应动态灰度PMC功能，扩展亮度动态范围，提升图片色彩与层次，最大16级可调。（需提供CNAS、CMA认可的检测报告复印件，并加盖原厂公章。）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7.电源插头或电源引入端与外壳裸露 金属部件之间，应能承受 1.5kV 交流电压，历时1min 的抗电强度试验， 应无击穿和飞狐现象。（需提供CNAS、CMA认可的检测报告复印件，并加盖原厂公章。）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8.支持区域色彩校正，可分区域调节图像色彩，区域的位置和尺寸可自定义，可同时对32块区域分别进行调节。（需提供CNAS、CMA认可的检测报告复印件，并加盖原厂公章。）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9.支持智能数字电源实时监控，实时监控设备的电压、电流、温度等电器参数。</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10. ▲支持协作办公功能：支持一键推送，数据共享功能、支持一键抓取，获取操作功能、支持一键上屏，对信息进行分析；（需提供CNAS、CMA认可的检测报告复印件，并加盖原厂公章。）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11.处理器与显示屏产家为同一品牌，提供3C证书复印件加盖原厂公章。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3</w:t>
            </w:r>
          </w:p>
        </w:tc>
        <w:tc>
          <w:tcPr>
            <w:tcW w:w="67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配电柜</w:t>
            </w: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1.三相配电系统，功率≥50KW ；</w:t>
            </w:r>
          </w:p>
        </w:tc>
        <w:tc>
          <w:tcPr>
            <w:tcW w:w="554"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套</w:t>
            </w:r>
          </w:p>
        </w:tc>
        <w:tc>
          <w:tcPr>
            <w:tcW w:w="579"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4</w:t>
            </w: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2.具有过载、过流、过载保护；</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3.通过定制软件控制电源系统的开关,具有温湿度采集；</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4.通过PLC可设定任意时间开启和关闭LED显示屏电源；</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5.通过PLC可设定任意时间关闭计算。</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6.所投智能配电管理系统软件与LED屏体为同一厂家，提供软件著作权证书复印件并加盖公章。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4</w:t>
            </w:r>
          </w:p>
        </w:tc>
        <w:tc>
          <w:tcPr>
            <w:tcW w:w="67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钢结构及线材</w:t>
            </w: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1.钢结构根据用户现场定制，由LED原厂负责实施；</w:t>
            </w:r>
          </w:p>
        </w:tc>
        <w:tc>
          <w:tcPr>
            <w:tcW w:w="554"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项</w:t>
            </w:r>
          </w:p>
        </w:tc>
        <w:tc>
          <w:tcPr>
            <w:tcW w:w="5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4</w:t>
            </w: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2.辅材根据现场实际安装环境和走线路由配置相应配件和辅材（包括强电线缆、信号线缆等）。</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5</w:t>
            </w:r>
          </w:p>
        </w:tc>
        <w:tc>
          <w:tcPr>
            <w:tcW w:w="67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大屏幕                          控制管理运维软件</w:t>
            </w: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1.▲为了保证系统的可靠性、兼容性、快速对接工期要求及后期平滑升级，投标方所提供的控制管理软件与小间距LED显示屏为同一厂家产品，支持对拼接控制器、矩阵联动控制，一键调看指定信号。软件支持在地图上显示项目的区域分布信息，用户能通过点击下拉图标，显示其所分配的项目的信息列表，软件具备设备信息可视化，能对LED显示屏系统，控制系统设备的信息以动态效果呈现，（需提供CNAS、CMA认可的检测报告复印件，软件著作权证书复印件、软件产品登记测试报告、LED显示屏CCC强制认证证书复印件佐证，并加盖原厂公章）。</w:t>
            </w:r>
          </w:p>
        </w:tc>
        <w:tc>
          <w:tcPr>
            <w:tcW w:w="554"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0"/>
                <w:szCs w:val="20"/>
              </w:rPr>
            </w:pPr>
            <w:r>
              <w:rPr>
                <w:rFonts w:hint="eastAsia" w:ascii="宋体" w:hAnsi="宋体" w:cs="宋体"/>
                <w:kern w:val="0"/>
                <w:sz w:val="20"/>
                <w:szCs w:val="20"/>
              </w:rPr>
              <w:t>项</w:t>
            </w:r>
          </w:p>
        </w:tc>
        <w:tc>
          <w:tcPr>
            <w:tcW w:w="5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4</w:t>
            </w: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2.▲考虑到系统兼容性和后期软件定制开发需求，显示屏产家需要具备软件开发能力，软件能力成熟度达CMMI5以上（含CMMI5）。（提供复印件加盖原厂公章。）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3.软件具备对显示屏、拼接控制器、LED播放控制器、PLC配电箱、矩阵等设备进行集成控制的能力。（需提供CNAS、CMA认可的检测报告复印件，并加盖原厂公章。）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ascii="宋体" w:hAnsi="宋体" w:cs="宋体"/>
                <w:kern w:val="0"/>
                <w:sz w:val="20"/>
                <w:szCs w:val="20"/>
              </w:rPr>
              <w:t>4</w:t>
            </w:r>
            <w:r>
              <w:rPr>
                <w:rFonts w:hint="eastAsia" w:ascii="宋体" w:hAnsi="宋体" w:cs="宋体"/>
                <w:kern w:val="0"/>
                <w:sz w:val="20"/>
                <w:szCs w:val="20"/>
              </w:rPr>
              <w:t>.支持免浏览器访问拼接控制器WEB页；</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ascii="宋体" w:hAnsi="宋体" w:cs="宋体"/>
                <w:kern w:val="0"/>
                <w:sz w:val="20"/>
                <w:szCs w:val="20"/>
              </w:rPr>
              <w:t>5</w:t>
            </w:r>
            <w:r>
              <w:rPr>
                <w:rFonts w:hint="eastAsia" w:ascii="宋体" w:hAnsi="宋体" w:cs="宋体"/>
                <w:kern w:val="0"/>
                <w:sz w:val="20"/>
                <w:szCs w:val="20"/>
              </w:rPr>
              <w:t>.要求软件具备用户及权限管理功能，不同权限用户具备相应的管理、操作权限。</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ascii="宋体" w:hAnsi="宋体" w:cs="宋体"/>
                <w:kern w:val="0"/>
                <w:sz w:val="20"/>
                <w:szCs w:val="20"/>
              </w:rPr>
              <w:t>6</w:t>
            </w:r>
            <w:r>
              <w:rPr>
                <w:rFonts w:hint="eastAsia" w:ascii="宋体" w:hAnsi="宋体" w:cs="宋体"/>
                <w:kern w:val="0"/>
                <w:sz w:val="20"/>
                <w:szCs w:val="20"/>
              </w:rPr>
              <w:t>.软件需具备设备状态监控及告警功能，监控发送卡输入源连接状态、接收卡温度、电压，监控信息显示，导出监控信息，监控信息实时刷新，监控信息邮件通知，告警设置和显示。（需提供CNAS、CMA认可的检测报告复印件，并加盖原厂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ascii="宋体" w:hAnsi="宋体" w:cs="宋体"/>
                <w:kern w:val="0"/>
                <w:sz w:val="20"/>
                <w:szCs w:val="20"/>
              </w:rPr>
              <w:t>7</w:t>
            </w:r>
            <w:r>
              <w:rPr>
                <w:rFonts w:hint="eastAsia" w:ascii="宋体" w:hAnsi="宋体" w:cs="宋体"/>
                <w:kern w:val="0"/>
                <w:sz w:val="20"/>
                <w:szCs w:val="20"/>
              </w:rPr>
              <w:t>.支持单台、多台发送卡级联控制，获取输入源连接状态、接收卡温度、电压等信息；支持调节发送卡亮度、色温和设置分辨率。（需提供CNAS、CMA认可的检测报告复印件，并加盖原厂公章。）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ascii="宋体" w:hAnsi="宋体" w:cs="宋体"/>
                <w:kern w:val="0"/>
                <w:sz w:val="20"/>
                <w:szCs w:val="20"/>
              </w:rPr>
              <w:t>8</w:t>
            </w:r>
            <w:r>
              <w:rPr>
                <w:rFonts w:hint="eastAsia" w:ascii="宋体" w:hAnsi="宋体" w:cs="宋体"/>
                <w:kern w:val="0"/>
                <w:sz w:val="20"/>
                <w:szCs w:val="20"/>
              </w:rPr>
              <w:t>.软件可对PLC配电箱单台控制或多台级联控制，添加显示屏时可选择指定的线路，单独控制每条线路的开关，支持大屏系统一键开关机，设置定时开关机。（需提供CNAS、CMA认可的检测报告复印件，并加盖原厂公章。）</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r>
              <w:rPr>
                <w:rFonts w:ascii="宋体" w:hAnsi="宋体" w:cs="宋体"/>
                <w:kern w:val="0"/>
                <w:sz w:val="20"/>
                <w:szCs w:val="20"/>
              </w:rPr>
              <w:t>9</w:t>
            </w:r>
            <w:r>
              <w:rPr>
                <w:rFonts w:hint="eastAsia" w:ascii="宋体" w:hAnsi="宋体" w:cs="宋体"/>
                <w:kern w:val="0"/>
                <w:sz w:val="20"/>
                <w:szCs w:val="20"/>
              </w:rPr>
              <w:t>.支持管理界面布局，自动保存当前界面布局，虚拟仿真显示大屏。</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336" w:hRule="atLeast"/>
          <w:jc w:val="center"/>
        </w:trPr>
        <w:tc>
          <w:tcPr>
            <w:tcW w:w="41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3"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6718" w:type="dxa"/>
            <w:tcBorders>
              <w:top w:val="nil"/>
              <w:left w:val="nil"/>
              <w:bottom w:val="single" w:color="auto" w:sz="4" w:space="0"/>
              <w:right w:val="single" w:color="auto" w:sz="4" w:space="0"/>
            </w:tcBorders>
            <w:shd w:val="clear" w:color="auto" w:fill="auto"/>
            <w:vAlign w:val="center"/>
          </w:tcPr>
          <w:p>
            <w:pPr>
              <w:widowControl/>
              <w:rPr>
                <w:rFonts w:ascii="宋体" w:hAnsi="宋体" w:cs="宋体"/>
                <w:kern w:val="0"/>
                <w:sz w:val="20"/>
                <w:szCs w:val="20"/>
              </w:rPr>
            </w:pPr>
            <w:r>
              <w:rPr>
                <w:rFonts w:hint="eastAsia" w:ascii="宋体" w:hAnsi="宋体" w:cs="宋体"/>
                <w:kern w:val="0"/>
                <w:sz w:val="20"/>
                <w:szCs w:val="20"/>
              </w:rPr>
              <w:t>1</w:t>
            </w:r>
            <w:r>
              <w:rPr>
                <w:rFonts w:ascii="宋体" w:hAnsi="宋体" w:cs="宋体"/>
                <w:kern w:val="0"/>
                <w:sz w:val="20"/>
                <w:szCs w:val="20"/>
              </w:rPr>
              <w:t>0</w:t>
            </w:r>
            <w:r>
              <w:rPr>
                <w:rFonts w:hint="eastAsia" w:ascii="宋体" w:hAnsi="宋体" w:cs="宋体"/>
                <w:kern w:val="0"/>
                <w:sz w:val="20"/>
                <w:szCs w:val="20"/>
              </w:rPr>
              <w:t>. 软件需具备第三方视频平台对接能力，获取摄像头信息数据，切换解码矩阵视频信号。</w:t>
            </w:r>
          </w:p>
        </w:tc>
        <w:tc>
          <w:tcPr>
            <w:tcW w:w="55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p>
        </w:tc>
        <w:tc>
          <w:tcPr>
            <w:tcW w:w="57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p>
        </w:tc>
      </w:tr>
    </w:tbl>
    <w:p>
      <w:pPr>
        <w:tabs>
          <w:tab w:val="left" w:pos="425"/>
        </w:tabs>
        <w:adjustRightInd w:val="0"/>
        <w:snapToGrid w:val="0"/>
        <w:ind w:left="425"/>
        <w:jc w:val="left"/>
        <w:rPr>
          <w:rFonts w:ascii="宋体" w:hAnsi="宋体" w:cs="宋体"/>
          <w:szCs w:val="21"/>
        </w:rPr>
      </w:pPr>
    </w:p>
    <w:p>
      <w:pPr>
        <w:tabs>
          <w:tab w:val="left" w:pos="420"/>
          <w:tab w:val="left" w:pos="540"/>
          <w:tab w:val="left" w:pos="574"/>
        </w:tabs>
        <w:adjustRightInd w:val="0"/>
        <w:snapToGrid w:val="0"/>
        <w:spacing w:before="120" w:beforeLines="50" w:after="120" w:afterLines="50"/>
        <w:jc w:val="left"/>
        <w:outlineLvl w:val="0"/>
        <w:rPr>
          <w:rFonts w:ascii="宋体" w:hAnsi="宋体" w:cs="宋体"/>
          <w:b/>
          <w:szCs w:val="21"/>
        </w:rPr>
      </w:pPr>
      <w:r>
        <w:rPr>
          <w:rFonts w:hint="eastAsia" w:ascii="宋体" w:hAnsi="宋体" w:cs="宋体"/>
          <w:b/>
          <w:szCs w:val="21"/>
        </w:rPr>
        <w:t>4</w:t>
      </w:r>
      <w:r>
        <w:rPr>
          <w:rFonts w:ascii="宋体" w:hAnsi="宋体" w:cs="宋体"/>
          <w:b/>
          <w:szCs w:val="21"/>
        </w:rPr>
        <w:t>.4</w:t>
      </w:r>
      <w:r>
        <w:rPr>
          <w:rFonts w:hint="eastAsia" w:ascii="宋体" w:hAnsi="宋体" w:cs="宋体"/>
          <w:b/>
          <w:szCs w:val="21"/>
        </w:rPr>
        <w:t>项目验收程序、标准</w:t>
      </w:r>
    </w:p>
    <w:p>
      <w:pPr>
        <w:adjustRightInd w:val="0"/>
        <w:snapToGrid w:val="0"/>
        <w:jc w:val="left"/>
        <w:rPr>
          <w:rFonts w:ascii="宋体" w:hAnsi="宋体" w:cs="宋体"/>
          <w:szCs w:val="21"/>
        </w:rPr>
      </w:pPr>
      <w:r>
        <w:rPr>
          <w:rFonts w:hint="eastAsia" w:ascii="宋体" w:hAnsi="宋体" w:cs="宋体"/>
          <w:szCs w:val="21"/>
        </w:rPr>
        <w:t>4</w:t>
      </w:r>
      <w:r>
        <w:rPr>
          <w:rFonts w:ascii="宋体" w:hAnsi="宋体" w:cs="宋体"/>
          <w:szCs w:val="21"/>
        </w:rPr>
        <w:t>.4.1</w:t>
      </w:r>
      <w:r>
        <w:rPr>
          <w:rFonts w:hint="eastAsia" w:ascii="宋体" w:hAnsi="宋体" w:cs="宋体"/>
          <w:szCs w:val="21"/>
        </w:rPr>
        <w:t>中标方货到并验收合格后，签署到货验收报告，产品保修期自项目验收合格之日起算，由中标方提供产品保修文件。</w:t>
      </w:r>
    </w:p>
    <w:p>
      <w:r>
        <w:rPr>
          <w:rFonts w:hint="eastAsia"/>
        </w:rPr>
        <w:t>a、签订合同后20个自然日内，交货期是指所有货物运抵现场安装调试完毕后交付用户验收的日期。</w:t>
      </w:r>
    </w:p>
    <w:p>
      <w:r>
        <w:rPr>
          <w:rFonts w:hint="eastAsia"/>
        </w:rPr>
        <w:t>b、交货地点：</w:t>
      </w:r>
      <w:r>
        <w:rPr>
          <w:rFonts w:hint="eastAsia" w:ascii="宋体" w:hAnsi="宋体"/>
          <w:szCs w:val="21"/>
        </w:rPr>
        <w:t>深圳市规划国土发展研究中心</w:t>
      </w:r>
    </w:p>
    <w:p>
      <w:r>
        <w:rPr>
          <w:rFonts w:hint="eastAsia"/>
        </w:rPr>
        <w:t>c、中标方必须承担的设备运输、安装调试、验收检测和提供设备操作说明书、图纸等其他类似的义务。</w:t>
      </w:r>
    </w:p>
    <w:p>
      <w:r>
        <w:rPr>
          <w:rFonts w:hint="eastAsia"/>
        </w:rPr>
        <w:t>d、货物运输及包装方式要求：合同中所有的货物均须由中标供应商自行运往设备安装场所，不论设备从何处购置、采用何种方式运输，采购方不承担任何责任及相关费用。中标供应商应当自行处理货物质量和数量短缺等问题。包装以保证货物的完好无损为标准。</w:t>
      </w:r>
    </w:p>
    <w:p>
      <w:r>
        <w:rPr>
          <w:rFonts w:hint="eastAsia"/>
        </w:rPr>
        <w:t>4</w:t>
      </w:r>
      <w:r>
        <w:t>.4.2</w:t>
      </w:r>
      <w:r>
        <w:rPr>
          <w:rFonts w:hint="eastAsia"/>
        </w:rPr>
        <w:t>条件时，采购方才向中标人签发项目验收报告：</w:t>
      </w:r>
    </w:p>
    <w:p>
      <w:r>
        <w:rPr>
          <w:rFonts w:hint="eastAsia"/>
        </w:rPr>
        <w:t>a、中标方已按照合同规定提供了全部产品及完整的技术资料。</w:t>
      </w:r>
    </w:p>
    <w:p>
      <w:r>
        <w:rPr>
          <w:rFonts w:hint="eastAsia"/>
        </w:rPr>
        <w:t>b、货物符合招标文件技术规格书的要求，性能满足要求。</w:t>
      </w:r>
    </w:p>
    <w:p>
      <w:r>
        <w:rPr>
          <w:rFonts w:hint="eastAsia"/>
        </w:rPr>
        <w:t>c、货物具备产品合格证。</w:t>
      </w:r>
    </w:p>
    <w:p>
      <w:r>
        <w:rPr>
          <w:rFonts w:hint="eastAsia"/>
        </w:rPr>
        <w:t>d、所有设备、软件按实施方案安装调试后，功能上满足采购方的需求。</w:t>
      </w:r>
    </w:p>
    <w:p>
      <w:pPr>
        <w:tabs>
          <w:tab w:val="left" w:pos="425"/>
        </w:tabs>
        <w:adjustRightInd w:val="0"/>
        <w:snapToGrid w:val="0"/>
        <w:jc w:val="left"/>
        <w:rPr>
          <w:rFonts w:ascii="宋体" w:hAnsi="宋体" w:cs="宋体"/>
          <w:szCs w:val="21"/>
        </w:rPr>
      </w:pPr>
    </w:p>
    <w:p>
      <w:pPr>
        <w:tabs>
          <w:tab w:val="left" w:pos="420"/>
          <w:tab w:val="left" w:pos="540"/>
          <w:tab w:val="left" w:pos="574"/>
        </w:tabs>
        <w:adjustRightInd w:val="0"/>
        <w:snapToGrid w:val="0"/>
        <w:spacing w:before="120" w:beforeLines="50" w:after="120" w:afterLines="50"/>
        <w:ind w:left="-420" w:firstLine="422" w:firstLineChars="200"/>
        <w:jc w:val="left"/>
        <w:outlineLvl w:val="0"/>
        <w:rPr>
          <w:rFonts w:ascii="宋体" w:hAnsi="宋体" w:cs="宋体"/>
          <w:b/>
          <w:szCs w:val="21"/>
        </w:rPr>
      </w:pPr>
      <w:r>
        <w:rPr>
          <w:rFonts w:hint="eastAsia" w:ascii="宋体" w:hAnsi="宋体" w:cs="宋体"/>
          <w:b/>
          <w:szCs w:val="21"/>
        </w:rPr>
        <w:t>4</w:t>
      </w:r>
      <w:r>
        <w:rPr>
          <w:rFonts w:ascii="宋体" w:hAnsi="宋体" w:cs="宋体"/>
          <w:b/>
          <w:szCs w:val="21"/>
        </w:rPr>
        <w:t>.5</w:t>
      </w:r>
      <w:r>
        <w:rPr>
          <w:rFonts w:hint="eastAsia" w:ascii="宋体" w:hAnsi="宋体" w:cs="宋体"/>
          <w:b/>
          <w:szCs w:val="21"/>
        </w:rPr>
        <w:t>保修或售后服务要求</w:t>
      </w:r>
    </w:p>
    <w:p>
      <w:pPr>
        <w:tabs>
          <w:tab w:val="left" w:pos="425"/>
        </w:tabs>
        <w:adjustRightInd w:val="0"/>
        <w:snapToGrid w:val="0"/>
        <w:spacing w:before="120" w:beforeLines="50" w:after="120" w:afterLines="50"/>
        <w:jc w:val="left"/>
        <w:rPr>
          <w:rFonts w:ascii="宋体" w:hAnsi="宋体" w:cs="宋体"/>
          <w:szCs w:val="21"/>
        </w:rPr>
      </w:pPr>
      <w:r>
        <w:rPr>
          <w:rFonts w:hint="eastAsia" w:ascii="宋体" w:hAnsi="宋体" w:cs="宋体"/>
          <w:szCs w:val="21"/>
        </w:rPr>
        <w:t>1、维修响应及故障解决时间: 在保修期内，中标方提供每周7×12小时电话支持服务，一旦发生故障，中标方保证在接到通知后10分钟内响应，如远程无法解决，30分钟内内应派工程师赶到现场提供免费服务，直至问题解决。采购方若有重大会议前安排专业技人员进行会前巡检工作，中标方应派技术人员驻场提供现场服务保障。</w:t>
      </w:r>
    </w:p>
    <w:p>
      <w:pPr>
        <w:tabs>
          <w:tab w:val="left" w:pos="425"/>
        </w:tabs>
        <w:adjustRightInd w:val="0"/>
        <w:snapToGrid w:val="0"/>
        <w:spacing w:before="120" w:beforeLines="50" w:after="120" w:afterLines="50"/>
        <w:jc w:val="left"/>
        <w:rPr>
          <w:rFonts w:ascii="宋体" w:hAnsi="宋体" w:cs="宋体"/>
          <w:szCs w:val="21"/>
        </w:rPr>
      </w:pPr>
      <w:r>
        <w:rPr>
          <w:rFonts w:hint="eastAsia" w:ascii="宋体" w:hAnsi="宋体" w:cs="宋体"/>
          <w:szCs w:val="21"/>
        </w:rPr>
        <w:t>2、质量保证标准和保修期: 硬件设备按原厂质量技术标准提供一年质量保证；提供壹年的免费维护服务，保修期内免费提供软件版本升级、设备维修服务，时间自最终验收合格之日起。</w:t>
      </w:r>
    </w:p>
    <w:p>
      <w:pPr>
        <w:tabs>
          <w:tab w:val="left" w:pos="425"/>
        </w:tabs>
        <w:adjustRightInd w:val="0"/>
        <w:snapToGrid w:val="0"/>
        <w:spacing w:before="120" w:beforeLines="50" w:after="120" w:afterLines="50"/>
        <w:jc w:val="left"/>
        <w:rPr>
          <w:rFonts w:ascii="宋体" w:hAnsi="宋体" w:cs="宋体"/>
          <w:szCs w:val="21"/>
        </w:rPr>
      </w:pPr>
      <w:r>
        <w:rPr>
          <w:rFonts w:hint="eastAsia" w:ascii="宋体" w:hAnsi="宋体" w:cs="宋体"/>
          <w:szCs w:val="21"/>
        </w:rPr>
        <w:t>3、培训: 中标方须按照招标方要求免费提供相关操作及简单故障处理培训。</w:t>
      </w:r>
    </w:p>
    <w:p>
      <w:pPr>
        <w:tabs>
          <w:tab w:val="left" w:pos="425"/>
        </w:tabs>
        <w:adjustRightInd w:val="0"/>
        <w:snapToGrid w:val="0"/>
        <w:spacing w:before="120" w:beforeLines="50" w:after="120" w:afterLines="50"/>
        <w:jc w:val="left"/>
        <w:rPr>
          <w:rFonts w:ascii="宋体" w:hAnsi="宋体" w:cs="宋体"/>
          <w:b/>
          <w:szCs w:val="21"/>
        </w:rPr>
      </w:pPr>
      <w:r>
        <w:rPr>
          <w:rFonts w:hint="eastAsia" w:ascii="宋体" w:hAnsi="宋体" w:cs="宋体"/>
          <w:b/>
          <w:szCs w:val="21"/>
        </w:rPr>
        <w:t>4.6付款方式</w:t>
      </w:r>
    </w:p>
    <w:p>
      <w:pPr>
        <w:adjustRightInd w:val="0"/>
        <w:snapToGrid w:val="0"/>
        <w:ind w:firstLine="420" w:firstLineChars="200"/>
        <w:jc w:val="left"/>
        <w:rPr>
          <w:rFonts w:ascii="宋体" w:hAnsi="宋体"/>
          <w:szCs w:val="21"/>
        </w:rPr>
      </w:pPr>
      <w:r>
        <w:rPr>
          <w:rFonts w:hint="eastAsia" w:ascii="宋体" w:hAnsi="宋体" w:cs="宋体"/>
          <w:szCs w:val="21"/>
        </w:rPr>
        <w:t>采购合同签订后，中标方提供合同总金额的30 %相应的增值税专用发票，采购单位向中标方支付合同总金额的30 %，完成设备材料入库到货验收安装调试完成，经采购单位组织验收合格后，中标方提供合同总金额的65%相应的增值税专用发票，采购单位支付合同总金额的 65%，余下5%作为项目质量保证金，于一年质保期满后，中标方按合同要求完成相应的售后服务并提供5%相应的增值税专用发票，由采购单位确认后支付完成。</w:t>
      </w:r>
    </w:p>
    <w:p>
      <w:pPr>
        <w:tabs>
          <w:tab w:val="left" w:pos="420"/>
          <w:tab w:val="left" w:pos="540"/>
          <w:tab w:val="left" w:pos="574"/>
        </w:tabs>
        <w:adjustRightInd w:val="0"/>
        <w:snapToGrid w:val="0"/>
        <w:spacing w:before="120" w:beforeLines="50" w:after="120" w:afterLines="50"/>
        <w:jc w:val="left"/>
        <w:outlineLvl w:val="0"/>
        <w:rPr>
          <w:rFonts w:ascii="宋体" w:hAnsi="宋体" w:cs="宋体"/>
          <w:b/>
          <w:szCs w:val="21"/>
        </w:rPr>
      </w:pPr>
      <w:r>
        <w:rPr>
          <w:rFonts w:hint="eastAsia" w:ascii="宋体" w:hAnsi="宋体" w:cs="宋体"/>
          <w:b/>
          <w:szCs w:val="21"/>
        </w:rPr>
        <w:t>4</w:t>
      </w:r>
      <w:r>
        <w:rPr>
          <w:rFonts w:ascii="宋体" w:hAnsi="宋体" w:cs="宋体"/>
          <w:b/>
          <w:szCs w:val="21"/>
        </w:rPr>
        <w:t>.7</w:t>
      </w:r>
      <w:r>
        <w:rPr>
          <w:rFonts w:hint="eastAsia" w:ascii="宋体" w:hAnsi="宋体" w:cs="宋体"/>
          <w:b/>
          <w:szCs w:val="21"/>
        </w:rPr>
        <w:t>投标报价</w:t>
      </w:r>
    </w:p>
    <w:p>
      <w:pPr>
        <w:jc w:val="left"/>
        <w:rPr>
          <w:rFonts w:ascii="宋体" w:hAnsi="宋体" w:cs="宋体"/>
          <w:szCs w:val="21"/>
        </w:rPr>
      </w:pPr>
      <w:r>
        <w:rPr>
          <w:rFonts w:hint="eastAsia" w:ascii="宋体" w:hAnsi="宋体" w:cs="宋体"/>
          <w:szCs w:val="21"/>
        </w:rPr>
        <w:t>1、本项目预算金额：人民币800</w:t>
      </w:r>
      <w:r>
        <w:rPr>
          <w:rFonts w:hint="eastAsia" w:ascii="宋体" w:hAnsi="宋体" w:cs="宋体"/>
          <w:szCs w:val="21"/>
          <w:lang w:val="en-US" w:eastAsia="zh-CN"/>
        </w:rPr>
        <w:t>,</w:t>
      </w:r>
      <w:r>
        <w:rPr>
          <w:rFonts w:hint="eastAsia" w:ascii="宋体" w:hAnsi="宋体" w:cs="宋体"/>
          <w:szCs w:val="21"/>
        </w:rPr>
        <w:t>000.00元，响应报价超过预算金额的视为无效响应。</w:t>
      </w:r>
    </w:p>
    <w:p>
      <w:pPr>
        <w:jc w:val="left"/>
        <w:rPr>
          <w:rFonts w:ascii="宋体" w:hAnsi="宋体" w:cs="宋体"/>
          <w:szCs w:val="21"/>
        </w:rPr>
      </w:pPr>
      <w:r>
        <w:rPr>
          <w:rFonts w:hint="eastAsia" w:ascii="宋体" w:hAnsi="宋体" w:cs="宋体"/>
          <w:szCs w:val="21"/>
        </w:rPr>
        <w:t>2、响应总价必须是完成该项目的一切费用总和，包括设备费、运输费、装卸费、保险费、技术培训费、设备安装费、调试费、售后服务费、国家规定的各项税费等。</w:t>
      </w:r>
    </w:p>
    <w:p>
      <w:pPr>
        <w:jc w:val="left"/>
        <w:rPr>
          <w:rFonts w:ascii="宋体" w:hAnsi="宋体"/>
          <w:szCs w:val="21"/>
        </w:rPr>
      </w:pPr>
    </w:p>
    <w:p>
      <w:pPr>
        <w:ind w:firstLine="420" w:firstLineChars="200"/>
        <w:jc w:val="left"/>
        <w:rPr>
          <w:rFonts w:ascii="宋体" w:hAnsi="宋体"/>
          <w:szCs w:val="21"/>
        </w:rPr>
      </w:pPr>
      <w:r>
        <w:rPr>
          <w:rFonts w:ascii="宋体" w:hAnsi="宋体"/>
          <w:szCs w:val="21"/>
        </w:rPr>
        <w:br w:type="page"/>
      </w:r>
    </w:p>
    <w:p>
      <w:pPr>
        <w:tabs>
          <w:tab w:val="left" w:pos="5559"/>
        </w:tabs>
        <w:ind w:leftChars="-135" w:hanging="282" w:hangingChars="101"/>
        <w:rPr>
          <w:rFonts w:ascii="宋体" w:hAnsi="宋体"/>
          <w:bCs/>
          <w:sz w:val="28"/>
          <w:szCs w:val="28"/>
        </w:rPr>
      </w:pPr>
      <w:r>
        <w:rPr>
          <w:rFonts w:hint="eastAsia" w:ascii="宋体" w:hAnsi="宋体"/>
          <w:bCs/>
          <w:sz w:val="28"/>
          <w:szCs w:val="28"/>
        </w:rPr>
        <w:t>附件1：</w:t>
      </w:r>
    </w:p>
    <w:p>
      <w:pPr>
        <w:widowControl/>
        <w:tabs>
          <w:tab w:val="left" w:pos="0"/>
        </w:tabs>
        <w:autoSpaceDE w:val="0"/>
        <w:autoSpaceDN w:val="0"/>
        <w:ind w:right="893"/>
        <w:textAlignment w:val="bottom"/>
        <w:rPr>
          <w:rFonts w:ascii="宋体" w:hAnsi="宋体" w:cs="宋体"/>
          <w:b/>
          <w:bCs/>
          <w:szCs w:val="21"/>
        </w:rPr>
      </w:pPr>
    </w:p>
    <w:p>
      <w:pPr>
        <w:widowControl/>
        <w:tabs>
          <w:tab w:val="left" w:pos="0"/>
        </w:tabs>
        <w:autoSpaceDE w:val="0"/>
        <w:autoSpaceDN w:val="0"/>
        <w:ind w:right="893"/>
        <w:textAlignment w:val="bottom"/>
        <w:rPr>
          <w:rFonts w:ascii="宋体" w:hAnsi="宋体" w:cs="宋体"/>
          <w:b/>
          <w:bCs/>
          <w:szCs w:val="21"/>
        </w:rPr>
      </w:pPr>
    </w:p>
    <w:p>
      <w:pPr>
        <w:spacing w:line="480" w:lineRule="auto"/>
        <w:jc w:val="center"/>
        <w:rPr>
          <w:rFonts w:ascii="宋体" w:hAnsi="宋体"/>
          <w:b/>
          <w:bCs/>
          <w:szCs w:val="21"/>
        </w:rPr>
      </w:pPr>
      <w:r>
        <w:rPr>
          <w:rFonts w:hint="eastAsia" w:ascii="宋体" w:hAnsi="宋体"/>
          <w:b/>
          <w:bCs/>
          <w:szCs w:val="21"/>
        </w:rPr>
        <w:t>政府采购投标及履约承诺函</w:t>
      </w:r>
    </w:p>
    <w:p>
      <w:pPr>
        <w:rPr>
          <w:rFonts w:ascii="宋体" w:hAnsi="宋体"/>
          <w:szCs w:val="21"/>
        </w:rPr>
      </w:pPr>
      <w:r>
        <w:rPr>
          <w:rFonts w:hint="eastAsia" w:ascii="宋体" w:hAnsi="宋体"/>
          <w:szCs w:val="21"/>
        </w:rPr>
        <w:t>深圳市规划国土发展研究中心：</w:t>
      </w:r>
    </w:p>
    <w:p>
      <w:pPr>
        <w:ind w:firstLine="420" w:firstLineChars="200"/>
        <w:rPr>
          <w:rFonts w:ascii="宋体" w:hAnsi="宋体" w:cs="宋体"/>
          <w:szCs w:val="21"/>
        </w:rPr>
      </w:pPr>
      <w:r>
        <w:rPr>
          <w:rFonts w:hint="eastAsia" w:ascii="宋体" w:hAnsi="宋体" w:cs="宋体"/>
          <w:szCs w:val="21"/>
        </w:rPr>
        <w:t>我单位深知本项目对贵单位的重要性和紧迫性，亦了解贵单位对廉政建设的相关要求，因此我单位承诺如下：</w:t>
      </w:r>
    </w:p>
    <w:p>
      <w:pPr>
        <w:ind w:firstLine="420" w:firstLineChars="200"/>
        <w:rPr>
          <w:rFonts w:ascii="宋体" w:hAnsi="宋体" w:cs="宋体"/>
          <w:szCs w:val="21"/>
        </w:rPr>
      </w:pPr>
      <w:r>
        <w:rPr>
          <w:rFonts w:hint="eastAsia" w:ascii="宋体" w:hAnsi="宋体" w:cs="宋体"/>
          <w:szCs w:val="21"/>
        </w:rPr>
        <w:t>1.我单位本招标项目所提供的货物或服务未侵犯知识产权。</w:t>
      </w:r>
    </w:p>
    <w:p>
      <w:pPr>
        <w:ind w:firstLine="420" w:firstLineChars="200"/>
        <w:rPr>
          <w:rFonts w:ascii="宋体" w:hAnsi="宋体"/>
          <w:szCs w:val="21"/>
        </w:rPr>
      </w:pPr>
      <w:r>
        <w:rPr>
          <w:rFonts w:hint="eastAsia" w:ascii="宋体" w:hAnsi="宋体"/>
          <w:szCs w:val="21"/>
        </w:rPr>
        <w:t>2.我单位参与本项目投标前三年内，在经营活动中没有违法记录。</w:t>
      </w:r>
    </w:p>
    <w:p>
      <w:pPr>
        <w:ind w:firstLine="420" w:firstLineChars="200"/>
        <w:rPr>
          <w:rFonts w:ascii="宋体" w:hAnsi="宋体"/>
          <w:szCs w:val="21"/>
        </w:rPr>
      </w:pPr>
      <w:r>
        <w:rPr>
          <w:rFonts w:hint="eastAsia" w:ascii="宋体" w:hAnsi="宋体"/>
          <w:szCs w:val="21"/>
        </w:rPr>
        <w:t>3.我单位参与本项目政府采购活动时不存在被有关部门禁止参与政府采购活动且在有效期内的情况。</w:t>
      </w:r>
    </w:p>
    <w:p>
      <w:pPr>
        <w:ind w:firstLine="420" w:firstLineChars="200"/>
        <w:rPr>
          <w:rFonts w:ascii="宋体" w:hAnsi="宋体"/>
          <w:szCs w:val="21"/>
        </w:rPr>
      </w:pPr>
      <w:r>
        <w:rPr>
          <w:rFonts w:hint="eastAsia" w:ascii="宋体" w:hAnsi="宋体"/>
          <w:szCs w:val="21"/>
        </w:rPr>
        <w:t>4.我单位具备《中华人民共和国政府采购法》第二十二条第一款的条件。</w:t>
      </w:r>
    </w:p>
    <w:p>
      <w:pPr>
        <w:ind w:firstLine="420" w:firstLineChars="200"/>
        <w:rPr>
          <w:rFonts w:ascii="宋体" w:hAnsi="宋体"/>
          <w:szCs w:val="21"/>
        </w:rPr>
      </w:pPr>
      <w:r>
        <w:rPr>
          <w:rFonts w:hint="eastAsia" w:ascii="宋体" w:hAnsi="宋体"/>
          <w:szCs w:val="21"/>
        </w:rPr>
        <w:t>5.我单位未被列入失信被执行人、税收违法案件当事人名单、政府采购严重违法失信行为记录名单。</w:t>
      </w:r>
    </w:p>
    <w:p>
      <w:pPr>
        <w:ind w:firstLine="420" w:firstLineChars="200"/>
        <w:rPr>
          <w:rFonts w:ascii="宋体" w:hAnsi="宋体"/>
          <w:szCs w:val="21"/>
        </w:rPr>
      </w:pPr>
      <w:r>
        <w:rPr>
          <w:rFonts w:hint="eastAsia" w:ascii="宋体" w:hAnsi="宋体"/>
          <w:szCs w:val="21"/>
        </w:rPr>
        <w:t>6.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ind w:firstLine="420" w:firstLineChars="200"/>
        <w:rPr>
          <w:rFonts w:ascii="宋体" w:hAnsi="宋体"/>
          <w:szCs w:val="21"/>
        </w:rPr>
      </w:pPr>
      <w:r>
        <w:rPr>
          <w:rFonts w:hint="eastAsia" w:ascii="宋体" w:hAnsi="宋体"/>
          <w:szCs w:val="21"/>
        </w:rPr>
        <w:t>7.我单位如果中标，做到诚实守信，依照本项目招标文件需求内容、签署的采购合同及本单位在投标中所作的一切承诺履约。</w:t>
      </w:r>
    </w:p>
    <w:p>
      <w:pPr>
        <w:ind w:firstLine="420" w:firstLineChars="200"/>
        <w:rPr>
          <w:rFonts w:ascii="宋体" w:hAnsi="宋体"/>
          <w:szCs w:val="21"/>
        </w:rPr>
      </w:pPr>
      <w:r>
        <w:rPr>
          <w:rFonts w:hint="eastAsia" w:ascii="宋体" w:hAnsi="宋体"/>
          <w:szCs w:val="21"/>
        </w:rPr>
        <w:t>8.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ind w:firstLine="420" w:firstLineChars="200"/>
        <w:rPr>
          <w:rFonts w:ascii="宋体" w:hAnsi="宋体"/>
          <w:szCs w:val="21"/>
        </w:rPr>
      </w:pPr>
      <w:r>
        <w:rPr>
          <w:rFonts w:hint="eastAsia" w:ascii="宋体" w:hAnsi="宋体"/>
          <w:szCs w:val="21"/>
        </w:rPr>
        <w:t>9.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ind w:firstLine="420" w:firstLineChars="200"/>
        <w:rPr>
          <w:rFonts w:ascii="宋体" w:hAnsi="宋体"/>
          <w:szCs w:val="21"/>
        </w:rPr>
      </w:pPr>
      <w:r>
        <w:rPr>
          <w:rFonts w:hint="eastAsia" w:ascii="宋体" w:hAnsi="宋体"/>
          <w:szCs w:val="21"/>
        </w:rPr>
        <w:t>10.我单位承诺不非法转包、分包。</w:t>
      </w:r>
    </w:p>
    <w:p>
      <w:pPr>
        <w:ind w:firstLine="420" w:firstLineChars="200"/>
        <w:rPr>
          <w:rFonts w:ascii="宋体" w:hAnsi="宋体"/>
          <w:szCs w:val="21"/>
        </w:rPr>
      </w:pPr>
      <w:r>
        <w:rPr>
          <w:rFonts w:hint="eastAsia" w:ascii="宋体" w:hAnsi="宋体"/>
          <w:szCs w:val="21"/>
        </w:rPr>
        <w:t>11.我单位承诺未参与本项目的采购需求、技术指标、商务指标等内容的设定，不存在对其他投标单位不公平的行为。</w:t>
      </w:r>
    </w:p>
    <w:p>
      <w:pPr>
        <w:ind w:firstLine="420" w:firstLineChars="200"/>
        <w:rPr>
          <w:rFonts w:ascii="宋体" w:hAnsi="宋体"/>
          <w:szCs w:val="21"/>
        </w:rPr>
      </w:pPr>
      <w:r>
        <w:rPr>
          <w:rFonts w:hint="eastAsia" w:ascii="宋体" w:hAnsi="宋体"/>
          <w:szCs w:val="21"/>
        </w:rPr>
        <w:t>11.我单位承诺不对采购人进行贿赂，进行有偿报答。</w:t>
      </w:r>
    </w:p>
    <w:p>
      <w:pPr>
        <w:ind w:firstLine="420" w:firstLineChars="200"/>
        <w:rPr>
          <w:rFonts w:ascii="宋体" w:hAnsi="宋体"/>
          <w:szCs w:val="21"/>
        </w:rPr>
      </w:pPr>
      <w:r>
        <w:rPr>
          <w:rFonts w:hint="eastAsia" w:ascii="宋体" w:hAnsi="宋体"/>
          <w:szCs w:val="21"/>
        </w:rPr>
        <w:t>12.我单位承诺不对采购人进行任何形式的利益输送。</w:t>
      </w:r>
    </w:p>
    <w:p>
      <w:pPr>
        <w:ind w:firstLine="420" w:firstLineChars="200"/>
        <w:rPr>
          <w:rFonts w:ascii="宋体" w:hAnsi="宋体"/>
          <w:szCs w:val="21"/>
        </w:rPr>
      </w:pPr>
      <w:r>
        <w:rPr>
          <w:rFonts w:hint="eastAsia" w:ascii="宋体" w:hAnsi="宋体"/>
          <w:szCs w:val="21"/>
        </w:rPr>
        <w:t>13.我单位承诺不对采购人进行宴请和娱乐等消费活动。</w:t>
      </w:r>
    </w:p>
    <w:p>
      <w:pPr>
        <w:ind w:firstLine="420" w:firstLineChars="200"/>
        <w:rPr>
          <w:rFonts w:ascii="宋体" w:hAnsi="宋体"/>
          <w:szCs w:val="21"/>
        </w:rPr>
      </w:pPr>
      <w:r>
        <w:rPr>
          <w:rFonts w:hint="eastAsia" w:ascii="宋体" w:hAnsi="宋体"/>
          <w:szCs w:val="21"/>
        </w:rPr>
        <w:t>14.我单位承诺不对采购人进行赠送各种礼品、现金、有价证券、中介费、好处费等行为。</w:t>
      </w:r>
    </w:p>
    <w:p>
      <w:pPr>
        <w:ind w:firstLine="420" w:firstLineChars="200"/>
        <w:rPr>
          <w:rFonts w:ascii="宋体" w:hAnsi="宋体" w:cs="宋体"/>
          <w:szCs w:val="21"/>
        </w:rPr>
      </w:pPr>
      <w:r>
        <w:rPr>
          <w:rFonts w:hint="eastAsia" w:ascii="宋体" w:hAnsi="宋体" w:cs="宋体"/>
          <w:szCs w:val="21"/>
        </w:rPr>
        <w:t>以上承诺，如有违反，愿依照国家相关法律处理，并承担由此给采购人带来的损失。</w:t>
      </w:r>
    </w:p>
    <w:p>
      <w:pPr>
        <w:tabs>
          <w:tab w:val="left" w:pos="4860"/>
        </w:tabs>
        <w:adjustRightInd w:val="0"/>
        <w:snapToGrid w:val="0"/>
        <w:spacing w:line="360" w:lineRule="auto"/>
        <w:ind w:right="105" w:rightChars="50" w:firstLine="210" w:firstLineChars="100"/>
        <w:rPr>
          <w:rFonts w:ascii="宋体" w:hAnsi="宋体"/>
          <w:szCs w:val="21"/>
        </w:rPr>
      </w:pPr>
    </w:p>
    <w:p>
      <w:pPr>
        <w:tabs>
          <w:tab w:val="left" w:pos="4860"/>
        </w:tabs>
        <w:adjustRightInd w:val="0"/>
        <w:snapToGrid w:val="0"/>
        <w:spacing w:line="360" w:lineRule="auto"/>
        <w:ind w:right="105" w:rightChars="50" w:firstLine="210" w:firstLineChars="100"/>
        <w:rPr>
          <w:rFonts w:ascii="宋体" w:hAnsi="宋体"/>
          <w:szCs w:val="21"/>
        </w:rPr>
      </w:pPr>
      <w:r>
        <w:rPr>
          <w:rFonts w:hint="eastAsia" w:ascii="宋体" w:hAnsi="宋体"/>
          <w:szCs w:val="21"/>
        </w:rPr>
        <w:t>法定代表人或授权代表（签字）：                  供应商（盖章）：</w:t>
      </w:r>
    </w:p>
    <w:p>
      <w:pPr>
        <w:tabs>
          <w:tab w:val="left" w:pos="4860"/>
        </w:tabs>
        <w:adjustRightInd w:val="0"/>
        <w:snapToGrid w:val="0"/>
        <w:spacing w:line="360" w:lineRule="auto"/>
        <w:ind w:right="105" w:rightChars="50" w:firstLine="210" w:firstLineChars="100"/>
        <w:rPr>
          <w:rFonts w:ascii="宋体" w:hAnsi="宋体"/>
          <w:szCs w:val="21"/>
        </w:rPr>
      </w:pPr>
      <w:r>
        <w:rPr>
          <w:rFonts w:hint="eastAsia" w:ascii="宋体" w:hAnsi="宋体"/>
          <w:szCs w:val="21"/>
        </w:rPr>
        <w:t>日期：   年  月  日                             日期：   年  月   日</w:t>
      </w:r>
    </w:p>
    <w:p>
      <w:pPr>
        <w:tabs>
          <w:tab w:val="left" w:pos="4860"/>
        </w:tabs>
        <w:adjustRightInd w:val="0"/>
        <w:snapToGrid w:val="0"/>
        <w:spacing w:line="360" w:lineRule="auto"/>
        <w:ind w:right="105" w:rightChars="50" w:firstLine="210" w:firstLineChars="100"/>
        <w:rPr>
          <w:rFonts w:ascii="宋体" w:hAnsi="宋体"/>
          <w:szCs w:val="21"/>
        </w:rPr>
      </w:pPr>
    </w:p>
    <w:p>
      <w:pPr>
        <w:tabs>
          <w:tab w:val="left" w:pos="4860"/>
        </w:tabs>
        <w:adjustRightInd w:val="0"/>
        <w:snapToGrid w:val="0"/>
        <w:spacing w:line="360" w:lineRule="auto"/>
        <w:ind w:right="105" w:rightChars="50" w:firstLine="210" w:firstLineChars="100"/>
        <w:rPr>
          <w:rFonts w:ascii="宋体" w:hAnsi="宋体"/>
          <w:szCs w:val="21"/>
        </w:rPr>
      </w:pPr>
    </w:p>
    <w:p>
      <w:pPr>
        <w:tabs>
          <w:tab w:val="left" w:pos="4860"/>
        </w:tabs>
        <w:adjustRightInd w:val="0"/>
        <w:snapToGrid w:val="0"/>
        <w:spacing w:line="360" w:lineRule="auto"/>
        <w:ind w:right="105" w:rightChars="50" w:firstLine="210" w:firstLineChars="100"/>
        <w:rPr>
          <w:rFonts w:ascii="宋体" w:hAnsi="宋体"/>
          <w:szCs w:val="21"/>
        </w:rPr>
      </w:pPr>
    </w:p>
    <w:p>
      <w:pPr>
        <w:tabs>
          <w:tab w:val="left" w:pos="5559"/>
        </w:tabs>
        <w:ind w:leftChars="-135" w:hanging="282" w:hangingChars="101"/>
        <w:rPr>
          <w:rFonts w:ascii="宋体" w:hAnsi="宋体"/>
          <w:bCs/>
          <w:sz w:val="28"/>
          <w:szCs w:val="28"/>
        </w:rPr>
      </w:pPr>
    </w:p>
    <w:p>
      <w:pPr>
        <w:tabs>
          <w:tab w:val="left" w:pos="5559"/>
        </w:tabs>
        <w:ind w:leftChars="-135" w:hanging="282" w:hangingChars="101"/>
        <w:rPr>
          <w:rFonts w:ascii="宋体" w:hAnsi="宋体"/>
          <w:bCs/>
          <w:sz w:val="28"/>
          <w:szCs w:val="28"/>
        </w:rPr>
      </w:pPr>
    </w:p>
    <w:p>
      <w:pPr>
        <w:tabs>
          <w:tab w:val="left" w:pos="5559"/>
        </w:tabs>
        <w:ind w:leftChars="-135" w:hanging="282" w:hangingChars="101"/>
        <w:rPr>
          <w:rFonts w:ascii="宋体" w:hAnsi="宋体"/>
          <w:bCs/>
          <w:sz w:val="28"/>
          <w:szCs w:val="28"/>
        </w:rPr>
      </w:pPr>
      <w:r>
        <w:rPr>
          <w:rFonts w:hint="eastAsia" w:ascii="宋体" w:hAnsi="宋体"/>
          <w:bCs/>
          <w:sz w:val="28"/>
          <w:szCs w:val="28"/>
        </w:rPr>
        <w:t>附件2：</w:t>
      </w:r>
    </w:p>
    <w:p>
      <w:pPr>
        <w:jc w:val="center"/>
        <w:rPr>
          <w:rFonts w:ascii="黑体" w:hAnsi="黑体" w:eastAsia="黑体"/>
          <w:sz w:val="36"/>
          <w:szCs w:val="36"/>
        </w:rPr>
      </w:pPr>
      <w:r>
        <w:rPr>
          <w:rFonts w:hint="eastAsia" w:ascii="黑体" w:hAnsi="黑体" w:eastAsia="黑体"/>
          <w:sz w:val="36"/>
          <w:szCs w:val="36"/>
        </w:rPr>
        <w:t>企业概况一览表</w:t>
      </w:r>
    </w:p>
    <w:tbl>
      <w:tblPr>
        <w:tblStyle w:val="54"/>
        <w:tblW w:w="8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2959"/>
        <w:gridCol w:w="1697"/>
        <w:gridCol w:w="2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980" w:type="dxa"/>
            <w:shd w:val="clear" w:color="auto" w:fill="auto"/>
          </w:tcPr>
          <w:p>
            <w:pPr>
              <w:jc w:val="left"/>
            </w:pPr>
            <w:r>
              <w:rPr>
                <w:rFonts w:hint="eastAsia"/>
              </w:rPr>
              <w:t>单位名称</w:t>
            </w:r>
          </w:p>
        </w:tc>
        <w:tc>
          <w:tcPr>
            <w:tcW w:w="2959" w:type="dxa"/>
            <w:shd w:val="clear" w:color="auto" w:fill="auto"/>
          </w:tcPr>
          <w:p/>
        </w:tc>
        <w:tc>
          <w:tcPr>
            <w:tcW w:w="1697" w:type="dxa"/>
            <w:shd w:val="clear" w:color="auto" w:fill="auto"/>
          </w:tcPr>
          <w:p>
            <w:r>
              <w:rPr>
                <w:rFonts w:hint="eastAsia"/>
              </w:rPr>
              <w:t>组织机构代码</w:t>
            </w:r>
          </w:p>
        </w:tc>
        <w:tc>
          <w:tcPr>
            <w:tcW w:w="2213" w:type="dxa"/>
            <w:shd w:val="clear" w:color="auto" w:fill="auto"/>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1980" w:type="dxa"/>
            <w:shd w:val="clear" w:color="auto" w:fill="auto"/>
          </w:tcPr>
          <w:p>
            <w:r>
              <w:rPr>
                <w:rFonts w:hint="eastAsia"/>
              </w:rPr>
              <w:t>单位性质</w:t>
            </w:r>
          </w:p>
        </w:tc>
        <w:tc>
          <w:tcPr>
            <w:tcW w:w="2959" w:type="dxa"/>
            <w:shd w:val="clear" w:color="auto" w:fill="auto"/>
          </w:tcPr>
          <w:p/>
        </w:tc>
        <w:tc>
          <w:tcPr>
            <w:tcW w:w="1697" w:type="dxa"/>
            <w:shd w:val="clear" w:color="auto" w:fill="auto"/>
          </w:tcPr>
          <w:p>
            <w:r>
              <w:rPr>
                <w:rFonts w:hint="eastAsia"/>
              </w:rPr>
              <w:t>注册资本</w:t>
            </w:r>
          </w:p>
        </w:tc>
        <w:tc>
          <w:tcPr>
            <w:tcW w:w="2213" w:type="dxa"/>
            <w:shd w:val="clear" w:color="auto" w:fill="auto"/>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1980" w:type="dxa"/>
            <w:shd w:val="clear" w:color="auto" w:fill="auto"/>
          </w:tcPr>
          <w:p>
            <w:r>
              <w:rPr>
                <w:rFonts w:hint="eastAsia"/>
              </w:rPr>
              <w:t>注册地址</w:t>
            </w:r>
          </w:p>
        </w:tc>
        <w:tc>
          <w:tcPr>
            <w:tcW w:w="2959" w:type="dxa"/>
            <w:shd w:val="clear" w:color="auto" w:fill="auto"/>
          </w:tcPr>
          <w:p/>
        </w:tc>
        <w:tc>
          <w:tcPr>
            <w:tcW w:w="1697" w:type="dxa"/>
            <w:shd w:val="clear" w:color="auto" w:fill="auto"/>
          </w:tcPr>
          <w:p>
            <w:r>
              <w:rPr>
                <w:rFonts w:hint="eastAsia"/>
              </w:rPr>
              <w:t>注册登记号</w:t>
            </w:r>
          </w:p>
        </w:tc>
        <w:tc>
          <w:tcPr>
            <w:tcW w:w="2213" w:type="dxa"/>
            <w:shd w:val="clear" w:color="auto" w:fill="auto"/>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980" w:type="dxa"/>
            <w:shd w:val="clear" w:color="auto" w:fill="auto"/>
          </w:tcPr>
          <w:p>
            <w:r>
              <w:rPr>
                <w:rFonts w:hint="eastAsia"/>
              </w:rPr>
              <w:t>经营地址</w:t>
            </w:r>
          </w:p>
        </w:tc>
        <w:tc>
          <w:tcPr>
            <w:tcW w:w="2959" w:type="dxa"/>
            <w:shd w:val="clear" w:color="auto" w:fill="auto"/>
          </w:tcPr>
          <w:p/>
        </w:tc>
        <w:tc>
          <w:tcPr>
            <w:tcW w:w="1697" w:type="dxa"/>
            <w:shd w:val="clear" w:color="auto" w:fill="auto"/>
          </w:tcPr>
          <w:p>
            <w:r>
              <w:rPr>
                <w:rFonts w:hint="eastAsia"/>
              </w:rPr>
              <w:t>税务登记证号</w:t>
            </w:r>
          </w:p>
        </w:tc>
        <w:tc>
          <w:tcPr>
            <w:tcW w:w="2213" w:type="dxa"/>
            <w:shd w:val="clear" w:color="auto" w:fill="auto"/>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1980" w:type="dxa"/>
            <w:shd w:val="clear" w:color="auto" w:fill="auto"/>
          </w:tcPr>
          <w:p>
            <w:r>
              <w:rPr>
                <w:rFonts w:hint="eastAsia"/>
              </w:rPr>
              <w:t>经营范围</w:t>
            </w:r>
          </w:p>
        </w:tc>
        <w:tc>
          <w:tcPr>
            <w:tcW w:w="2959" w:type="dxa"/>
            <w:shd w:val="clear" w:color="auto" w:fill="auto"/>
          </w:tcPr>
          <w:p/>
        </w:tc>
        <w:tc>
          <w:tcPr>
            <w:tcW w:w="1697" w:type="dxa"/>
            <w:shd w:val="clear" w:color="auto" w:fill="auto"/>
          </w:tcPr>
          <w:p>
            <w:r>
              <w:rPr>
                <w:rFonts w:hint="eastAsia"/>
              </w:rPr>
              <w:t>营业期限</w:t>
            </w:r>
          </w:p>
        </w:tc>
        <w:tc>
          <w:tcPr>
            <w:tcW w:w="2213" w:type="dxa"/>
            <w:shd w:val="clear" w:color="auto" w:fill="auto"/>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980" w:type="dxa"/>
            <w:shd w:val="clear" w:color="auto" w:fill="auto"/>
          </w:tcPr>
          <w:p>
            <w:r>
              <w:rPr>
                <w:rFonts w:hint="eastAsia"/>
              </w:rPr>
              <w:t>资质情况</w:t>
            </w:r>
          </w:p>
        </w:tc>
        <w:tc>
          <w:tcPr>
            <w:tcW w:w="2959" w:type="dxa"/>
            <w:shd w:val="clear" w:color="auto" w:fill="auto"/>
          </w:tcPr>
          <w:p/>
        </w:tc>
        <w:tc>
          <w:tcPr>
            <w:tcW w:w="1697" w:type="dxa"/>
            <w:shd w:val="clear" w:color="auto" w:fill="auto"/>
          </w:tcPr>
          <w:p/>
        </w:tc>
        <w:tc>
          <w:tcPr>
            <w:tcW w:w="2213" w:type="dxa"/>
            <w:shd w:val="clear" w:color="auto" w:fill="auto"/>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1980" w:type="dxa"/>
            <w:shd w:val="clear" w:color="auto" w:fill="auto"/>
          </w:tcPr>
          <w:p>
            <w:r>
              <w:rPr>
                <w:rFonts w:hint="eastAsia"/>
              </w:rPr>
              <w:t>员工人数（总人数、高级职称人数、中级职称人数）</w:t>
            </w:r>
          </w:p>
        </w:tc>
        <w:tc>
          <w:tcPr>
            <w:tcW w:w="6869" w:type="dxa"/>
            <w:gridSpan w:val="3"/>
            <w:shd w:val="clear" w:color="auto" w:fill="auto"/>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980" w:type="dxa"/>
            <w:shd w:val="clear" w:color="auto" w:fill="auto"/>
          </w:tcPr>
          <w:p>
            <w:r>
              <w:rPr>
                <w:rFonts w:hint="eastAsia"/>
              </w:rPr>
              <w:t>联系电话</w:t>
            </w:r>
          </w:p>
        </w:tc>
        <w:tc>
          <w:tcPr>
            <w:tcW w:w="2959" w:type="dxa"/>
            <w:shd w:val="clear" w:color="auto" w:fill="auto"/>
          </w:tcPr>
          <w:p/>
        </w:tc>
        <w:tc>
          <w:tcPr>
            <w:tcW w:w="1697" w:type="dxa"/>
            <w:shd w:val="clear" w:color="auto" w:fill="auto"/>
          </w:tcPr>
          <w:p>
            <w:r>
              <w:rPr>
                <w:rFonts w:hint="eastAsia"/>
              </w:rPr>
              <w:t>传真</w:t>
            </w:r>
          </w:p>
        </w:tc>
        <w:tc>
          <w:tcPr>
            <w:tcW w:w="2213" w:type="dxa"/>
            <w:shd w:val="clear" w:color="auto" w:fill="auto"/>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1980" w:type="dxa"/>
            <w:shd w:val="clear" w:color="auto" w:fill="auto"/>
          </w:tcPr>
          <w:p>
            <w:r>
              <w:rPr>
                <w:rFonts w:hint="eastAsia"/>
              </w:rPr>
              <w:t>主要业绩</w:t>
            </w:r>
          </w:p>
        </w:tc>
        <w:tc>
          <w:tcPr>
            <w:tcW w:w="6869" w:type="dxa"/>
            <w:gridSpan w:val="3"/>
            <w:shd w:val="clear" w:color="auto" w:fill="auto"/>
          </w:tcPr>
          <w:p/>
        </w:tc>
      </w:tr>
    </w:tbl>
    <w:p/>
    <w:p>
      <w:pPr>
        <w:widowControl/>
        <w:jc w:val="left"/>
        <w:rPr>
          <w:sz w:val="30"/>
          <w:szCs w:val="30"/>
        </w:rPr>
      </w:pPr>
    </w:p>
    <w:p>
      <w:pPr>
        <w:tabs>
          <w:tab w:val="left" w:pos="5559"/>
        </w:tabs>
        <w:rPr>
          <w:rFonts w:ascii="宋体" w:hAnsi="宋体"/>
          <w:b/>
          <w:sz w:val="28"/>
          <w:szCs w:val="28"/>
        </w:rPr>
      </w:pPr>
      <w:r>
        <w:rPr>
          <w:rFonts w:ascii="宋体" w:hAnsi="宋体"/>
          <w:b/>
          <w:sz w:val="28"/>
          <w:szCs w:val="28"/>
        </w:rPr>
        <w:br w:type="page"/>
      </w:r>
    </w:p>
    <w:p>
      <w:pPr>
        <w:tabs>
          <w:tab w:val="left" w:pos="5559"/>
        </w:tabs>
        <w:ind w:leftChars="-135" w:hanging="282" w:hangingChars="101"/>
        <w:rPr>
          <w:rFonts w:ascii="宋体" w:hAnsi="宋体"/>
          <w:bCs/>
          <w:sz w:val="28"/>
          <w:szCs w:val="28"/>
        </w:rPr>
      </w:pPr>
      <w:r>
        <w:rPr>
          <w:rFonts w:hint="eastAsia" w:ascii="宋体" w:hAnsi="宋体"/>
          <w:bCs/>
          <w:sz w:val="28"/>
          <w:szCs w:val="28"/>
        </w:rPr>
        <w:t>附件3：</w:t>
      </w:r>
    </w:p>
    <w:p>
      <w:pPr>
        <w:widowControl/>
        <w:jc w:val="left"/>
        <w:rPr>
          <w:rFonts w:ascii="仿宋" w:hAnsi="仿宋" w:eastAsia="仿宋"/>
          <w:sz w:val="32"/>
          <w:szCs w:val="32"/>
        </w:rPr>
      </w:pPr>
      <w:r>
        <w:rPr>
          <w:rFonts w:hint="eastAsia" w:ascii="仿宋" w:hAnsi="仿宋" w:eastAsia="仿宋"/>
          <w:sz w:val="32"/>
          <w:szCs w:val="32"/>
        </w:rPr>
        <mc:AlternateContent>
          <mc:Choice Requires="wps">
            <w:drawing>
              <wp:anchor distT="0" distB="0" distL="114300" distR="114300" simplePos="0" relativeHeight="251659264" behindDoc="1" locked="0" layoutInCell="1" allowOverlap="1">
                <wp:simplePos x="0" y="0"/>
                <wp:positionH relativeFrom="column">
                  <wp:posOffset>-265430</wp:posOffset>
                </wp:positionH>
                <wp:positionV relativeFrom="paragraph">
                  <wp:posOffset>349885</wp:posOffset>
                </wp:positionV>
                <wp:extent cx="6153150" cy="8172450"/>
                <wp:effectExtent l="13970" t="11430" r="5080" b="7620"/>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6153150" cy="817245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0.9pt;margin-top:27.55pt;height:643.5pt;width:484.5pt;z-index:-251657216;mso-width-relative:page;mso-height-relative:page;" fillcolor="#FFFFFF" filled="t" stroked="t" coordsize="21600,21600" o:gfxdata="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bU503ZAAAACwEAAA8AAAAAAAAAAQAgAAAAIgAAAGRycy9kb3ducmV2Lnht&#10;bFBLAQIUABQAAAAIAIdO4kAflEHkMQIAAHAEAAAOAAAAAAAAAAEAIAAAACgBAABkcnMvZTJvRG9j&#10;LnhtbFBLBQYAAAAABgAGAFkBAADLBQAAAAA=&#10;">
                <v:fill on="t" focussize="0,0"/>
                <v:stroke color="#000000" miterlimit="8" joinstyle="miter"/>
                <v:imagedata o:title=""/>
                <o:lock v:ext="edit" aspectratio="f"/>
              </v:rect>
            </w:pict>
          </mc:Fallback>
        </mc:AlternateContent>
      </w:r>
      <w:r>
        <w:rPr>
          <w:rFonts w:hint="eastAsia" w:ascii="仿宋" w:hAnsi="仿宋" w:eastAsia="仿宋"/>
          <w:sz w:val="32"/>
          <w:szCs w:val="32"/>
        </w:rPr>
        <w:t>投标文件包装封面参考</w:t>
      </w:r>
    </w:p>
    <w:p>
      <w:pPr>
        <w:tabs>
          <w:tab w:val="left" w:pos="5559"/>
        </w:tabs>
        <w:rPr>
          <w:rFonts w:ascii="宋体" w:hAnsi="宋体"/>
          <w:b/>
          <w:sz w:val="28"/>
          <w:szCs w:val="28"/>
        </w:rPr>
      </w:pPr>
    </w:p>
    <w:p>
      <w:pPr>
        <w:tabs>
          <w:tab w:val="left" w:pos="5559"/>
        </w:tabs>
        <w:rPr>
          <w:rFonts w:ascii="宋体" w:hAnsi="宋体"/>
          <w:b/>
          <w:sz w:val="28"/>
          <w:szCs w:val="28"/>
        </w:rPr>
      </w:pPr>
    </w:p>
    <w:p>
      <w:pPr>
        <w:widowControl/>
        <w:jc w:val="center"/>
        <w:rPr>
          <w:rFonts w:ascii="黑体" w:hAnsi="黑体" w:eastAsia="黑体"/>
          <w:sz w:val="72"/>
          <w:szCs w:val="72"/>
        </w:rPr>
      </w:pPr>
      <w:r>
        <w:rPr>
          <w:rFonts w:hint="eastAsia" w:ascii="黑体" w:hAnsi="黑体" w:eastAsia="黑体"/>
          <w:sz w:val="72"/>
          <w:szCs w:val="72"/>
        </w:rPr>
        <w:t>投标文件</w:t>
      </w:r>
    </w:p>
    <w:p>
      <w:pPr>
        <w:widowControl/>
        <w:jc w:val="center"/>
        <w:rPr>
          <w:rFonts w:ascii="黑体" w:hAnsi="黑体" w:eastAsia="黑体"/>
          <w:sz w:val="32"/>
          <w:szCs w:val="32"/>
        </w:rPr>
      </w:pPr>
    </w:p>
    <w:p>
      <w:pPr>
        <w:widowControl/>
        <w:jc w:val="center"/>
        <w:rPr>
          <w:rFonts w:ascii="黑体" w:hAnsi="黑体" w:eastAsia="黑体"/>
          <w:sz w:val="32"/>
          <w:szCs w:val="32"/>
        </w:rPr>
      </w:pPr>
    </w:p>
    <w:p>
      <w:pPr>
        <w:widowControl/>
        <w:jc w:val="center"/>
        <w:rPr>
          <w:rFonts w:ascii="黑体" w:hAnsi="黑体" w:eastAsia="黑体"/>
          <w:sz w:val="32"/>
          <w:szCs w:val="32"/>
        </w:rPr>
      </w:pPr>
    </w:p>
    <w:p>
      <w:pPr>
        <w:widowControl/>
        <w:jc w:val="center"/>
        <w:rPr>
          <w:rFonts w:ascii="黑体" w:hAnsi="黑体" w:eastAsia="黑体"/>
          <w:sz w:val="32"/>
          <w:szCs w:val="32"/>
        </w:rPr>
      </w:pPr>
    </w:p>
    <w:p>
      <w:pPr>
        <w:widowControl/>
        <w:ind w:firstLine="3080" w:firstLineChars="700"/>
        <w:rPr>
          <w:rFonts w:ascii="黑体" w:hAnsi="黑体" w:eastAsia="黑体"/>
          <w:sz w:val="44"/>
          <w:szCs w:val="44"/>
        </w:rPr>
      </w:pPr>
      <w:r>
        <w:rPr>
          <w:rFonts w:hint="eastAsia" w:ascii="黑体" w:hAnsi="黑体" w:eastAsia="黑体"/>
          <w:sz w:val="44"/>
          <w:szCs w:val="44"/>
        </w:rPr>
        <w:t>□资信证明材料</w:t>
      </w:r>
    </w:p>
    <w:p>
      <w:pPr>
        <w:widowControl/>
        <w:ind w:firstLine="3520" w:firstLineChars="800"/>
        <w:rPr>
          <w:rFonts w:ascii="黑体" w:hAnsi="黑体" w:eastAsia="黑体"/>
          <w:sz w:val="44"/>
          <w:szCs w:val="44"/>
        </w:rPr>
      </w:pPr>
    </w:p>
    <w:p>
      <w:pPr>
        <w:widowControl/>
        <w:ind w:firstLine="3080" w:firstLineChars="700"/>
        <w:rPr>
          <w:rFonts w:ascii="黑体" w:hAnsi="黑体" w:eastAsia="黑体"/>
          <w:sz w:val="44"/>
          <w:szCs w:val="44"/>
        </w:rPr>
      </w:pPr>
      <w:r>
        <w:rPr>
          <w:rFonts w:hint="eastAsia" w:ascii="黑体" w:hAnsi="黑体" w:eastAsia="黑体"/>
          <w:sz w:val="44"/>
          <w:szCs w:val="44"/>
        </w:rPr>
        <w:t>□参评材料</w:t>
      </w:r>
    </w:p>
    <w:p>
      <w:pPr>
        <w:widowControl/>
        <w:ind w:firstLine="3520" w:firstLineChars="800"/>
        <w:rPr>
          <w:rFonts w:ascii="黑体" w:hAnsi="黑体" w:eastAsia="黑体"/>
          <w:sz w:val="44"/>
          <w:szCs w:val="44"/>
        </w:rPr>
      </w:pPr>
    </w:p>
    <w:p>
      <w:pPr>
        <w:widowControl/>
        <w:ind w:firstLine="3520" w:firstLineChars="800"/>
        <w:rPr>
          <w:rFonts w:ascii="黑体" w:hAnsi="黑体" w:eastAsia="黑体"/>
          <w:sz w:val="44"/>
          <w:szCs w:val="44"/>
        </w:rPr>
      </w:pPr>
    </w:p>
    <w:p>
      <w:pPr>
        <w:widowControl/>
        <w:rPr>
          <w:rFonts w:ascii="黑体" w:hAnsi="黑体" w:eastAsia="黑体"/>
          <w:sz w:val="44"/>
          <w:szCs w:val="44"/>
        </w:rPr>
      </w:pPr>
    </w:p>
    <w:p>
      <w:pPr>
        <w:widowControl/>
        <w:rPr>
          <w:rFonts w:ascii="黑体" w:hAnsi="黑体" w:eastAsia="黑体"/>
          <w:sz w:val="44"/>
          <w:szCs w:val="44"/>
        </w:rPr>
      </w:pPr>
    </w:p>
    <w:p>
      <w:pPr>
        <w:widowControl/>
        <w:spacing w:line="360" w:lineRule="auto"/>
        <w:rPr>
          <w:rFonts w:ascii="黑体" w:hAnsi="黑体" w:eastAsia="黑体"/>
          <w:sz w:val="32"/>
          <w:szCs w:val="32"/>
        </w:rPr>
      </w:pPr>
      <w:r>
        <w:rPr>
          <w:rFonts w:hint="eastAsia" w:ascii="黑体" w:hAnsi="黑体" w:eastAsia="黑体"/>
          <w:sz w:val="32"/>
          <w:szCs w:val="32"/>
        </w:rPr>
        <w:t>项目名称：</w:t>
      </w:r>
    </w:p>
    <w:p>
      <w:pPr>
        <w:widowControl/>
        <w:spacing w:line="360" w:lineRule="auto"/>
        <w:rPr>
          <w:rFonts w:ascii="黑体" w:hAnsi="黑体" w:eastAsia="黑体"/>
          <w:sz w:val="32"/>
          <w:szCs w:val="32"/>
        </w:rPr>
      </w:pPr>
      <w:r>
        <w:rPr>
          <w:rFonts w:hint="eastAsia" w:ascii="黑体" w:hAnsi="黑体" w:eastAsia="黑体"/>
          <w:sz w:val="32"/>
          <w:szCs w:val="32"/>
        </w:rPr>
        <w:t>投标人名称：</w:t>
      </w:r>
    </w:p>
    <w:p>
      <w:pPr>
        <w:widowControl/>
        <w:jc w:val="left"/>
        <w:rPr>
          <w:sz w:val="44"/>
          <w:szCs w:val="44"/>
        </w:rPr>
      </w:pPr>
    </w:p>
    <w:p>
      <w:pPr>
        <w:widowControl/>
        <w:jc w:val="left"/>
        <w:rPr>
          <w:sz w:val="30"/>
          <w:szCs w:val="30"/>
        </w:rPr>
      </w:pPr>
      <w:r>
        <w:rPr>
          <w:rFonts w:hint="eastAsia"/>
          <w:sz w:val="30"/>
          <w:szCs w:val="30"/>
        </w:rPr>
        <w:t xml:space="preserve">（ </w:t>
      </w:r>
      <w:r>
        <w:rPr>
          <w:sz w:val="30"/>
          <w:szCs w:val="30"/>
        </w:rPr>
        <w:t xml:space="preserve">     </w:t>
      </w:r>
      <w:r>
        <w:rPr>
          <w:rFonts w:hint="eastAsia"/>
          <w:sz w:val="30"/>
          <w:szCs w:val="30"/>
        </w:rPr>
        <w:t xml:space="preserve">年  </w:t>
      </w:r>
      <w:r>
        <w:rPr>
          <w:sz w:val="30"/>
          <w:szCs w:val="30"/>
        </w:rPr>
        <w:t xml:space="preserve">  </w:t>
      </w:r>
      <w:r>
        <w:rPr>
          <w:rFonts w:hint="eastAsia"/>
          <w:sz w:val="30"/>
          <w:szCs w:val="30"/>
        </w:rPr>
        <w:t xml:space="preserve">月 </w:t>
      </w:r>
      <w:r>
        <w:rPr>
          <w:sz w:val="30"/>
          <w:szCs w:val="30"/>
        </w:rPr>
        <w:t xml:space="preserve"> </w:t>
      </w:r>
      <w:r>
        <w:rPr>
          <w:rFonts w:hint="eastAsia"/>
          <w:sz w:val="30"/>
          <w:szCs w:val="30"/>
        </w:rPr>
        <w:t xml:space="preserve"> </w:t>
      </w:r>
      <w:r>
        <w:rPr>
          <w:sz w:val="30"/>
          <w:szCs w:val="30"/>
        </w:rPr>
        <w:t xml:space="preserve"> </w:t>
      </w:r>
      <w:r>
        <w:rPr>
          <w:rFonts w:hint="eastAsia"/>
          <w:sz w:val="30"/>
          <w:szCs w:val="30"/>
        </w:rPr>
        <w:t xml:space="preserve">日 </w:t>
      </w:r>
      <w:r>
        <w:rPr>
          <w:sz w:val="30"/>
          <w:szCs w:val="30"/>
        </w:rPr>
        <w:t xml:space="preserve">  </w:t>
      </w:r>
      <w:r>
        <w:rPr>
          <w:rFonts w:hint="eastAsia"/>
          <w:sz w:val="30"/>
          <w:szCs w:val="30"/>
        </w:rPr>
        <w:t xml:space="preserve"> 时 </w:t>
      </w:r>
      <w:r>
        <w:rPr>
          <w:sz w:val="30"/>
          <w:szCs w:val="30"/>
        </w:rPr>
        <w:t xml:space="preserve">   </w:t>
      </w:r>
      <w:r>
        <w:rPr>
          <w:rFonts w:hint="eastAsia"/>
          <w:sz w:val="30"/>
          <w:szCs w:val="30"/>
        </w:rPr>
        <w:t>分）之前不得启封</w:t>
      </w:r>
    </w:p>
    <w:p>
      <w:pPr>
        <w:widowControl/>
        <w:jc w:val="left"/>
        <w:rPr>
          <w:sz w:val="30"/>
          <w:szCs w:val="30"/>
        </w:rPr>
      </w:pPr>
    </w:p>
    <w:sectPr>
      <w:footerReference r:id="rId3" w:type="default"/>
      <w:footerReference r:id="rId4" w:type="even"/>
      <w:pgSz w:w="11907" w:h="16840"/>
      <w:pgMar w:top="1440" w:right="1797" w:bottom="1440" w:left="1797" w:header="851" w:footer="992" w:gutter="0"/>
      <w:pgNumType w:start="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Arial Unicode MS">
    <w:panose1 w:val="020B0604020202020204"/>
    <w:charset w:val="86"/>
    <w:family w:val="swiss"/>
    <w:pitch w:val="default"/>
    <w:sig w:usb0="FFFFFFFF" w:usb1="E9FFFFFF" w:usb2="0000003F" w:usb3="00000000" w:csb0="603F01FF" w:csb1="FFFF0000"/>
  </w:font>
  <w:font w:name="隶书">
    <w:panose1 w:val="02010509060101010101"/>
    <w:charset w:val="86"/>
    <w:family w:val="modern"/>
    <w:pitch w:val="default"/>
    <w:sig w:usb0="00000001" w:usb1="080E0000" w:usb2="00000000" w:usb3="00000000" w:csb0="00040000" w:csb1="00000000"/>
  </w:font>
  <w:font w:name="创艺简黑体">
    <w:altName w:val="黑体"/>
    <w:panose1 w:val="00000000000000000000"/>
    <w:charset w:val="86"/>
    <w:family w:val="auto"/>
    <w:pitch w:val="default"/>
    <w:sig w:usb0="00000000" w:usb1="00000000" w:usb2="00000010" w:usb3="00000000" w:csb0="00040000" w:csb1="00000000"/>
  </w:font>
  <w:font w:name="文鼎CS书宋二">
    <w:altName w:val="宋体"/>
    <w:panose1 w:val="00000000000000000000"/>
    <w:charset w:val="86"/>
    <w:family w:val="modern"/>
    <w:pitch w:val="default"/>
    <w:sig w:usb0="00000000" w:usb1="00000000" w:usb2="00000010" w:usb3="00000000" w:csb0="00040000" w:csb1="00000000"/>
  </w:font>
  <w:font w:name="文鼎中楷">
    <w:altName w:val="宋体"/>
    <w:panose1 w:val="00000000000000000000"/>
    <w:charset w:val="86"/>
    <w:family w:val="modern"/>
    <w:pitch w:val="default"/>
    <w:sig w:usb0="00000000" w:usb1="00000000" w:usb2="00000010" w:usb3="00000000" w:csb0="00040000" w:csb1="00000000"/>
  </w:font>
  <w:font w:name="文鼎粗黑">
    <w:altName w:val="黑体"/>
    <w:panose1 w:val="00000000000000000000"/>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Tunga">
    <w:altName w:val="AMGDT"/>
    <w:panose1 w:val="00000400000000000000"/>
    <w:charset w:val="00"/>
    <w:family w:val="swiss"/>
    <w:pitch w:val="default"/>
    <w:sig w:usb0="00000000" w:usb1="00000000" w:usb2="00000000" w:usb3="00000000" w:csb0="00000001" w:csb1="00000000"/>
  </w:font>
  <w:font w:name="AMGDT">
    <w:panose1 w:val="02000400000000000000"/>
    <w:charset w:val="00"/>
    <w:family w:val="auto"/>
    <w:pitch w:val="default"/>
    <w:sig w:usb0="80000003" w:usb1="10000000" w:usb2="00000000" w:usb3="00000000" w:csb0="00000001" w:csb1="00000000"/>
  </w:font>
  <w:font w:name="文鼎CS大宋">
    <w:altName w:val="宋体"/>
    <w:panose1 w:val="00000000000000000000"/>
    <w:charset w:val="86"/>
    <w:family w:val="modern"/>
    <w:pitch w:val="default"/>
    <w:sig w:usb0="00000000" w:usb1="00000000" w:usb2="00000010" w:usb3="00000000" w:csb0="00040000" w:csb1="00000000"/>
  </w:font>
  <w:font w:name="文鼎CS长美黑">
    <w:altName w:val="黑体"/>
    <w:panose1 w:val="00000000000000000000"/>
    <w:charset w:val="86"/>
    <w:family w:val="modern"/>
    <w:pitch w:val="default"/>
    <w:sig w:usb0="00000000" w:usb1="00000000" w:usb2="0000001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_x000B__x000C_">
    <w:altName w:val="Arial Unicode MS"/>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center"/>
    </w:pPr>
    <w:r>
      <w:fldChar w:fldCharType="begin"/>
    </w:r>
    <w:r>
      <w:instrText xml:space="preserve">PAGE   \* MERGEFORMAT</w:instrText>
    </w:r>
    <w:r>
      <w:fldChar w:fldCharType="separate"/>
    </w:r>
    <w:r>
      <w:rPr>
        <w:lang w:val="zh-CN"/>
      </w:rPr>
      <w:t>3</w:t>
    </w:r>
    <w:r>
      <w:fldChar w:fldCharType="end"/>
    </w:r>
  </w:p>
  <w:p>
    <w:pPr>
      <w:pStyle w:val="3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framePr w:wrap="around" w:vAnchor="text" w:hAnchor="margin" w:xAlign="center" w:y="1"/>
      <w:rPr>
        <w:rStyle w:val="60"/>
      </w:rPr>
    </w:pPr>
    <w:r>
      <w:fldChar w:fldCharType="begin"/>
    </w:r>
    <w:r>
      <w:rPr>
        <w:rStyle w:val="60"/>
      </w:rPr>
      <w:instrText xml:space="preserve">PAGE  </w:instrText>
    </w:r>
    <w:r>
      <w:fldChar w:fldCharType="end"/>
    </w:r>
  </w:p>
  <w:p>
    <w:pPr>
      <w:pStyle w:val="3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147"/>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6"/>
      <w:lvlText w:val=""/>
      <w:lvlJc w:val="left"/>
      <w:pPr>
        <w:tabs>
          <w:tab w:val="left" w:pos="360"/>
        </w:tabs>
        <w:ind w:left="360" w:hanging="360"/>
      </w:pPr>
      <w:rPr>
        <w:rFonts w:hint="default" w:ascii="Wingdings" w:hAnsi="Wingdings"/>
      </w:rPr>
    </w:lvl>
  </w:abstractNum>
  <w:abstractNum w:abstractNumId="2">
    <w:nsid w:val="3AE1101E"/>
    <w:multiLevelType w:val="multilevel"/>
    <w:tmpl w:val="3AE1101E"/>
    <w:lvl w:ilvl="0" w:tentative="0">
      <w:start w:val="1"/>
      <w:numFmt w:val="decimal"/>
      <w:lvlText w:val="%1."/>
      <w:lvlJc w:val="left"/>
      <w:pPr>
        <w:tabs>
          <w:tab w:val="left" w:pos="567"/>
        </w:tabs>
        <w:ind w:left="567" w:hanging="113"/>
      </w:pPr>
      <w:rPr>
        <w:rFonts w:hint="eastAsia"/>
      </w:rPr>
    </w:lvl>
    <w:lvl w:ilvl="1" w:tentative="0">
      <w:start w:val="1"/>
      <w:numFmt w:val="decimal"/>
      <w:suff w:val="space"/>
      <w:lvlText w:val="%1.%2"/>
      <w:lvlJc w:val="left"/>
      <w:pPr>
        <w:ind w:left="0" w:firstLine="454"/>
      </w:pPr>
      <w:rPr>
        <w:rFonts w:hint="eastAsia"/>
      </w:rPr>
    </w:lvl>
    <w:lvl w:ilvl="2" w:tentative="0">
      <w:start w:val="1"/>
      <w:numFmt w:val="lowerLetter"/>
      <w:suff w:val="space"/>
      <w:lvlText w:val="(%3) "/>
      <w:lvlJc w:val="left"/>
      <w:pPr>
        <w:ind w:left="851" w:hanging="397"/>
      </w:pPr>
      <w:rPr>
        <w:rFonts w:hint="eastAsia"/>
      </w:rPr>
    </w:lvl>
    <w:lvl w:ilvl="3" w:tentative="0">
      <w:start w:val="1"/>
      <w:numFmt w:val="decimal"/>
      <w:suff w:val="space"/>
      <w:lvlText w:val="(%4) "/>
      <w:lvlJc w:val="left"/>
      <w:pPr>
        <w:ind w:left="851" w:hanging="397"/>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4BD739BA"/>
    <w:multiLevelType w:val="multilevel"/>
    <w:tmpl w:val="4BD739B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57AB88B"/>
    <w:multiLevelType w:val="singleLevel"/>
    <w:tmpl w:val="557AB88B"/>
    <w:lvl w:ilvl="0" w:tentative="0">
      <w:start w:val="1"/>
      <w:numFmt w:val="decimal"/>
      <w:lvlText w:val="%1."/>
      <w:lvlJc w:val="left"/>
      <w:pPr>
        <w:tabs>
          <w:tab w:val="left" w:pos="425"/>
        </w:tabs>
        <w:ind w:left="425" w:hanging="425"/>
      </w:pPr>
      <w:rPr>
        <w:rFonts w:hint="default"/>
      </w:rPr>
    </w:lvl>
  </w:abstractNum>
  <w:abstractNum w:abstractNumId="5">
    <w:nsid w:val="581F5E12"/>
    <w:multiLevelType w:val="multilevel"/>
    <w:tmpl w:val="581F5E12"/>
    <w:lvl w:ilvl="0" w:tentative="0">
      <w:start w:val="1"/>
      <w:numFmt w:val="japaneseCounting"/>
      <w:lvlText w:val="第%1章"/>
      <w:lvlJc w:val="left"/>
      <w:pPr>
        <w:ind w:left="848" w:hanging="848"/>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lvlOverride w:ilvl="0">
      <w:lvl w:ilvl="0" w:tentative="1">
        <w:start w:val="1"/>
        <w:numFmt w:val="decimal"/>
        <w:pStyle w:val="78"/>
        <w:suff w:val="space"/>
        <w:lvlText w:val="%1."/>
        <w:lvlJc w:val="left"/>
        <w:pPr>
          <w:ind w:left="833" w:hanging="113"/>
        </w:pPr>
        <w:rPr>
          <w:rFonts w:hint="eastAsia" w:ascii="Times New Roman" w:hAnsi="Times New Roman" w:eastAsia="宋体"/>
          <w:b/>
          <w:bCs/>
          <w:i w:val="0"/>
          <w:iCs w:val="0"/>
          <w:caps w:val="0"/>
          <w:smallCaps w:val="0"/>
          <w:strike w:val="0"/>
          <w:dstrike w:val="0"/>
          <w:outline w:val="0"/>
          <w:shadow w:val="0"/>
          <w:emboss w:val="0"/>
          <w:imprint w:val="0"/>
          <w:color w:val="auto"/>
          <w:spacing w:val="0"/>
          <w:w w:val="100"/>
          <w:kern w:val="2"/>
          <w:position w:val="0"/>
          <w:sz w:val="24"/>
          <w:u w:val="none"/>
        </w:rPr>
      </w:lvl>
    </w:lvlOverride>
    <w:lvlOverride w:ilvl="1">
      <w:lvl w:ilvl="1" w:tentative="1">
        <w:start w:val="1"/>
        <w:numFmt w:val="decimal"/>
        <w:pStyle w:val="120"/>
        <w:suff w:val="space"/>
        <w:lvlText w:val="%1.%2"/>
        <w:lvlJc w:val="left"/>
        <w:pPr>
          <w:ind w:left="653" w:hanging="113"/>
        </w:pPr>
        <w:rPr>
          <w:rFonts w:hint="default" w:ascii="Times New Roman" w:hAnsi="Times New Roman" w:cs="Times New Roman"/>
          <w:b w:val="0"/>
        </w:rPr>
      </w:lvl>
    </w:lvlOverride>
    <w:lvlOverride w:ilvl="2">
      <w:lvl w:ilvl="2" w:tentative="1">
        <w:start w:val="1"/>
        <w:numFmt w:val="lowerLetter"/>
        <w:pStyle w:val="65"/>
        <w:suff w:val="space"/>
        <w:lvlText w:val="(%3) "/>
        <w:lvlJc w:val="left"/>
        <w:pPr>
          <w:ind w:left="679" w:hanging="225"/>
        </w:pPr>
        <w:rPr>
          <w:rFonts w:hint="eastAsia"/>
        </w:rPr>
      </w:lvl>
    </w:lvlOverride>
    <w:lvlOverride w:ilvl="3">
      <w:lvl w:ilvl="3" w:tentative="1">
        <w:start w:val="1"/>
        <w:numFmt w:val="decimal"/>
        <w:pStyle w:val="159"/>
        <w:suff w:val="space"/>
        <w:lvlText w:val="(%4) "/>
        <w:lvlJc w:val="left"/>
        <w:pPr>
          <w:ind w:left="765" w:hanging="397"/>
        </w:pPr>
        <w:rPr>
          <w:rFonts w:hint="eastAsia" w:ascii="Times New Roman"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rPr>
      </w:lvl>
    </w:lvlOverride>
    <w:lvlOverride w:ilvl="4">
      <w:lvl w:ilvl="4" w:tentative="1">
        <w:start w:val="1"/>
        <w:numFmt w:val="decimal"/>
        <w:lvlText w:val="%1.%2.%3.%4.%5"/>
        <w:lvlJc w:val="left"/>
        <w:pPr>
          <w:tabs>
            <w:tab w:val="left" w:pos="2609"/>
          </w:tabs>
          <w:ind w:left="2379" w:hanging="850"/>
        </w:pPr>
        <w:rPr>
          <w:rFonts w:hint="eastAsia"/>
        </w:rPr>
      </w:lvl>
    </w:lvlOverride>
    <w:lvlOverride w:ilvl="5">
      <w:lvl w:ilvl="5" w:tentative="1">
        <w:start w:val="1"/>
        <w:numFmt w:val="decimal"/>
        <w:lvlText w:val="%1.%2.%3.%4.%5.%6"/>
        <w:lvlJc w:val="left"/>
        <w:pPr>
          <w:tabs>
            <w:tab w:val="left" w:pos="3394"/>
          </w:tabs>
          <w:ind w:left="3088" w:hanging="1134"/>
        </w:pPr>
        <w:rPr>
          <w:rFonts w:hint="eastAsia"/>
        </w:rPr>
      </w:lvl>
    </w:lvlOverride>
    <w:lvlOverride w:ilvl="6">
      <w:lvl w:ilvl="6" w:tentative="1">
        <w:start w:val="1"/>
        <w:numFmt w:val="decimal"/>
        <w:lvlText w:val="%1.%2.%3.%4.%5.%6.%7"/>
        <w:lvlJc w:val="left"/>
        <w:pPr>
          <w:tabs>
            <w:tab w:val="left" w:pos="4179"/>
          </w:tabs>
          <w:ind w:left="3655" w:hanging="1276"/>
        </w:pPr>
        <w:rPr>
          <w:rFonts w:hint="eastAsia"/>
        </w:rPr>
      </w:lvl>
    </w:lvlOverride>
    <w:lvlOverride w:ilvl="7">
      <w:lvl w:ilvl="7" w:tentative="1">
        <w:start w:val="1"/>
        <w:numFmt w:val="decimal"/>
        <w:lvlText w:val="%1.%2.%3.%4.%5.%6.%7.%8"/>
        <w:lvlJc w:val="left"/>
        <w:pPr>
          <w:tabs>
            <w:tab w:val="left" w:pos="4604"/>
          </w:tabs>
          <w:ind w:left="4222" w:hanging="1418"/>
        </w:pPr>
        <w:rPr>
          <w:rFonts w:hint="eastAsia"/>
        </w:rPr>
      </w:lvl>
    </w:lvlOverride>
    <w:lvlOverride w:ilvl="8">
      <w:lvl w:ilvl="8" w:tentative="1">
        <w:start w:val="1"/>
        <w:numFmt w:val="decimal"/>
        <w:lvlText w:val="%1.%2.%3.%4.%5.%6.%7.%8.%9"/>
        <w:lvlJc w:val="left"/>
        <w:pPr>
          <w:tabs>
            <w:tab w:val="left" w:pos="5390"/>
          </w:tabs>
          <w:ind w:left="4930" w:hanging="1700"/>
        </w:pPr>
        <w:rPr>
          <w:rFonts w:hint="eastAsia"/>
        </w:rPr>
      </w:lvl>
    </w:lvlOverride>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683"/>
    <w:rsid w:val="00001B0D"/>
    <w:rsid w:val="00002627"/>
    <w:rsid w:val="00005215"/>
    <w:rsid w:val="00005A10"/>
    <w:rsid w:val="00006D04"/>
    <w:rsid w:val="00010102"/>
    <w:rsid w:val="000106C6"/>
    <w:rsid w:val="00012D63"/>
    <w:rsid w:val="00012E8E"/>
    <w:rsid w:val="000130CB"/>
    <w:rsid w:val="00013A28"/>
    <w:rsid w:val="000155A1"/>
    <w:rsid w:val="00015A86"/>
    <w:rsid w:val="000164AF"/>
    <w:rsid w:val="00016F99"/>
    <w:rsid w:val="0001716B"/>
    <w:rsid w:val="000200C1"/>
    <w:rsid w:val="000211EA"/>
    <w:rsid w:val="000218C9"/>
    <w:rsid w:val="0002323A"/>
    <w:rsid w:val="000234B2"/>
    <w:rsid w:val="000306B4"/>
    <w:rsid w:val="00031700"/>
    <w:rsid w:val="00031832"/>
    <w:rsid w:val="00031F6E"/>
    <w:rsid w:val="00032406"/>
    <w:rsid w:val="00032D1B"/>
    <w:rsid w:val="00034614"/>
    <w:rsid w:val="000376C9"/>
    <w:rsid w:val="00037D22"/>
    <w:rsid w:val="00040D3C"/>
    <w:rsid w:val="00042950"/>
    <w:rsid w:val="0004380D"/>
    <w:rsid w:val="00043A89"/>
    <w:rsid w:val="00045693"/>
    <w:rsid w:val="00045739"/>
    <w:rsid w:val="00045D94"/>
    <w:rsid w:val="00046CEE"/>
    <w:rsid w:val="0005077A"/>
    <w:rsid w:val="000510B6"/>
    <w:rsid w:val="00051F3F"/>
    <w:rsid w:val="00052BC1"/>
    <w:rsid w:val="00052ED3"/>
    <w:rsid w:val="00053B66"/>
    <w:rsid w:val="0005501F"/>
    <w:rsid w:val="000550CB"/>
    <w:rsid w:val="0005582B"/>
    <w:rsid w:val="00057332"/>
    <w:rsid w:val="000604A8"/>
    <w:rsid w:val="00061771"/>
    <w:rsid w:val="0006267A"/>
    <w:rsid w:val="00062D88"/>
    <w:rsid w:val="0006335B"/>
    <w:rsid w:val="000646AF"/>
    <w:rsid w:val="00064A07"/>
    <w:rsid w:val="00065106"/>
    <w:rsid w:val="00065942"/>
    <w:rsid w:val="0006670C"/>
    <w:rsid w:val="000669C1"/>
    <w:rsid w:val="00067D92"/>
    <w:rsid w:val="00071F1A"/>
    <w:rsid w:val="000750DC"/>
    <w:rsid w:val="00075D7A"/>
    <w:rsid w:val="00077B52"/>
    <w:rsid w:val="00082493"/>
    <w:rsid w:val="00082667"/>
    <w:rsid w:val="00082D35"/>
    <w:rsid w:val="00083DC6"/>
    <w:rsid w:val="000869D8"/>
    <w:rsid w:val="00086ABA"/>
    <w:rsid w:val="00087FB3"/>
    <w:rsid w:val="000908CF"/>
    <w:rsid w:val="00092FC7"/>
    <w:rsid w:val="0009376D"/>
    <w:rsid w:val="00093CC0"/>
    <w:rsid w:val="00094502"/>
    <w:rsid w:val="000954D5"/>
    <w:rsid w:val="0009618D"/>
    <w:rsid w:val="0009709B"/>
    <w:rsid w:val="000977EC"/>
    <w:rsid w:val="000A253C"/>
    <w:rsid w:val="000A283E"/>
    <w:rsid w:val="000A2D2F"/>
    <w:rsid w:val="000A40E0"/>
    <w:rsid w:val="000A43A7"/>
    <w:rsid w:val="000A55D8"/>
    <w:rsid w:val="000A6434"/>
    <w:rsid w:val="000B00CC"/>
    <w:rsid w:val="000B05E2"/>
    <w:rsid w:val="000B0D8E"/>
    <w:rsid w:val="000B2568"/>
    <w:rsid w:val="000B3C10"/>
    <w:rsid w:val="000B4287"/>
    <w:rsid w:val="000B627F"/>
    <w:rsid w:val="000B7211"/>
    <w:rsid w:val="000B75EC"/>
    <w:rsid w:val="000C1EE4"/>
    <w:rsid w:val="000C3832"/>
    <w:rsid w:val="000C4425"/>
    <w:rsid w:val="000C60F0"/>
    <w:rsid w:val="000C611D"/>
    <w:rsid w:val="000C6956"/>
    <w:rsid w:val="000C6C59"/>
    <w:rsid w:val="000C7CC8"/>
    <w:rsid w:val="000D1063"/>
    <w:rsid w:val="000D1A7D"/>
    <w:rsid w:val="000D2309"/>
    <w:rsid w:val="000D38F9"/>
    <w:rsid w:val="000D5510"/>
    <w:rsid w:val="000D6F5C"/>
    <w:rsid w:val="000D784E"/>
    <w:rsid w:val="000E0070"/>
    <w:rsid w:val="000E4DE8"/>
    <w:rsid w:val="000E5421"/>
    <w:rsid w:val="000E5A27"/>
    <w:rsid w:val="000F0D94"/>
    <w:rsid w:val="000F2065"/>
    <w:rsid w:val="000F2A88"/>
    <w:rsid w:val="000F2C23"/>
    <w:rsid w:val="000F2D1B"/>
    <w:rsid w:val="000F3403"/>
    <w:rsid w:val="000F565B"/>
    <w:rsid w:val="000F5F3F"/>
    <w:rsid w:val="00101486"/>
    <w:rsid w:val="00101DD0"/>
    <w:rsid w:val="00102037"/>
    <w:rsid w:val="00102555"/>
    <w:rsid w:val="00103FB2"/>
    <w:rsid w:val="00104CBB"/>
    <w:rsid w:val="00107D54"/>
    <w:rsid w:val="0011089A"/>
    <w:rsid w:val="0011501D"/>
    <w:rsid w:val="0011521A"/>
    <w:rsid w:val="001153D0"/>
    <w:rsid w:val="00115A55"/>
    <w:rsid w:val="00115E6D"/>
    <w:rsid w:val="00117322"/>
    <w:rsid w:val="001212EF"/>
    <w:rsid w:val="0012144B"/>
    <w:rsid w:val="001217DC"/>
    <w:rsid w:val="0012203F"/>
    <w:rsid w:val="00122CB4"/>
    <w:rsid w:val="00123422"/>
    <w:rsid w:val="00123CC6"/>
    <w:rsid w:val="00123F9A"/>
    <w:rsid w:val="00125C8A"/>
    <w:rsid w:val="001262BD"/>
    <w:rsid w:val="00127BED"/>
    <w:rsid w:val="00130827"/>
    <w:rsid w:val="001308A2"/>
    <w:rsid w:val="0013390A"/>
    <w:rsid w:val="00134A9B"/>
    <w:rsid w:val="001350AC"/>
    <w:rsid w:val="00142222"/>
    <w:rsid w:val="00143653"/>
    <w:rsid w:val="00143B3A"/>
    <w:rsid w:val="00144DDF"/>
    <w:rsid w:val="00146978"/>
    <w:rsid w:val="0014765D"/>
    <w:rsid w:val="00150190"/>
    <w:rsid w:val="00156E3B"/>
    <w:rsid w:val="00157E23"/>
    <w:rsid w:val="00157FC3"/>
    <w:rsid w:val="00161C84"/>
    <w:rsid w:val="001626BD"/>
    <w:rsid w:val="00163120"/>
    <w:rsid w:val="00164E23"/>
    <w:rsid w:val="0016595F"/>
    <w:rsid w:val="00166754"/>
    <w:rsid w:val="00166A2C"/>
    <w:rsid w:val="001701B5"/>
    <w:rsid w:val="00170FE0"/>
    <w:rsid w:val="001712D1"/>
    <w:rsid w:val="00171CAB"/>
    <w:rsid w:val="00174D6D"/>
    <w:rsid w:val="00175101"/>
    <w:rsid w:val="00175466"/>
    <w:rsid w:val="00175D9D"/>
    <w:rsid w:val="00177167"/>
    <w:rsid w:val="001815EB"/>
    <w:rsid w:val="00181A66"/>
    <w:rsid w:val="00181B0A"/>
    <w:rsid w:val="00183264"/>
    <w:rsid w:val="00183C79"/>
    <w:rsid w:val="00183C8B"/>
    <w:rsid w:val="00183E75"/>
    <w:rsid w:val="001845CF"/>
    <w:rsid w:val="001862DA"/>
    <w:rsid w:val="001865BB"/>
    <w:rsid w:val="00187518"/>
    <w:rsid w:val="00187700"/>
    <w:rsid w:val="00190932"/>
    <w:rsid w:val="001928AF"/>
    <w:rsid w:val="00192A64"/>
    <w:rsid w:val="00195110"/>
    <w:rsid w:val="00195FE1"/>
    <w:rsid w:val="00196B4E"/>
    <w:rsid w:val="001A027A"/>
    <w:rsid w:val="001A0A63"/>
    <w:rsid w:val="001A0B94"/>
    <w:rsid w:val="001A0D2C"/>
    <w:rsid w:val="001A422B"/>
    <w:rsid w:val="001A440A"/>
    <w:rsid w:val="001A4A55"/>
    <w:rsid w:val="001A6A4F"/>
    <w:rsid w:val="001A7098"/>
    <w:rsid w:val="001A76B7"/>
    <w:rsid w:val="001A7E72"/>
    <w:rsid w:val="001B08E1"/>
    <w:rsid w:val="001B1339"/>
    <w:rsid w:val="001B1804"/>
    <w:rsid w:val="001B24AF"/>
    <w:rsid w:val="001B2E6C"/>
    <w:rsid w:val="001B47E4"/>
    <w:rsid w:val="001B615A"/>
    <w:rsid w:val="001B6FAD"/>
    <w:rsid w:val="001C04B2"/>
    <w:rsid w:val="001C1C85"/>
    <w:rsid w:val="001C1FDE"/>
    <w:rsid w:val="001C371D"/>
    <w:rsid w:val="001C453A"/>
    <w:rsid w:val="001C5839"/>
    <w:rsid w:val="001C77E1"/>
    <w:rsid w:val="001C7ADA"/>
    <w:rsid w:val="001D0E67"/>
    <w:rsid w:val="001D0FF3"/>
    <w:rsid w:val="001D3543"/>
    <w:rsid w:val="001D58E5"/>
    <w:rsid w:val="001D5D08"/>
    <w:rsid w:val="001E085F"/>
    <w:rsid w:val="001E2502"/>
    <w:rsid w:val="001E2692"/>
    <w:rsid w:val="001E292F"/>
    <w:rsid w:val="001E2B8B"/>
    <w:rsid w:val="001E3C03"/>
    <w:rsid w:val="001E45F6"/>
    <w:rsid w:val="001E474D"/>
    <w:rsid w:val="001E48A2"/>
    <w:rsid w:val="001E5A81"/>
    <w:rsid w:val="001F0349"/>
    <w:rsid w:val="001F0B74"/>
    <w:rsid w:val="001F0F96"/>
    <w:rsid w:val="001F3C04"/>
    <w:rsid w:val="001F4EB8"/>
    <w:rsid w:val="001F602F"/>
    <w:rsid w:val="001F6122"/>
    <w:rsid w:val="001F6F6A"/>
    <w:rsid w:val="001F7595"/>
    <w:rsid w:val="00200B4C"/>
    <w:rsid w:val="00202802"/>
    <w:rsid w:val="00203267"/>
    <w:rsid w:val="0020391D"/>
    <w:rsid w:val="00205F9C"/>
    <w:rsid w:val="0021031B"/>
    <w:rsid w:val="00210771"/>
    <w:rsid w:val="00211885"/>
    <w:rsid w:val="00211B75"/>
    <w:rsid w:val="00215699"/>
    <w:rsid w:val="002159DE"/>
    <w:rsid w:val="00215E99"/>
    <w:rsid w:val="002166A6"/>
    <w:rsid w:val="00216BB6"/>
    <w:rsid w:val="00216C18"/>
    <w:rsid w:val="0022048B"/>
    <w:rsid w:val="00222261"/>
    <w:rsid w:val="0022634D"/>
    <w:rsid w:val="00226C55"/>
    <w:rsid w:val="00227D49"/>
    <w:rsid w:val="00227FC7"/>
    <w:rsid w:val="00230D46"/>
    <w:rsid w:val="002313B4"/>
    <w:rsid w:val="0023276B"/>
    <w:rsid w:val="002336B7"/>
    <w:rsid w:val="00236E72"/>
    <w:rsid w:val="00237E33"/>
    <w:rsid w:val="00237E42"/>
    <w:rsid w:val="00250818"/>
    <w:rsid w:val="00250D11"/>
    <w:rsid w:val="00250F42"/>
    <w:rsid w:val="0025396F"/>
    <w:rsid w:val="00254518"/>
    <w:rsid w:val="00254B44"/>
    <w:rsid w:val="00254E99"/>
    <w:rsid w:val="00255B14"/>
    <w:rsid w:val="0026027A"/>
    <w:rsid w:val="00260533"/>
    <w:rsid w:val="00261367"/>
    <w:rsid w:val="00261A54"/>
    <w:rsid w:val="00261D37"/>
    <w:rsid w:val="00263607"/>
    <w:rsid w:val="0026456B"/>
    <w:rsid w:val="00264D4D"/>
    <w:rsid w:val="002656E1"/>
    <w:rsid w:val="00265CFF"/>
    <w:rsid w:val="00266386"/>
    <w:rsid w:val="002673AB"/>
    <w:rsid w:val="00271400"/>
    <w:rsid w:val="0027162B"/>
    <w:rsid w:val="00274563"/>
    <w:rsid w:val="00275641"/>
    <w:rsid w:val="00275A58"/>
    <w:rsid w:val="00277E97"/>
    <w:rsid w:val="002821E9"/>
    <w:rsid w:val="002829A0"/>
    <w:rsid w:val="002834EA"/>
    <w:rsid w:val="002842BE"/>
    <w:rsid w:val="0028787B"/>
    <w:rsid w:val="002908A7"/>
    <w:rsid w:val="00291796"/>
    <w:rsid w:val="00292F66"/>
    <w:rsid w:val="0029315D"/>
    <w:rsid w:val="00294309"/>
    <w:rsid w:val="0029449E"/>
    <w:rsid w:val="00295866"/>
    <w:rsid w:val="00295A05"/>
    <w:rsid w:val="00296043"/>
    <w:rsid w:val="002969C6"/>
    <w:rsid w:val="00296F46"/>
    <w:rsid w:val="00296F8A"/>
    <w:rsid w:val="00297A89"/>
    <w:rsid w:val="002A180F"/>
    <w:rsid w:val="002A4597"/>
    <w:rsid w:val="002A58C9"/>
    <w:rsid w:val="002A63A6"/>
    <w:rsid w:val="002A6AAF"/>
    <w:rsid w:val="002A7ED8"/>
    <w:rsid w:val="002B188A"/>
    <w:rsid w:val="002B22D4"/>
    <w:rsid w:val="002B2C0A"/>
    <w:rsid w:val="002B37BD"/>
    <w:rsid w:val="002B404C"/>
    <w:rsid w:val="002B5F60"/>
    <w:rsid w:val="002B7684"/>
    <w:rsid w:val="002B7969"/>
    <w:rsid w:val="002C1398"/>
    <w:rsid w:val="002C257A"/>
    <w:rsid w:val="002C3077"/>
    <w:rsid w:val="002C3550"/>
    <w:rsid w:val="002C5D1B"/>
    <w:rsid w:val="002C7DAA"/>
    <w:rsid w:val="002D0356"/>
    <w:rsid w:val="002D07C0"/>
    <w:rsid w:val="002D1DFB"/>
    <w:rsid w:val="002D45BF"/>
    <w:rsid w:val="002D4A85"/>
    <w:rsid w:val="002D64DF"/>
    <w:rsid w:val="002E0F88"/>
    <w:rsid w:val="002E36BC"/>
    <w:rsid w:val="002E38DB"/>
    <w:rsid w:val="002E4BAF"/>
    <w:rsid w:val="002E7510"/>
    <w:rsid w:val="002E7A8B"/>
    <w:rsid w:val="002F027E"/>
    <w:rsid w:val="002F1ADA"/>
    <w:rsid w:val="002F1BD1"/>
    <w:rsid w:val="002F1DB6"/>
    <w:rsid w:val="002F2B7A"/>
    <w:rsid w:val="002F3105"/>
    <w:rsid w:val="002F3248"/>
    <w:rsid w:val="002F41A5"/>
    <w:rsid w:val="002F4C44"/>
    <w:rsid w:val="002F555A"/>
    <w:rsid w:val="002F6441"/>
    <w:rsid w:val="002F72FF"/>
    <w:rsid w:val="00301BCD"/>
    <w:rsid w:val="0030463E"/>
    <w:rsid w:val="0030471F"/>
    <w:rsid w:val="00304ED6"/>
    <w:rsid w:val="00306FF4"/>
    <w:rsid w:val="00307C9E"/>
    <w:rsid w:val="00307D6E"/>
    <w:rsid w:val="00310454"/>
    <w:rsid w:val="00312AD3"/>
    <w:rsid w:val="00312E47"/>
    <w:rsid w:val="00315A06"/>
    <w:rsid w:val="00316C35"/>
    <w:rsid w:val="00317D36"/>
    <w:rsid w:val="003219B7"/>
    <w:rsid w:val="00321CB1"/>
    <w:rsid w:val="003225FB"/>
    <w:rsid w:val="003238CB"/>
    <w:rsid w:val="00323A7C"/>
    <w:rsid w:val="00323BE9"/>
    <w:rsid w:val="00323C32"/>
    <w:rsid w:val="003247C8"/>
    <w:rsid w:val="00324813"/>
    <w:rsid w:val="00324A1D"/>
    <w:rsid w:val="00325742"/>
    <w:rsid w:val="00327948"/>
    <w:rsid w:val="00327AB3"/>
    <w:rsid w:val="00334400"/>
    <w:rsid w:val="00336171"/>
    <w:rsid w:val="0033739F"/>
    <w:rsid w:val="0034054B"/>
    <w:rsid w:val="00342DC1"/>
    <w:rsid w:val="0034317E"/>
    <w:rsid w:val="00343F41"/>
    <w:rsid w:val="00345EA7"/>
    <w:rsid w:val="0034652C"/>
    <w:rsid w:val="00346D46"/>
    <w:rsid w:val="00347724"/>
    <w:rsid w:val="0035067B"/>
    <w:rsid w:val="00351A4A"/>
    <w:rsid w:val="00351BE3"/>
    <w:rsid w:val="00351FB4"/>
    <w:rsid w:val="00352C9B"/>
    <w:rsid w:val="0035346F"/>
    <w:rsid w:val="00360494"/>
    <w:rsid w:val="00361C35"/>
    <w:rsid w:val="003621BA"/>
    <w:rsid w:val="0036508D"/>
    <w:rsid w:val="003651C8"/>
    <w:rsid w:val="003664F5"/>
    <w:rsid w:val="003666DE"/>
    <w:rsid w:val="003669F1"/>
    <w:rsid w:val="00366BB7"/>
    <w:rsid w:val="003700A3"/>
    <w:rsid w:val="00370B40"/>
    <w:rsid w:val="003729FB"/>
    <w:rsid w:val="00373411"/>
    <w:rsid w:val="00373D40"/>
    <w:rsid w:val="00374C8B"/>
    <w:rsid w:val="003758BB"/>
    <w:rsid w:val="00376B8B"/>
    <w:rsid w:val="00380094"/>
    <w:rsid w:val="0038165D"/>
    <w:rsid w:val="003822D1"/>
    <w:rsid w:val="00383071"/>
    <w:rsid w:val="00383F15"/>
    <w:rsid w:val="00383F97"/>
    <w:rsid w:val="00385F39"/>
    <w:rsid w:val="00386EAA"/>
    <w:rsid w:val="00391FAB"/>
    <w:rsid w:val="00392539"/>
    <w:rsid w:val="00392677"/>
    <w:rsid w:val="003930CE"/>
    <w:rsid w:val="00394981"/>
    <w:rsid w:val="00394A36"/>
    <w:rsid w:val="00394D94"/>
    <w:rsid w:val="003953A8"/>
    <w:rsid w:val="0039542D"/>
    <w:rsid w:val="003955C9"/>
    <w:rsid w:val="00395CC5"/>
    <w:rsid w:val="0039788E"/>
    <w:rsid w:val="003A33B5"/>
    <w:rsid w:val="003A3551"/>
    <w:rsid w:val="003A38F0"/>
    <w:rsid w:val="003A3B5D"/>
    <w:rsid w:val="003A443D"/>
    <w:rsid w:val="003A525B"/>
    <w:rsid w:val="003A5E1D"/>
    <w:rsid w:val="003A6A5A"/>
    <w:rsid w:val="003A6BB4"/>
    <w:rsid w:val="003A72E9"/>
    <w:rsid w:val="003B183C"/>
    <w:rsid w:val="003B3629"/>
    <w:rsid w:val="003B444A"/>
    <w:rsid w:val="003B5A08"/>
    <w:rsid w:val="003B5EF3"/>
    <w:rsid w:val="003C274D"/>
    <w:rsid w:val="003C4A14"/>
    <w:rsid w:val="003C5B3E"/>
    <w:rsid w:val="003D03BB"/>
    <w:rsid w:val="003D2333"/>
    <w:rsid w:val="003D5413"/>
    <w:rsid w:val="003D7D9F"/>
    <w:rsid w:val="003E26DE"/>
    <w:rsid w:val="003E37AA"/>
    <w:rsid w:val="003E47DE"/>
    <w:rsid w:val="003E7F84"/>
    <w:rsid w:val="003F10D3"/>
    <w:rsid w:val="003F1548"/>
    <w:rsid w:val="003F2B3D"/>
    <w:rsid w:val="003F3105"/>
    <w:rsid w:val="003F4172"/>
    <w:rsid w:val="003F4249"/>
    <w:rsid w:val="003F5086"/>
    <w:rsid w:val="003F6E39"/>
    <w:rsid w:val="003F7EBD"/>
    <w:rsid w:val="003F7EC2"/>
    <w:rsid w:val="00400346"/>
    <w:rsid w:val="00403364"/>
    <w:rsid w:val="0040415C"/>
    <w:rsid w:val="0041450E"/>
    <w:rsid w:val="00415370"/>
    <w:rsid w:val="00415781"/>
    <w:rsid w:val="00416F40"/>
    <w:rsid w:val="004176B9"/>
    <w:rsid w:val="00417769"/>
    <w:rsid w:val="00421EF2"/>
    <w:rsid w:val="00422668"/>
    <w:rsid w:val="00422E97"/>
    <w:rsid w:val="0042469B"/>
    <w:rsid w:val="0042602D"/>
    <w:rsid w:val="00427D3D"/>
    <w:rsid w:val="00431AC1"/>
    <w:rsid w:val="004329C9"/>
    <w:rsid w:val="00432A55"/>
    <w:rsid w:val="00432CD5"/>
    <w:rsid w:val="00435683"/>
    <w:rsid w:val="004363AE"/>
    <w:rsid w:val="004363FA"/>
    <w:rsid w:val="004364CC"/>
    <w:rsid w:val="00436B3B"/>
    <w:rsid w:val="0044020B"/>
    <w:rsid w:val="004405B0"/>
    <w:rsid w:val="00441C9A"/>
    <w:rsid w:val="00441FF9"/>
    <w:rsid w:val="00442C5D"/>
    <w:rsid w:val="004433D8"/>
    <w:rsid w:val="0044382F"/>
    <w:rsid w:val="004442EB"/>
    <w:rsid w:val="0045106C"/>
    <w:rsid w:val="0045135E"/>
    <w:rsid w:val="004515F9"/>
    <w:rsid w:val="00452C53"/>
    <w:rsid w:val="00453377"/>
    <w:rsid w:val="00454597"/>
    <w:rsid w:val="004548E6"/>
    <w:rsid w:val="0045543A"/>
    <w:rsid w:val="004561F9"/>
    <w:rsid w:val="0045637C"/>
    <w:rsid w:val="00456F7B"/>
    <w:rsid w:val="0045748B"/>
    <w:rsid w:val="0045769D"/>
    <w:rsid w:val="004600C9"/>
    <w:rsid w:val="004603D6"/>
    <w:rsid w:val="00462B8A"/>
    <w:rsid w:val="00463F8B"/>
    <w:rsid w:val="00465C1D"/>
    <w:rsid w:val="0046687B"/>
    <w:rsid w:val="00467F12"/>
    <w:rsid w:val="00470418"/>
    <w:rsid w:val="0047173E"/>
    <w:rsid w:val="004727C4"/>
    <w:rsid w:val="00473579"/>
    <w:rsid w:val="004767F2"/>
    <w:rsid w:val="0047738F"/>
    <w:rsid w:val="00482104"/>
    <w:rsid w:val="0048231B"/>
    <w:rsid w:val="0048233B"/>
    <w:rsid w:val="004838D4"/>
    <w:rsid w:val="00483D7F"/>
    <w:rsid w:val="004845AC"/>
    <w:rsid w:val="00485044"/>
    <w:rsid w:val="00485E3C"/>
    <w:rsid w:val="00486BCD"/>
    <w:rsid w:val="00486EE4"/>
    <w:rsid w:val="00487C76"/>
    <w:rsid w:val="00487E80"/>
    <w:rsid w:val="0049131E"/>
    <w:rsid w:val="004915C1"/>
    <w:rsid w:val="00492735"/>
    <w:rsid w:val="004938B5"/>
    <w:rsid w:val="00494FC9"/>
    <w:rsid w:val="00495A2D"/>
    <w:rsid w:val="004A1BC0"/>
    <w:rsid w:val="004A201B"/>
    <w:rsid w:val="004A2B99"/>
    <w:rsid w:val="004A3423"/>
    <w:rsid w:val="004A4377"/>
    <w:rsid w:val="004A4F8A"/>
    <w:rsid w:val="004A5643"/>
    <w:rsid w:val="004A57EB"/>
    <w:rsid w:val="004A5824"/>
    <w:rsid w:val="004A7D3F"/>
    <w:rsid w:val="004B1A8A"/>
    <w:rsid w:val="004B1CAB"/>
    <w:rsid w:val="004B24C7"/>
    <w:rsid w:val="004B36ED"/>
    <w:rsid w:val="004B612E"/>
    <w:rsid w:val="004B623B"/>
    <w:rsid w:val="004B6C30"/>
    <w:rsid w:val="004B7B6B"/>
    <w:rsid w:val="004C0A72"/>
    <w:rsid w:val="004C343E"/>
    <w:rsid w:val="004C3E02"/>
    <w:rsid w:val="004C422D"/>
    <w:rsid w:val="004C4CEB"/>
    <w:rsid w:val="004C600A"/>
    <w:rsid w:val="004C76D6"/>
    <w:rsid w:val="004D000F"/>
    <w:rsid w:val="004D0B1F"/>
    <w:rsid w:val="004D4AE0"/>
    <w:rsid w:val="004D7092"/>
    <w:rsid w:val="004D7A6D"/>
    <w:rsid w:val="004D7BF4"/>
    <w:rsid w:val="004D7C92"/>
    <w:rsid w:val="004E1A92"/>
    <w:rsid w:val="004E25FE"/>
    <w:rsid w:val="004E38B2"/>
    <w:rsid w:val="004E3936"/>
    <w:rsid w:val="004E4375"/>
    <w:rsid w:val="004E57F7"/>
    <w:rsid w:val="004E5D9C"/>
    <w:rsid w:val="004E6B8E"/>
    <w:rsid w:val="004F0543"/>
    <w:rsid w:val="004F2464"/>
    <w:rsid w:val="004F39E6"/>
    <w:rsid w:val="004F5309"/>
    <w:rsid w:val="004F7578"/>
    <w:rsid w:val="00500F7A"/>
    <w:rsid w:val="005011F2"/>
    <w:rsid w:val="005012AD"/>
    <w:rsid w:val="005027BB"/>
    <w:rsid w:val="005027FF"/>
    <w:rsid w:val="005037E1"/>
    <w:rsid w:val="00503B5C"/>
    <w:rsid w:val="0050456A"/>
    <w:rsid w:val="005068E1"/>
    <w:rsid w:val="005077B8"/>
    <w:rsid w:val="005077C5"/>
    <w:rsid w:val="005109C3"/>
    <w:rsid w:val="005114A3"/>
    <w:rsid w:val="00511578"/>
    <w:rsid w:val="0051168A"/>
    <w:rsid w:val="005122F4"/>
    <w:rsid w:val="0051378D"/>
    <w:rsid w:val="005156A6"/>
    <w:rsid w:val="00516393"/>
    <w:rsid w:val="00517CBD"/>
    <w:rsid w:val="0052007F"/>
    <w:rsid w:val="00520B4F"/>
    <w:rsid w:val="00523FDE"/>
    <w:rsid w:val="00524AD7"/>
    <w:rsid w:val="00524B78"/>
    <w:rsid w:val="00524C32"/>
    <w:rsid w:val="00525C95"/>
    <w:rsid w:val="0052720F"/>
    <w:rsid w:val="0052777E"/>
    <w:rsid w:val="00527D36"/>
    <w:rsid w:val="0053016F"/>
    <w:rsid w:val="005328A8"/>
    <w:rsid w:val="00532ED1"/>
    <w:rsid w:val="005333A6"/>
    <w:rsid w:val="00533920"/>
    <w:rsid w:val="00535324"/>
    <w:rsid w:val="00535BCB"/>
    <w:rsid w:val="005362F0"/>
    <w:rsid w:val="0054216F"/>
    <w:rsid w:val="0054217F"/>
    <w:rsid w:val="00542F18"/>
    <w:rsid w:val="00543D3F"/>
    <w:rsid w:val="00544853"/>
    <w:rsid w:val="005450E2"/>
    <w:rsid w:val="00546BC1"/>
    <w:rsid w:val="00547B51"/>
    <w:rsid w:val="005508BA"/>
    <w:rsid w:val="00551BC0"/>
    <w:rsid w:val="0055232C"/>
    <w:rsid w:val="00552D5B"/>
    <w:rsid w:val="00556A77"/>
    <w:rsid w:val="00557006"/>
    <w:rsid w:val="0055764E"/>
    <w:rsid w:val="0056017B"/>
    <w:rsid w:val="00560528"/>
    <w:rsid w:val="005608A8"/>
    <w:rsid w:val="00561923"/>
    <w:rsid w:val="00562773"/>
    <w:rsid w:val="00562A9F"/>
    <w:rsid w:val="00562DC0"/>
    <w:rsid w:val="0056310A"/>
    <w:rsid w:val="0056336F"/>
    <w:rsid w:val="00563CF8"/>
    <w:rsid w:val="0056404F"/>
    <w:rsid w:val="00566180"/>
    <w:rsid w:val="00567598"/>
    <w:rsid w:val="0056793E"/>
    <w:rsid w:val="005705B8"/>
    <w:rsid w:val="00571319"/>
    <w:rsid w:val="00571D59"/>
    <w:rsid w:val="00572093"/>
    <w:rsid w:val="00572E3E"/>
    <w:rsid w:val="005738BA"/>
    <w:rsid w:val="0057420B"/>
    <w:rsid w:val="00574FEE"/>
    <w:rsid w:val="00575E20"/>
    <w:rsid w:val="00580280"/>
    <w:rsid w:val="0058135A"/>
    <w:rsid w:val="00582129"/>
    <w:rsid w:val="005825B0"/>
    <w:rsid w:val="00584058"/>
    <w:rsid w:val="005851E0"/>
    <w:rsid w:val="00585571"/>
    <w:rsid w:val="00585B91"/>
    <w:rsid w:val="00585EB3"/>
    <w:rsid w:val="00586BF1"/>
    <w:rsid w:val="0058770D"/>
    <w:rsid w:val="005903E4"/>
    <w:rsid w:val="0059059E"/>
    <w:rsid w:val="005909BC"/>
    <w:rsid w:val="00590C1C"/>
    <w:rsid w:val="0059288B"/>
    <w:rsid w:val="00592E36"/>
    <w:rsid w:val="00593678"/>
    <w:rsid w:val="005950D6"/>
    <w:rsid w:val="00595802"/>
    <w:rsid w:val="00595F05"/>
    <w:rsid w:val="0059751C"/>
    <w:rsid w:val="00597919"/>
    <w:rsid w:val="00597C3D"/>
    <w:rsid w:val="005A0B9F"/>
    <w:rsid w:val="005A0DA9"/>
    <w:rsid w:val="005A50E7"/>
    <w:rsid w:val="005A63D8"/>
    <w:rsid w:val="005A7DBE"/>
    <w:rsid w:val="005B1244"/>
    <w:rsid w:val="005B35FA"/>
    <w:rsid w:val="005B3606"/>
    <w:rsid w:val="005B49B6"/>
    <w:rsid w:val="005B7733"/>
    <w:rsid w:val="005B7744"/>
    <w:rsid w:val="005B7A22"/>
    <w:rsid w:val="005C0213"/>
    <w:rsid w:val="005C0263"/>
    <w:rsid w:val="005C0602"/>
    <w:rsid w:val="005C0EBC"/>
    <w:rsid w:val="005C1BC0"/>
    <w:rsid w:val="005C274D"/>
    <w:rsid w:val="005C40C7"/>
    <w:rsid w:val="005C56DF"/>
    <w:rsid w:val="005C6321"/>
    <w:rsid w:val="005C6323"/>
    <w:rsid w:val="005C7DE4"/>
    <w:rsid w:val="005C7EB5"/>
    <w:rsid w:val="005D25C8"/>
    <w:rsid w:val="005D3771"/>
    <w:rsid w:val="005D4CF7"/>
    <w:rsid w:val="005D4E66"/>
    <w:rsid w:val="005D5347"/>
    <w:rsid w:val="005D5CC5"/>
    <w:rsid w:val="005D61EA"/>
    <w:rsid w:val="005D787B"/>
    <w:rsid w:val="005D7B2B"/>
    <w:rsid w:val="005E04B5"/>
    <w:rsid w:val="005E12BE"/>
    <w:rsid w:val="005E1C53"/>
    <w:rsid w:val="005E24F2"/>
    <w:rsid w:val="005E3FDD"/>
    <w:rsid w:val="005E603B"/>
    <w:rsid w:val="005E7ECB"/>
    <w:rsid w:val="005F2EA8"/>
    <w:rsid w:val="005F6315"/>
    <w:rsid w:val="005F64C6"/>
    <w:rsid w:val="005F784E"/>
    <w:rsid w:val="00600286"/>
    <w:rsid w:val="006008F1"/>
    <w:rsid w:val="00601484"/>
    <w:rsid w:val="00601735"/>
    <w:rsid w:val="00602081"/>
    <w:rsid w:val="00602761"/>
    <w:rsid w:val="00602BD2"/>
    <w:rsid w:val="00605C53"/>
    <w:rsid w:val="006105FE"/>
    <w:rsid w:val="0061104C"/>
    <w:rsid w:val="006138AC"/>
    <w:rsid w:val="00613C47"/>
    <w:rsid w:val="00615021"/>
    <w:rsid w:val="00616201"/>
    <w:rsid w:val="00616225"/>
    <w:rsid w:val="006162DA"/>
    <w:rsid w:val="006163FB"/>
    <w:rsid w:val="00617A8B"/>
    <w:rsid w:val="00620499"/>
    <w:rsid w:val="00620E1B"/>
    <w:rsid w:val="00620F9D"/>
    <w:rsid w:val="00621904"/>
    <w:rsid w:val="00622FEA"/>
    <w:rsid w:val="00623CDF"/>
    <w:rsid w:val="00623DB1"/>
    <w:rsid w:val="00623E83"/>
    <w:rsid w:val="006245F3"/>
    <w:rsid w:val="0062520A"/>
    <w:rsid w:val="00626576"/>
    <w:rsid w:val="006304F9"/>
    <w:rsid w:val="00630CF6"/>
    <w:rsid w:val="006319CA"/>
    <w:rsid w:val="00632355"/>
    <w:rsid w:val="00632820"/>
    <w:rsid w:val="00634EC0"/>
    <w:rsid w:val="0063627F"/>
    <w:rsid w:val="006368FD"/>
    <w:rsid w:val="00636F3A"/>
    <w:rsid w:val="00640C1A"/>
    <w:rsid w:val="00640E88"/>
    <w:rsid w:val="00642320"/>
    <w:rsid w:val="006425D2"/>
    <w:rsid w:val="00642D72"/>
    <w:rsid w:val="006440DC"/>
    <w:rsid w:val="006443CB"/>
    <w:rsid w:val="00644F80"/>
    <w:rsid w:val="00645874"/>
    <w:rsid w:val="00645BAA"/>
    <w:rsid w:val="00650271"/>
    <w:rsid w:val="006508BE"/>
    <w:rsid w:val="0065106B"/>
    <w:rsid w:val="00651ADF"/>
    <w:rsid w:val="006529D2"/>
    <w:rsid w:val="00653F11"/>
    <w:rsid w:val="006569DD"/>
    <w:rsid w:val="00656FDF"/>
    <w:rsid w:val="006605B1"/>
    <w:rsid w:val="00660B74"/>
    <w:rsid w:val="00661918"/>
    <w:rsid w:val="00662A5A"/>
    <w:rsid w:val="00662FB7"/>
    <w:rsid w:val="006636D0"/>
    <w:rsid w:val="006653D7"/>
    <w:rsid w:val="0066601D"/>
    <w:rsid w:val="006663B6"/>
    <w:rsid w:val="006665BA"/>
    <w:rsid w:val="00666A4F"/>
    <w:rsid w:val="00667D28"/>
    <w:rsid w:val="006703D9"/>
    <w:rsid w:val="00671402"/>
    <w:rsid w:val="00673586"/>
    <w:rsid w:val="006756C7"/>
    <w:rsid w:val="006768B0"/>
    <w:rsid w:val="00680936"/>
    <w:rsid w:val="00680D8C"/>
    <w:rsid w:val="006818BA"/>
    <w:rsid w:val="00681BC4"/>
    <w:rsid w:val="00681F7E"/>
    <w:rsid w:val="006826B3"/>
    <w:rsid w:val="00682725"/>
    <w:rsid w:val="00682ED3"/>
    <w:rsid w:val="006836D4"/>
    <w:rsid w:val="00690A31"/>
    <w:rsid w:val="00690AA5"/>
    <w:rsid w:val="00692582"/>
    <w:rsid w:val="00693652"/>
    <w:rsid w:val="006939E7"/>
    <w:rsid w:val="00693D3E"/>
    <w:rsid w:val="006942F7"/>
    <w:rsid w:val="00695E60"/>
    <w:rsid w:val="00696195"/>
    <w:rsid w:val="00696B0E"/>
    <w:rsid w:val="00697FE8"/>
    <w:rsid w:val="006A2150"/>
    <w:rsid w:val="006A241D"/>
    <w:rsid w:val="006A2F71"/>
    <w:rsid w:val="006A3288"/>
    <w:rsid w:val="006A421F"/>
    <w:rsid w:val="006A43E6"/>
    <w:rsid w:val="006A50CF"/>
    <w:rsid w:val="006A70BE"/>
    <w:rsid w:val="006B059F"/>
    <w:rsid w:val="006B45F6"/>
    <w:rsid w:val="006B59DA"/>
    <w:rsid w:val="006B65CD"/>
    <w:rsid w:val="006B6F32"/>
    <w:rsid w:val="006B7130"/>
    <w:rsid w:val="006B74B5"/>
    <w:rsid w:val="006C16B0"/>
    <w:rsid w:val="006C1941"/>
    <w:rsid w:val="006C3E5D"/>
    <w:rsid w:val="006C4150"/>
    <w:rsid w:val="006C5683"/>
    <w:rsid w:val="006C5E33"/>
    <w:rsid w:val="006C5E48"/>
    <w:rsid w:val="006C5ED1"/>
    <w:rsid w:val="006C6434"/>
    <w:rsid w:val="006C6CD8"/>
    <w:rsid w:val="006D013F"/>
    <w:rsid w:val="006D017F"/>
    <w:rsid w:val="006D1D3F"/>
    <w:rsid w:val="006D253B"/>
    <w:rsid w:val="006D262F"/>
    <w:rsid w:val="006D3CD8"/>
    <w:rsid w:val="006D4C8F"/>
    <w:rsid w:val="006D4ECB"/>
    <w:rsid w:val="006D57CB"/>
    <w:rsid w:val="006D5AA9"/>
    <w:rsid w:val="006D6CDD"/>
    <w:rsid w:val="006E0CD0"/>
    <w:rsid w:val="006E3844"/>
    <w:rsid w:val="006E4238"/>
    <w:rsid w:val="006E7404"/>
    <w:rsid w:val="006E7B97"/>
    <w:rsid w:val="006E7E0C"/>
    <w:rsid w:val="006F03F3"/>
    <w:rsid w:val="006F10EC"/>
    <w:rsid w:val="006F2627"/>
    <w:rsid w:val="006F2C32"/>
    <w:rsid w:val="006F3C14"/>
    <w:rsid w:val="006F5031"/>
    <w:rsid w:val="006F5B2E"/>
    <w:rsid w:val="006F62AD"/>
    <w:rsid w:val="006F6D4C"/>
    <w:rsid w:val="006F6E67"/>
    <w:rsid w:val="006F7036"/>
    <w:rsid w:val="006F7157"/>
    <w:rsid w:val="006F721B"/>
    <w:rsid w:val="006F78A8"/>
    <w:rsid w:val="006F78E0"/>
    <w:rsid w:val="00700A1E"/>
    <w:rsid w:val="00701957"/>
    <w:rsid w:val="00702B1B"/>
    <w:rsid w:val="007030FA"/>
    <w:rsid w:val="00704117"/>
    <w:rsid w:val="00704164"/>
    <w:rsid w:val="00705197"/>
    <w:rsid w:val="0070619F"/>
    <w:rsid w:val="00706A58"/>
    <w:rsid w:val="00707AC7"/>
    <w:rsid w:val="007110E1"/>
    <w:rsid w:val="00714394"/>
    <w:rsid w:val="00717B25"/>
    <w:rsid w:val="00717C8C"/>
    <w:rsid w:val="00721C26"/>
    <w:rsid w:val="00721F06"/>
    <w:rsid w:val="00721F7E"/>
    <w:rsid w:val="00722E29"/>
    <w:rsid w:val="007238B5"/>
    <w:rsid w:val="00724606"/>
    <w:rsid w:val="007248EA"/>
    <w:rsid w:val="00724E85"/>
    <w:rsid w:val="00731391"/>
    <w:rsid w:val="007347F9"/>
    <w:rsid w:val="00734887"/>
    <w:rsid w:val="007365B6"/>
    <w:rsid w:val="007401E2"/>
    <w:rsid w:val="00740C05"/>
    <w:rsid w:val="00740F18"/>
    <w:rsid w:val="007411E5"/>
    <w:rsid w:val="0074324F"/>
    <w:rsid w:val="00746951"/>
    <w:rsid w:val="007476B0"/>
    <w:rsid w:val="0074791E"/>
    <w:rsid w:val="00750C5F"/>
    <w:rsid w:val="0075115D"/>
    <w:rsid w:val="00751A33"/>
    <w:rsid w:val="00752609"/>
    <w:rsid w:val="00753890"/>
    <w:rsid w:val="007555DF"/>
    <w:rsid w:val="007565CF"/>
    <w:rsid w:val="007567E2"/>
    <w:rsid w:val="00761434"/>
    <w:rsid w:val="007617E4"/>
    <w:rsid w:val="00761FD5"/>
    <w:rsid w:val="00765DD8"/>
    <w:rsid w:val="00766D36"/>
    <w:rsid w:val="00767607"/>
    <w:rsid w:val="00767EC5"/>
    <w:rsid w:val="00771AFC"/>
    <w:rsid w:val="0077233F"/>
    <w:rsid w:val="00772857"/>
    <w:rsid w:val="007735A0"/>
    <w:rsid w:val="00773874"/>
    <w:rsid w:val="00775114"/>
    <w:rsid w:val="007805FD"/>
    <w:rsid w:val="007806A0"/>
    <w:rsid w:val="00780F0B"/>
    <w:rsid w:val="0078243A"/>
    <w:rsid w:val="007840F3"/>
    <w:rsid w:val="00785491"/>
    <w:rsid w:val="007858C0"/>
    <w:rsid w:val="007861D5"/>
    <w:rsid w:val="0078679A"/>
    <w:rsid w:val="00786CBC"/>
    <w:rsid w:val="007902C7"/>
    <w:rsid w:val="00790392"/>
    <w:rsid w:val="00791E50"/>
    <w:rsid w:val="00792447"/>
    <w:rsid w:val="0079694C"/>
    <w:rsid w:val="007A4A53"/>
    <w:rsid w:val="007A4E17"/>
    <w:rsid w:val="007A5E2E"/>
    <w:rsid w:val="007A7F6D"/>
    <w:rsid w:val="007B0FBD"/>
    <w:rsid w:val="007B14E4"/>
    <w:rsid w:val="007B1513"/>
    <w:rsid w:val="007B1BAF"/>
    <w:rsid w:val="007B2613"/>
    <w:rsid w:val="007B35F7"/>
    <w:rsid w:val="007B3F04"/>
    <w:rsid w:val="007B41AD"/>
    <w:rsid w:val="007B4F72"/>
    <w:rsid w:val="007B6E7F"/>
    <w:rsid w:val="007C0E04"/>
    <w:rsid w:val="007C2827"/>
    <w:rsid w:val="007C3084"/>
    <w:rsid w:val="007C33E9"/>
    <w:rsid w:val="007C3A26"/>
    <w:rsid w:val="007C4CE1"/>
    <w:rsid w:val="007C543F"/>
    <w:rsid w:val="007C597D"/>
    <w:rsid w:val="007C74E5"/>
    <w:rsid w:val="007C7F57"/>
    <w:rsid w:val="007D0CF3"/>
    <w:rsid w:val="007D0E43"/>
    <w:rsid w:val="007D1064"/>
    <w:rsid w:val="007D110D"/>
    <w:rsid w:val="007D13E7"/>
    <w:rsid w:val="007D1E37"/>
    <w:rsid w:val="007D2BEC"/>
    <w:rsid w:val="007D563E"/>
    <w:rsid w:val="007D5FC1"/>
    <w:rsid w:val="007D6274"/>
    <w:rsid w:val="007D715A"/>
    <w:rsid w:val="007E0956"/>
    <w:rsid w:val="007E0E9E"/>
    <w:rsid w:val="007E1760"/>
    <w:rsid w:val="007E21FB"/>
    <w:rsid w:val="007E420B"/>
    <w:rsid w:val="007E4932"/>
    <w:rsid w:val="007E502C"/>
    <w:rsid w:val="007E5BD7"/>
    <w:rsid w:val="007E75F0"/>
    <w:rsid w:val="007E7968"/>
    <w:rsid w:val="007F013A"/>
    <w:rsid w:val="007F0438"/>
    <w:rsid w:val="007F15DB"/>
    <w:rsid w:val="007F20BF"/>
    <w:rsid w:val="007F2D90"/>
    <w:rsid w:val="007F2E3A"/>
    <w:rsid w:val="007F4F82"/>
    <w:rsid w:val="007F5E16"/>
    <w:rsid w:val="008022B0"/>
    <w:rsid w:val="00802FF0"/>
    <w:rsid w:val="00803B66"/>
    <w:rsid w:val="00804653"/>
    <w:rsid w:val="008048E6"/>
    <w:rsid w:val="00804FDA"/>
    <w:rsid w:val="00805FFC"/>
    <w:rsid w:val="00806A84"/>
    <w:rsid w:val="00807A9F"/>
    <w:rsid w:val="00807C6C"/>
    <w:rsid w:val="00807DA4"/>
    <w:rsid w:val="00807E48"/>
    <w:rsid w:val="008100B5"/>
    <w:rsid w:val="00810B5A"/>
    <w:rsid w:val="0081340B"/>
    <w:rsid w:val="00813815"/>
    <w:rsid w:val="00814F7B"/>
    <w:rsid w:val="00814F7C"/>
    <w:rsid w:val="008176F6"/>
    <w:rsid w:val="00817796"/>
    <w:rsid w:val="00817BB4"/>
    <w:rsid w:val="00821021"/>
    <w:rsid w:val="0082103F"/>
    <w:rsid w:val="008214BB"/>
    <w:rsid w:val="00821B58"/>
    <w:rsid w:val="00822D4E"/>
    <w:rsid w:val="00824A69"/>
    <w:rsid w:val="00826F4C"/>
    <w:rsid w:val="008305A4"/>
    <w:rsid w:val="00833DE9"/>
    <w:rsid w:val="00834991"/>
    <w:rsid w:val="00834C3F"/>
    <w:rsid w:val="008377DA"/>
    <w:rsid w:val="008401A7"/>
    <w:rsid w:val="00840A75"/>
    <w:rsid w:val="00841B84"/>
    <w:rsid w:val="00844A5E"/>
    <w:rsid w:val="00845303"/>
    <w:rsid w:val="00845A15"/>
    <w:rsid w:val="0084632F"/>
    <w:rsid w:val="00846C97"/>
    <w:rsid w:val="00850399"/>
    <w:rsid w:val="008516D4"/>
    <w:rsid w:val="00853025"/>
    <w:rsid w:val="00855B06"/>
    <w:rsid w:val="00855EF0"/>
    <w:rsid w:val="00857D29"/>
    <w:rsid w:val="00857EDE"/>
    <w:rsid w:val="00860FDE"/>
    <w:rsid w:val="008629A8"/>
    <w:rsid w:val="008660F7"/>
    <w:rsid w:val="00870CB6"/>
    <w:rsid w:val="008710E8"/>
    <w:rsid w:val="00871311"/>
    <w:rsid w:val="00872301"/>
    <w:rsid w:val="00872DED"/>
    <w:rsid w:val="00873514"/>
    <w:rsid w:val="008738A4"/>
    <w:rsid w:val="00873946"/>
    <w:rsid w:val="00873DF8"/>
    <w:rsid w:val="00873FEA"/>
    <w:rsid w:val="0087419B"/>
    <w:rsid w:val="00874592"/>
    <w:rsid w:val="00877936"/>
    <w:rsid w:val="00877A1C"/>
    <w:rsid w:val="008818F6"/>
    <w:rsid w:val="0088398E"/>
    <w:rsid w:val="0088409D"/>
    <w:rsid w:val="00885182"/>
    <w:rsid w:val="00887E02"/>
    <w:rsid w:val="00891106"/>
    <w:rsid w:val="0089177F"/>
    <w:rsid w:val="008917BA"/>
    <w:rsid w:val="00891F81"/>
    <w:rsid w:val="008925F5"/>
    <w:rsid w:val="00892887"/>
    <w:rsid w:val="00893479"/>
    <w:rsid w:val="00897A5D"/>
    <w:rsid w:val="008A0D86"/>
    <w:rsid w:val="008A0EAA"/>
    <w:rsid w:val="008A1698"/>
    <w:rsid w:val="008A1C47"/>
    <w:rsid w:val="008A37A4"/>
    <w:rsid w:val="008A5290"/>
    <w:rsid w:val="008A593A"/>
    <w:rsid w:val="008A6C5A"/>
    <w:rsid w:val="008B2032"/>
    <w:rsid w:val="008B244C"/>
    <w:rsid w:val="008B28C8"/>
    <w:rsid w:val="008B2DF3"/>
    <w:rsid w:val="008B302B"/>
    <w:rsid w:val="008B3310"/>
    <w:rsid w:val="008B376A"/>
    <w:rsid w:val="008B43B3"/>
    <w:rsid w:val="008B6D4C"/>
    <w:rsid w:val="008B7220"/>
    <w:rsid w:val="008B72EB"/>
    <w:rsid w:val="008B7C19"/>
    <w:rsid w:val="008C08A5"/>
    <w:rsid w:val="008C1DD7"/>
    <w:rsid w:val="008C4350"/>
    <w:rsid w:val="008C5190"/>
    <w:rsid w:val="008C5770"/>
    <w:rsid w:val="008C5AF9"/>
    <w:rsid w:val="008C5D44"/>
    <w:rsid w:val="008C6166"/>
    <w:rsid w:val="008C64E3"/>
    <w:rsid w:val="008D0D1E"/>
    <w:rsid w:val="008D4181"/>
    <w:rsid w:val="008D67DF"/>
    <w:rsid w:val="008E14EA"/>
    <w:rsid w:val="008E1E54"/>
    <w:rsid w:val="008E221C"/>
    <w:rsid w:val="008E3C88"/>
    <w:rsid w:val="008E3F00"/>
    <w:rsid w:val="008E406F"/>
    <w:rsid w:val="008E539C"/>
    <w:rsid w:val="008E78F2"/>
    <w:rsid w:val="008E7BC8"/>
    <w:rsid w:val="008F022C"/>
    <w:rsid w:val="008F1645"/>
    <w:rsid w:val="008F20AC"/>
    <w:rsid w:val="008F3B22"/>
    <w:rsid w:val="008F4D98"/>
    <w:rsid w:val="008F4E36"/>
    <w:rsid w:val="008F7867"/>
    <w:rsid w:val="00901DE1"/>
    <w:rsid w:val="0090293A"/>
    <w:rsid w:val="009041DF"/>
    <w:rsid w:val="009054E0"/>
    <w:rsid w:val="00907B84"/>
    <w:rsid w:val="00910101"/>
    <w:rsid w:val="009109E3"/>
    <w:rsid w:val="00911947"/>
    <w:rsid w:val="009160D6"/>
    <w:rsid w:val="0091746C"/>
    <w:rsid w:val="009207DB"/>
    <w:rsid w:val="00921AB5"/>
    <w:rsid w:val="00922024"/>
    <w:rsid w:val="00922823"/>
    <w:rsid w:val="00923D4B"/>
    <w:rsid w:val="00925501"/>
    <w:rsid w:val="00925729"/>
    <w:rsid w:val="00926982"/>
    <w:rsid w:val="00926FAC"/>
    <w:rsid w:val="00927000"/>
    <w:rsid w:val="009270C4"/>
    <w:rsid w:val="00927C47"/>
    <w:rsid w:val="009308C6"/>
    <w:rsid w:val="0093114A"/>
    <w:rsid w:val="00932A4A"/>
    <w:rsid w:val="00933756"/>
    <w:rsid w:val="00934401"/>
    <w:rsid w:val="00934591"/>
    <w:rsid w:val="00934621"/>
    <w:rsid w:val="00935C0B"/>
    <w:rsid w:val="00936CAF"/>
    <w:rsid w:val="0093740F"/>
    <w:rsid w:val="009379C0"/>
    <w:rsid w:val="00937B4A"/>
    <w:rsid w:val="00937C1D"/>
    <w:rsid w:val="009401C3"/>
    <w:rsid w:val="00940FC3"/>
    <w:rsid w:val="0094131D"/>
    <w:rsid w:val="00942120"/>
    <w:rsid w:val="009425F7"/>
    <w:rsid w:val="009426CD"/>
    <w:rsid w:val="009444BE"/>
    <w:rsid w:val="00944BF0"/>
    <w:rsid w:val="00945657"/>
    <w:rsid w:val="00946136"/>
    <w:rsid w:val="00947046"/>
    <w:rsid w:val="00947EFF"/>
    <w:rsid w:val="00950305"/>
    <w:rsid w:val="00950D02"/>
    <w:rsid w:val="00952842"/>
    <w:rsid w:val="00953A5B"/>
    <w:rsid w:val="00954282"/>
    <w:rsid w:val="00954427"/>
    <w:rsid w:val="00956665"/>
    <w:rsid w:val="00956683"/>
    <w:rsid w:val="00961B8C"/>
    <w:rsid w:val="00965047"/>
    <w:rsid w:val="009660A0"/>
    <w:rsid w:val="0096797D"/>
    <w:rsid w:val="00970887"/>
    <w:rsid w:val="009731CA"/>
    <w:rsid w:val="00973295"/>
    <w:rsid w:val="00974307"/>
    <w:rsid w:val="00975C75"/>
    <w:rsid w:val="009765B8"/>
    <w:rsid w:val="009765F7"/>
    <w:rsid w:val="0097747E"/>
    <w:rsid w:val="0098177A"/>
    <w:rsid w:val="009820D6"/>
    <w:rsid w:val="00983EFD"/>
    <w:rsid w:val="00986257"/>
    <w:rsid w:val="00986861"/>
    <w:rsid w:val="0098791B"/>
    <w:rsid w:val="00987CBC"/>
    <w:rsid w:val="00990028"/>
    <w:rsid w:val="00991B2E"/>
    <w:rsid w:val="00991CE3"/>
    <w:rsid w:val="009925DB"/>
    <w:rsid w:val="00992D67"/>
    <w:rsid w:val="00993A2E"/>
    <w:rsid w:val="00995768"/>
    <w:rsid w:val="00996326"/>
    <w:rsid w:val="009974A6"/>
    <w:rsid w:val="009A07D5"/>
    <w:rsid w:val="009A1722"/>
    <w:rsid w:val="009A2C63"/>
    <w:rsid w:val="009A3970"/>
    <w:rsid w:val="009A44E8"/>
    <w:rsid w:val="009A5867"/>
    <w:rsid w:val="009A67CC"/>
    <w:rsid w:val="009A71CF"/>
    <w:rsid w:val="009A72AB"/>
    <w:rsid w:val="009B198F"/>
    <w:rsid w:val="009B1DA5"/>
    <w:rsid w:val="009B1EBF"/>
    <w:rsid w:val="009B28FD"/>
    <w:rsid w:val="009B2AD6"/>
    <w:rsid w:val="009B5594"/>
    <w:rsid w:val="009B61E8"/>
    <w:rsid w:val="009B6AF2"/>
    <w:rsid w:val="009B729E"/>
    <w:rsid w:val="009B7498"/>
    <w:rsid w:val="009B75BD"/>
    <w:rsid w:val="009B77BA"/>
    <w:rsid w:val="009C14AD"/>
    <w:rsid w:val="009C325F"/>
    <w:rsid w:val="009C3D84"/>
    <w:rsid w:val="009C5B08"/>
    <w:rsid w:val="009C5FDE"/>
    <w:rsid w:val="009C7B1D"/>
    <w:rsid w:val="009D03F1"/>
    <w:rsid w:val="009D14D6"/>
    <w:rsid w:val="009D1CA3"/>
    <w:rsid w:val="009D1CF4"/>
    <w:rsid w:val="009D234F"/>
    <w:rsid w:val="009D380F"/>
    <w:rsid w:val="009D3BDD"/>
    <w:rsid w:val="009D42A6"/>
    <w:rsid w:val="009D496C"/>
    <w:rsid w:val="009D57A7"/>
    <w:rsid w:val="009D6D94"/>
    <w:rsid w:val="009D6EE2"/>
    <w:rsid w:val="009E0C37"/>
    <w:rsid w:val="009E16FB"/>
    <w:rsid w:val="009E3533"/>
    <w:rsid w:val="009E5690"/>
    <w:rsid w:val="009E56B0"/>
    <w:rsid w:val="009E6DD0"/>
    <w:rsid w:val="009E7C0E"/>
    <w:rsid w:val="009F0BD9"/>
    <w:rsid w:val="009F2035"/>
    <w:rsid w:val="009F2691"/>
    <w:rsid w:val="009F2B15"/>
    <w:rsid w:val="009F33FA"/>
    <w:rsid w:val="009F5324"/>
    <w:rsid w:val="009F78D8"/>
    <w:rsid w:val="00A01C1F"/>
    <w:rsid w:val="00A01C98"/>
    <w:rsid w:val="00A0203F"/>
    <w:rsid w:val="00A03585"/>
    <w:rsid w:val="00A06A54"/>
    <w:rsid w:val="00A10120"/>
    <w:rsid w:val="00A10423"/>
    <w:rsid w:val="00A1087D"/>
    <w:rsid w:val="00A1339A"/>
    <w:rsid w:val="00A14073"/>
    <w:rsid w:val="00A15A52"/>
    <w:rsid w:val="00A16703"/>
    <w:rsid w:val="00A17C61"/>
    <w:rsid w:val="00A23A60"/>
    <w:rsid w:val="00A25D45"/>
    <w:rsid w:val="00A261F6"/>
    <w:rsid w:val="00A276FF"/>
    <w:rsid w:val="00A31ECA"/>
    <w:rsid w:val="00A32211"/>
    <w:rsid w:val="00A324EA"/>
    <w:rsid w:val="00A33395"/>
    <w:rsid w:val="00A338A8"/>
    <w:rsid w:val="00A34114"/>
    <w:rsid w:val="00A34C81"/>
    <w:rsid w:val="00A34E19"/>
    <w:rsid w:val="00A40D0C"/>
    <w:rsid w:val="00A41302"/>
    <w:rsid w:val="00A419FF"/>
    <w:rsid w:val="00A41C59"/>
    <w:rsid w:val="00A45BA6"/>
    <w:rsid w:val="00A47029"/>
    <w:rsid w:val="00A47FB9"/>
    <w:rsid w:val="00A50299"/>
    <w:rsid w:val="00A50BD5"/>
    <w:rsid w:val="00A51165"/>
    <w:rsid w:val="00A52DC5"/>
    <w:rsid w:val="00A536A3"/>
    <w:rsid w:val="00A53B66"/>
    <w:rsid w:val="00A5510E"/>
    <w:rsid w:val="00A559F4"/>
    <w:rsid w:val="00A55DBD"/>
    <w:rsid w:val="00A56547"/>
    <w:rsid w:val="00A570E0"/>
    <w:rsid w:val="00A606A0"/>
    <w:rsid w:val="00A61263"/>
    <w:rsid w:val="00A61396"/>
    <w:rsid w:val="00A614AD"/>
    <w:rsid w:val="00A61607"/>
    <w:rsid w:val="00A61886"/>
    <w:rsid w:val="00A62E65"/>
    <w:rsid w:val="00A63D89"/>
    <w:rsid w:val="00A65127"/>
    <w:rsid w:val="00A66E04"/>
    <w:rsid w:val="00A671B3"/>
    <w:rsid w:val="00A67578"/>
    <w:rsid w:val="00A70177"/>
    <w:rsid w:val="00A70320"/>
    <w:rsid w:val="00A750C1"/>
    <w:rsid w:val="00A75116"/>
    <w:rsid w:val="00A753FD"/>
    <w:rsid w:val="00A76063"/>
    <w:rsid w:val="00A76BCE"/>
    <w:rsid w:val="00A77139"/>
    <w:rsid w:val="00A771BF"/>
    <w:rsid w:val="00A8052C"/>
    <w:rsid w:val="00A80729"/>
    <w:rsid w:val="00A80C37"/>
    <w:rsid w:val="00A81953"/>
    <w:rsid w:val="00A83DEB"/>
    <w:rsid w:val="00A861F3"/>
    <w:rsid w:val="00A8790F"/>
    <w:rsid w:val="00A90DB1"/>
    <w:rsid w:val="00A9147B"/>
    <w:rsid w:val="00A91A19"/>
    <w:rsid w:val="00A91BA8"/>
    <w:rsid w:val="00A91EF1"/>
    <w:rsid w:val="00A91EF2"/>
    <w:rsid w:val="00A9325C"/>
    <w:rsid w:val="00A93AFB"/>
    <w:rsid w:val="00A9670E"/>
    <w:rsid w:val="00A96A93"/>
    <w:rsid w:val="00A96FAB"/>
    <w:rsid w:val="00A96FC6"/>
    <w:rsid w:val="00A97B61"/>
    <w:rsid w:val="00AA01DA"/>
    <w:rsid w:val="00AA0844"/>
    <w:rsid w:val="00AA1E76"/>
    <w:rsid w:val="00AA2447"/>
    <w:rsid w:val="00AA3077"/>
    <w:rsid w:val="00AA31C1"/>
    <w:rsid w:val="00AA38AF"/>
    <w:rsid w:val="00AA3956"/>
    <w:rsid w:val="00AA450C"/>
    <w:rsid w:val="00AA59DF"/>
    <w:rsid w:val="00AA60C6"/>
    <w:rsid w:val="00AA64AB"/>
    <w:rsid w:val="00AA6924"/>
    <w:rsid w:val="00AA7FAD"/>
    <w:rsid w:val="00AB1287"/>
    <w:rsid w:val="00AB1CE8"/>
    <w:rsid w:val="00AB3766"/>
    <w:rsid w:val="00AB5582"/>
    <w:rsid w:val="00AB6DFC"/>
    <w:rsid w:val="00AB705A"/>
    <w:rsid w:val="00AC0D0A"/>
    <w:rsid w:val="00AC10C4"/>
    <w:rsid w:val="00AC3DB7"/>
    <w:rsid w:val="00AC4986"/>
    <w:rsid w:val="00AC4BAC"/>
    <w:rsid w:val="00AC7899"/>
    <w:rsid w:val="00AD2035"/>
    <w:rsid w:val="00AD752F"/>
    <w:rsid w:val="00AE059F"/>
    <w:rsid w:val="00AE300F"/>
    <w:rsid w:val="00AE41F2"/>
    <w:rsid w:val="00AE55BC"/>
    <w:rsid w:val="00AE686D"/>
    <w:rsid w:val="00AE6B27"/>
    <w:rsid w:val="00AE6F87"/>
    <w:rsid w:val="00AF013A"/>
    <w:rsid w:val="00AF0F96"/>
    <w:rsid w:val="00AF21D7"/>
    <w:rsid w:val="00AF28EB"/>
    <w:rsid w:val="00AF2B45"/>
    <w:rsid w:val="00AF36B6"/>
    <w:rsid w:val="00AF4715"/>
    <w:rsid w:val="00AF4803"/>
    <w:rsid w:val="00AF5D9D"/>
    <w:rsid w:val="00AF62ED"/>
    <w:rsid w:val="00AF62F2"/>
    <w:rsid w:val="00AF6A12"/>
    <w:rsid w:val="00AF7230"/>
    <w:rsid w:val="00B00597"/>
    <w:rsid w:val="00B00ED5"/>
    <w:rsid w:val="00B01ED2"/>
    <w:rsid w:val="00B02BF0"/>
    <w:rsid w:val="00B03AB4"/>
    <w:rsid w:val="00B04A23"/>
    <w:rsid w:val="00B0587A"/>
    <w:rsid w:val="00B05B91"/>
    <w:rsid w:val="00B077CC"/>
    <w:rsid w:val="00B07851"/>
    <w:rsid w:val="00B079DB"/>
    <w:rsid w:val="00B07DCF"/>
    <w:rsid w:val="00B11F99"/>
    <w:rsid w:val="00B13079"/>
    <w:rsid w:val="00B15731"/>
    <w:rsid w:val="00B15BB2"/>
    <w:rsid w:val="00B16C3B"/>
    <w:rsid w:val="00B204CA"/>
    <w:rsid w:val="00B21824"/>
    <w:rsid w:val="00B224EA"/>
    <w:rsid w:val="00B263AE"/>
    <w:rsid w:val="00B27A6D"/>
    <w:rsid w:val="00B327F9"/>
    <w:rsid w:val="00B33B36"/>
    <w:rsid w:val="00B34F22"/>
    <w:rsid w:val="00B371F8"/>
    <w:rsid w:val="00B372C4"/>
    <w:rsid w:val="00B42644"/>
    <w:rsid w:val="00B42825"/>
    <w:rsid w:val="00B42C20"/>
    <w:rsid w:val="00B43938"/>
    <w:rsid w:val="00B510F9"/>
    <w:rsid w:val="00B517E5"/>
    <w:rsid w:val="00B5214D"/>
    <w:rsid w:val="00B53440"/>
    <w:rsid w:val="00B539EB"/>
    <w:rsid w:val="00B542F2"/>
    <w:rsid w:val="00B576E1"/>
    <w:rsid w:val="00B5780E"/>
    <w:rsid w:val="00B608B1"/>
    <w:rsid w:val="00B608F1"/>
    <w:rsid w:val="00B60F79"/>
    <w:rsid w:val="00B63755"/>
    <w:rsid w:val="00B63B4A"/>
    <w:rsid w:val="00B63DD3"/>
    <w:rsid w:val="00B644A9"/>
    <w:rsid w:val="00B64BEE"/>
    <w:rsid w:val="00B673CA"/>
    <w:rsid w:val="00B67850"/>
    <w:rsid w:val="00B7117A"/>
    <w:rsid w:val="00B72053"/>
    <w:rsid w:val="00B72926"/>
    <w:rsid w:val="00B73057"/>
    <w:rsid w:val="00B738D3"/>
    <w:rsid w:val="00B74ECD"/>
    <w:rsid w:val="00B75D3F"/>
    <w:rsid w:val="00B773B1"/>
    <w:rsid w:val="00B77723"/>
    <w:rsid w:val="00B77D5F"/>
    <w:rsid w:val="00B801F8"/>
    <w:rsid w:val="00B80FB4"/>
    <w:rsid w:val="00B81503"/>
    <w:rsid w:val="00B815D3"/>
    <w:rsid w:val="00B82ADC"/>
    <w:rsid w:val="00B83FF7"/>
    <w:rsid w:val="00B843A1"/>
    <w:rsid w:val="00B84A45"/>
    <w:rsid w:val="00B8502F"/>
    <w:rsid w:val="00B868D6"/>
    <w:rsid w:val="00B8748B"/>
    <w:rsid w:val="00B87B55"/>
    <w:rsid w:val="00B914F2"/>
    <w:rsid w:val="00B91818"/>
    <w:rsid w:val="00B94B9E"/>
    <w:rsid w:val="00B94BE5"/>
    <w:rsid w:val="00B95AB4"/>
    <w:rsid w:val="00B960BD"/>
    <w:rsid w:val="00B97773"/>
    <w:rsid w:val="00BA0A76"/>
    <w:rsid w:val="00BA14A4"/>
    <w:rsid w:val="00BA20C2"/>
    <w:rsid w:val="00BA22D0"/>
    <w:rsid w:val="00BA4CF8"/>
    <w:rsid w:val="00BB0423"/>
    <w:rsid w:val="00BB32E4"/>
    <w:rsid w:val="00BB5BE0"/>
    <w:rsid w:val="00BB6ECF"/>
    <w:rsid w:val="00BB74B3"/>
    <w:rsid w:val="00BB76F0"/>
    <w:rsid w:val="00BB777A"/>
    <w:rsid w:val="00BC1765"/>
    <w:rsid w:val="00BC263E"/>
    <w:rsid w:val="00BC45FA"/>
    <w:rsid w:val="00BC50C9"/>
    <w:rsid w:val="00BC5454"/>
    <w:rsid w:val="00BD219A"/>
    <w:rsid w:val="00BD2C42"/>
    <w:rsid w:val="00BD32F9"/>
    <w:rsid w:val="00BD3E2E"/>
    <w:rsid w:val="00BD6EF9"/>
    <w:rsid w:val="00BD754C"/>
    <w:rsid w:val="00BD7B4F"/>
    <w:rsid w:val="00BE1AE9"/>
    <w:rsid w:val="00BE1C12"/>
    <w:rsid w:val="00BE20F5"/>
    <w:rsid w:val="00BE2683"/>
    <w:rsid w:val="00BE64B8"/>
    <w:rsid w:val="00BE72FD"/>
    <w:rsid w:val="00BF1412"/>
    <w:rsid w:val="00BF1952"/>
    <w:rsid w:val="00BF1EF8"/>
    <w:rsid w:val="00BF2DE5"/>
    <w:rsid w:val="00BF4915"/>
    <w:rsid w:val="00BF4C49"/>
    <w:rsid w:val="00BF6338"/>
    <w:rsid w:val="00BF6A08"/>
    <w:rsid w:val="00BF6D56"/>
    <w:rsid w:val="00BF6EF6"/>
    <w:rsid w:val="00C00416"/>
    <w:rsid w:val="00C0074C"/>
    <w:rsid w:val="00C00D03"/>
    <w:rsid w:val="00C01DFC"/>
    <w:rsid w:val="00C02131"/>
    <w:rsid w:val="00C0282B"/>
    <w:rsid w:val="00C04999"/>
    <w:rsid w:val="00C05CE6"/>
    <w:rsid w:val="00C067E0"/>
    <w:rsid w:val="00C07605"/>
    <w:rsid w:val="00C1025D"/>
    <w:rsid w:val="00C10336"/>
    <w:rsid w:val="00C12D93"/>
    <w:rsid w:val="00C12EE2"/>
    <w:rsid w:val="00C1336A"/>
    <w:rsid w:val="00C1376A"/>
    <w:rsid w:val="00C139DE"/>
    <w:rsid w:val="00C13B55"/>
    <w:rsid w:val="00C17CFB"/>
    <w:rsid w:val="00C2075F"/>
    <w:rsid w:val="00C22453"/>
    <w:rsid w:val="00C22B54"/>
    <w:rsid w:val="00C23520"/>
    <w:rsid w:val="00C24E0D"/>
    <w:rsid w:val="00C25082"/>
    <w:rsid w:val="00C265D4"/>
    <w:rsid w:val="00C275FC"/>
    <w:rsid w:val="00C30BD5"/>
    <w:rsid w:val="00C30D84"/>
    <w:rsid w:val="00C317A7"/>
    <w:rsid w:val="00C32E69"/>
    <w:rsid w:val="00C33AEC"/>
    <w:rsid w:val="00C35448"/>
    <w:rsid w:val="00C356DB"/>
    <w:rsid w:val="00C359B6"/>
    <w:rsid w:val="00C36BE5"/>
    <w:rsid w:val="00C3742C"/>
    <w:rsid w:val="00C410D2"/>
    <w:rsid w:val="00C42A78"/>
    <w:rsid w:val="00C437D6"/>
    <w:rsid w:val="00C4601D"/>
    <w:rsid w:val="00C51927"/>
    <w:rsid w:val="00C51CCA"/>
    <w:rsid w:val="00C524F4"/>
    <w:rsid w:val="00C533F6"/>
    <w:rsid w:val="00C54473"/>
    <w:rsid w:val="00C546A4"/>
    <w:rsid w:val="00C55D94"/>
    <w:rsid w:val="00C574D8"/>
    <w:rsid w:val="00C57582"/>
    <w:rsid w:val="00C57C81"/>
    <w:rsid w:val="00C608EF"/>
    <w:rsid w:val="00C612BB"/>
    <w:rsid w:val="00C612BF"/>
    <w:rsid w:val="00C61441"/>
    <w:rsid w:val="00C6207E"/>
    <w:rsid w:val="00C62BF2"/>
    <w:rsid w:val="00C637EF"/>
    <w:rsid w:val="00C643D3"/>
    <w:rsid w:val="00C64FAE"/>
    <w:rsid w:val="00C65E98"/>
    <w:rsid w:val="00C65F48"/>
    <w:rsid w:val="00C66344"/>
    <w:rsid w:val="00C674F7"/>
    <w:rsid w:val="00C70185"/>
    <w:rsid w:val="00C731E1"/>
    <w:rsid w:val="00C73686"/>
    <w:rsid w:val="00C74045"/>
    <w:rsid w:val="00C745D7"/>
    <w:rsid w:val="00C75CB5"/>
    <w:rsid w:val="00C75D6A"/>
    <w:rsid w:val="00C7702A"/>
    <w:rsid w:val="00C773C8"/>
    <w:rsid w:val="00C803A4"/>
    <w:rsid w:val="00C80A25"/>
    <w:rsid w:val="00C82223"/>
    <w:rsid w:val="00C82930"/>
    <w:rsid w:val="00C84918"/>
    <w:rsid w:val="00C8531E"/>
    <w:rsid w:val="00C85B6C"/>
    <w:rsid w:val="00C85BEA"/>
    <w:rsid w:val="00C86BFE"/>
    <w:rsid w:val="00C86D8A"/>
    <w:rsid w:val="00C87FF0"/>
    <w:rsid w:val="00C900B0"/>
    <w:rsid w:val="00C90767"/>
    <w:rsid w:val="00C9080B"/>
    <w:rsid w:val="00C90EF9"/>
    <w:rsid w:val="00C92931"/>
    <w:rsid w:val="00C92949"/>
    <w:rsid w:val="00C9312F"/>
    <w:rsid w:val="00C95ED6"/>
    <w:rsid w:val="00C95F91"/>
    <w:rsid w:val="00C95F9E"/>
    <w:rsid w:val="00CA17E2"/>
    <w:rsid w:val="00CA1FB0"/>
    <w:rsid w:val="00CA24D1"/>
    <w:rsid w:val="00CA3449"/>
    <w:rsid w:val="00CA39CC"/>
    <w:rsid w:val="00CA4743"/>
    <w:rsid w:val="00CA55A3"/>
    <w:rsid w:val="00CA6B5E"/>
    <w:rsid w:val="00CA735E"/>
    <w:rsid w:val="00CB138F"/>
    <w:rsid w:val="00CB13E0"/>
    <w:rsid w:val="00CB1B5F"/>
    <w:rsid w:val="00CB1CEF"/>
    <w:rsid w:val="00CB3187"/>
    <w:rsid w:val="00CB4F66"/>
    <w:rsid w:val="00CB76B8"/>
    <w:rsid w:val="00CB7703"/>
    <w:rsid w:val="00CB77EE"/>
    <w:rsid w:val="00CB783B"/>
    <w:rsid w:val="00CC18ED"/>
    <w:rsid w:val="00CC2677"/>
    <w:rsid w:val="00CC2803"/>
    <w:rsid w:val="00CC295E"/>
    <w:rsid w:val="00CC29C8"/>
    <w:rsid w:val="00CC2BEB"/>
    <w:rsid w:val="00CC3093"/>
    <w:rsid w:val="00CC3913"/>
    <w:rsid w:val="00CC707F"/>
    <w:rsid w:val="00CC79CD"/>
    <w:rsid w:val="00CD1841"/>
    <w:rsid w:val="00CD1BF1"/>
    <w:rsid w:val="00CD1F26"/>
    <w:rsid w:val="00CD21E7"/>
    <w:rsid w:val="00CD27CD"/>
    <w:rsid w:val="00CD324B"/>
    <w:rsid w:val="00CD327B"/>
    <w:rsid w:val="00CD4BF8"/>
    <w:rsid w:val="00CD5738"/>
    <w:rsid w:val="00CD6844"/>
    <w:rsid w:val="00CD68DD"/>
    <w:rsid w:val="00CD7B8B"/>
    <w:rsid w:val="00CE185A"/>
    <w:rsid w:val="00CE29F2"/>
    <w:rsid w:val="00CE2B04"/>
    <w:rsid w:val="00CE5298"/>
    <w:rsid w:val="00CE58EB"/>
    <w:rsid w:val="00CE6EAE"/>
    <w:rsid w:val="00CF31AB"/>
    <w:rsid w:val="00CF35B2"/>
    <w:rsid w:val="00CF38D4"/>
    <w:rsid w:val="00CF6FAC"/>
    <w:rsid w:val="00CF75A4"/>
    <w:rsid w:val="00CF7E8E"/>
    <w:rsid w:val="00D0099F"/>
    <w:rsid w:val="00D0107E"/>
    <w:rsid w:val="00D05197"/>
    <w:rsid w:val="00D05B9B"/>
    <w:rsid w:val="00D06C23"/>
    <w:rsid w:val="00D12B28"/>
    <w:rsid w:val="00D159F8"/>
    <w:rsid w:val="00D168C6"/>
    <w:rsid w:val="00D1695E"/>
    <w:rsid w:val="00D17CFB"/>
    <w:rsid w:val="00D20E04"/>
    <w:rsid w:val="00D213F3"/>
    <w:rsid w:val="00D21E00"/>
    <w:rsid w:val="00D2254B"/>
    <w:rsid w:val="00D226B9"/>
    <w:rsid w:val="00D23437"/>
    <w:rsid w:val="00D2459A"/>
    <w:rsid w:val="00D248D9"/>
    <w:rsid w:val="00D24A97"/>
    <w:rsid w:val="00D24CD7"/>
    <w:rsid w:val="00D26186"/>
    <w:rsid w:val="00D27131"/>
    <w:rsid w:val="00D27974"/>
    <w:rsid w:val="00D30BA4"/>
    <w:rsid w:val="00D31BBD"/>
    <w:rsid w:val="00D31D87"/>
    <w:rsid w:val="00D33815"/>
    <w:rsid w:val="00D367FC"/>
    <w:rsid w:val="00D376DD"/>
    <w:rsid w:val="00D404B1"/>
    <w:rsid w:val="00D4224A"/>
    <w:rsid w:val="00D43014"/>
    <w:rsid w:val="00D436C2"/>
    <w:rsid w:val="00D43988"/>
    <w:rsid w:val="00D43B85"/>
    <w:rsid w:val="00D46659"/>
    <w:rsid w:val="00D4707E"/>
    <w:rsid w:val="00D47867"/>
    <w:rsid w:val="00D47EAF"/>
    <w:rsid w:val="00D52186"/>
    <w:rsid w:val="00D52D7F"/>
    <w:rsid w:val="00D53034"/>
    <w:rsid w:val="00D53347"/>
    <w:rsid w:val="00D541A8"/>
    <w:rsid w:val="00D54C34"/>
    <w:rsid w:val="00D553EB"/>
    <w:rsid w:val="00D55A05"/>
    <w:rsid w:val="00D562A8"/>
    <w:rsid w:val="00D61143"/>
    <w:rsid w:val="00D61A9F"/>
    <w:rsid w:val="00D61DF0"/>
    <w:rsid w:val="00D61EDD"/>
    <w:rsid w:val="00D62425"/>
    <w:rsid w:val="00D628AF"/>
    <w:rsid w:val="00D6294B"/>
    <w:rsid w:val="00D63BD2"/>
    <w:rsid w:val="00D65B72"/>
    <w:rsid w:val="00D66697"/>
    <w:rsid w:val="00D67ACA"/>
    <w:rsid w:val="00D67F69"/>
    <w:rsid w:val="00D71103"/>
    <w:rsid w:val="00D71642"/>
    <w:rsid w:val="00D72FAD"/>
    <w:rsid w:val="00D73303"/>
    <w:rsid w:val="00D73700"/>
    <w:rsid w:val="00D73AF1"/>
    <w:rsid w:val="00D74504"/>
    <w:rsid w:val="00D74639"/>
    <w:rsid w:val="00D77397"/>
    <w:rsid w:val="00D77B1A"/>
    <w:rsid w:val="00D809B7"/>
    <w:rsid w:val="00D80C0C"/>
    <w:rsid w:val="00D80E6B"/>
    <w:rsid w:val="00D813B0"/>
    <w:rsid w:val="00D81A57"/>
    <w:rsid w:val="00D81D2F"/>
    <w:rsid w:val="00D820D8"/>
    <w:rsid w:val="00D82A4C"/>
    <w:rsid w:val="00D83544"/>
    <w:rsid w:val="00D85683"/>
    <w:rsid w:val="00D8589F"/>
    <w:rsid w:val="00D875C1"/>
    <w:rsid w:val="00D8772B"/>
    <w:rsid w:val="00D90494"/>
    <w:rsid w:val="00D907DF"/>
    <w:rsid w:val="00D90F8A"/>
    <w:rsid w:val="00D91071"/>
    <w:rsid w:val="00D91621"/>
    <w:rsid w:val="00D92C5D"/>
    <w:rsid w:val="00D946F5"/>
    <w:rsid w:val="00D9542F"/>
    <w:rsid w:val="00D9553A"/>
    <w:rsid w:val="00D95C5C"/>
    <w:rsid w:val="00D9740F"/>
    <w:rsid w:val="00D97846"/>
    <w:rsid w:val="00D97BA1"/>
    <w:rsid w:val="00DA09FC"/>
    <w:rsid w:val="00DA4FCE"/>
    <w:rsid w:val="00DA50BA"/>
    <w:rsid w:val="00DA59D2"/>
    <w:rsid w:val="00DB2B7E"/>
    <w:rsid w:val="00DB372E"/>
    <w:rsid w:val="00DB484E"/>
    <w:rsid w:val="00DB5719"/>
    <w:rsid w:val="00DB624E"/>
    <w:rsid w:val="00DC02EA"/>
    <w:rsid w:val="00DC1CA6"/>
    <w:rsid w:val="00DC20CF"/>
    <w:rsid w:val="00DC22DF"/>
    <w:rsid w:val="00DC63BA"/>
    <w:rsid w:val="00DC7901"/>
    <w:rsid w:val="00DC7E69"/>
    <w:rsid w:val="00DD0189"/>
    <w:rsid w:val="00DD021F"/>
    <w:rsid w:val="00DD0621"/>
    <w:rsid w:val="00DD2033"/>
    <w:rsid w:val="00DD3316"/>
    <w:rsid w:val="00DD5418"/>
    <w:rsid w:val="00DD5E57"/>
    <w:rsid w:val="00DE2738"/>
    <w:rsid w:val="00DE3385"/>
    <w:rsid w:val="00DE397C"/>
    <w:rsid w:val="00DE4007"/>
    <w:rsid w:val="00DE4638"/>
    <w:rsid w:val="00DE4651"/>
    <w:rsid w:val="00DE6E21"/>
    <w:rsid w:val="00DE7265"/>
    <w:rsid w:val="00DE7525"/>
    <w:rsid w:val="00DF0AC2"/>
    <w:rsid w:val="00DF2353"/>
    <w:rsid w:val="00DF2654"/>
    <w:rsid w:val="00DF2802"/>
    <w:rsid w:val="00DF3906"/>
    <w:rsid w:val="00DF3AB2"/>
    <w:rsid w:val="00DF46BF"/>
    <w:rsid w:val="00DF46C0"/>
    <w:rsid w:val="00DF5034"/>
    <w:rsid w:val="00DF5A3F"/>
    <w:rsid w:val="00DF6B09"/>
    <w:rsid w:val="00E00898"/>
    <w:rsid w:val="00E018EE"/>
    <w:rsid w:val="00E02545"/>
    <w:rsid w:val="00E04FAD"/>
    <w:rsid w:val="00E0628E"/>
    <w:rsid w:val="00E06460"/>
    <w:rsid w:val="00E0650E"/>
    <w:rsid w:val="00E073CF"/>
    <w:rsid w:val="00E10512"/>
    <w:rsid w:val="00E1187D"/>
    <w:rsid w:val="00E118AE"/>
    <w:rsid w:val="00E15682"/>
    <w:rsid w:val="00E15B5E"/>
    <w:rsid w:val="00E1632C"/>
    <w:rsid w:val="00E166E7"/>
    <w:rsid w:val="00E171AC"/>
    <w:rsid w:val="00E17228"/>
    <w:rsid w:val="00E17F53"/>
    <w:rsid w:val="00E21058"/>
    <w:rsid w:val="00E21790"/>
    <w:rsid w:val="00E228D0"/>
    <w:rsid w:val="00E25124"/>
    <w:rsid w:val="00E2559F"/>
    <w:rsid w:val="00E261F8"/>
    <w:rsid w:val="00E26E25"/>
    <w:rsid w:val="00E27A6D"/>
    <w:rsid w:val="00E30772"/>
    <w:rsid w:val="00E30A62"/>
    <w:rsid w:val="00E324AD"/>
    <w:rsid w:val="00E33357"/>
    <w:rsid w:val="00E3342D"/>
    <w:rsid w:val="00E33683"/>
    <w:rsid w:val="00E33734"/>
    <w:rsid w:val="00E33B78"/>
    <w:rsid w:val="00E34F88"/>
    <w:rsid w:val="00E3525A"/>
    <w:rsid w:val="00E36F58"/>
    <w:rsid w:val="00E41580"/>
    <w:rsid w:val="00E42BD5"/>
    <w:rsid w:val="00E44175"/>
    <w:rsid w:val="00E44CD4"/>
    <w:rsid w:val="00E456AB"/>
    <w:rsid w:val="00E45B91"/>
    <w:rsid w:val="00E46C57"/>
    <w:rsid w:val="00E500F2"/>
    <w:rsid w:val="00E50C5E"/>
    <w:rsid w:val="00E5176B"/>
    <w:rsid w:val="00E528BA"/>
    <w:rsid w:val="00E52A25"/>
    <w:rsid w:val="00E534DF"/>
    <w:rsid w:val="00E565C2"/>
    <w:rsid w:val="00E57048"/>
    <w:rsid w:val="00E60269"/>
    <w:rsid w:val="00E60BB3"/>
    <w:rsid w:val="00E60C32"/>
    <w:rsid w:val="00E611AE"/>
    <w:rsid w:val="00E627F6"/>
    <w:rsid w:val="00E63F1D"/>
    <w:rsid w:val="00E646D5"/>
    <w:rsid w:val="00E66A86"/>
    <w:rsid w:val="00E734C7"/>
    <w:rsid w:val="00E75A9D"/>
    <w:rsid w:val="00E75DA5"/>
    <w:rsid w:val="00E76DFA"/>
    <w:rsid w:val="00E7751B"/>
    <w:rsid w:val="00E81B8E"/>
    <w:rsid w:val="00E81ED7"/>
    <w:rsid w:val="00E83005"/>
    <w:rsid w:val="00E8377F"/>
    <w:rsid w:val="00E83909"/>
    <w:rsid w:val="00E84FB0"/>
    <w:rsid w:val="00E85FB6"/>
    <w:rsid w:val="00E86533"/>
    <w:rsid w:val="00E87A04"/>
    <w:rsid w:val="00E90741"/>
    <w:rsid w:val="00E90E59"/>
    <w:rsid w:val="00E912E9"/>
    <w:rsid w:val="00E915F3"/>
    <w:rsid w:val="00E91C06"/>
    <w:rsid w:val="00E9222C"/>
    <w:rsid w:val="00E92F8B"/>
    <w:rsid w:val="00E94BB2"/>
    <w:rsid w:val="00E9558B"/>
    <w:rsid w:val="00E95D1B"/>
    <w:rsid w:val="00E95DFE"/>
    <w:rsid w:val="00E966CE"/>
    <w:rsid w:val="00E96F34"/>
    <w:rsid w:val="00EA0448"/>
    <w:rsid w:val="00EA15A4"/>
    <w:rsid w:val="00EA17BD"/>
    <w:rsid w:val="00EA2EFA"/>
    <w:rsid w:val="00EA33E5"/>
    <w:rsid w:val="00EA3CDD"/>
    <w:rsid w:val="00EA4C91"/>
    <w:rsid w:val="00EA4ED9"/>
    <w:rsid w:val="00EA50D6"/>
    <w:rsid w:val="00EA5243"/>
    <w:rsid w:val="00EA5714"/>
    <w:rsid w:val="00EA64A5"/>
    <w:rsid w:val="00EA67A8"/>
    <w:rsid w:val="00EA7662"/>
    <w:rsid w:val="00EA7CC3"/>
    <w:rsid w:val="00EB016F"/>
    <w:rsid w:val="00EB2273"/>
    <w:rsid w:val="00EB2393"/>
    <w:rsid w:val="00EB294B"/>
    <w:rsid w:val="00EB33F4"/>
    <w:rsid w:val="00EB3B9C"/>
    <w:rsid w:val="00EB4C04"/>
    <w:rsid w:val="00EB504F"/>
    <w:rsid w:val="00EC1406"/>
    <w:rsid w:val="00EC1A97"/>
    <w:rsid w:val="00EC2677"/>
    <w:rsid w:val="00EC274C"/>
    <w:rsid w:val="00EC28E4"/>
    <w:rsid w:val="00EC2A60"/>
    <w:rsid w:val="00EC362F"/>
    <w:rsid w:val="00EC36F2"/>
    <w:rsid w:val="00EC4E58"/>
    <w:rsid w:val="00EC4F33"/>
    <w:rsid w:val="00ED0ABD"/>
    <w:rsid w:val="00ED298E"/>
    <w:rsid w:val="00ED2FB8"/>
    <w:rsid w:val="00ED37AA"/>
    <w:rsid w:val="00ED43A6"/>
    <w:rsid w:val="00ED7371"/>
    <w:rsid w:val="00EE2F9A"/>
    <w:rsid w:val="00EE4C7E"/>
    <w:rsid w:val="00EE542E"/>
    <w:rsid w:val="00EE556D"/>
    <w:rsid w:val="00EE6184"/>
    <w:rsid w:val="00EE62D3"/>
    <w:rsid w:val="00EE7A2C"/>
    <w:rsid w:val="00EF1529"/>
    <w:rsid w:val="00EF153F"/>
    <w:rsid w:val="00EF2240"/>
    <w:rsid w:val="00EF256D"/>
    <w:rsid w:val="00EF3A36"/>
    <w:rsid w:val="00EF4A7E"/>
    <w:rsid w:val="00EF4AF3"/>
    <w:rsid w:val="00EF50BD"/>
    <w:rsid w:val="00EF5BE3"/>
    <w:rsid w:val="00EF6556"/>
    <w:rsid w:val="00F02F0A"/>
    <w:rsid w:val="00F0319D"/>
    <w:rsid w:val="00F120FA"/>
    <w:rsid w:val="00F12179"/>
    <w:rsid w:val="00F123BD"/>
    <w:rsid w:val="00F12D86"/>
    <w:rsid w:val="00F13B05"/>
    <w:rsid w:val="00F15AF2"/>
    <w:rsid w:val="00F1613C"/>
    <w:rsid w:val="00F17135"/>
    <w:rsid w:val="00F21290"/>
    <w:rsid w:val="00F21595"/>
    <w:rsid w:val="00F23743"/>
    <w:rsid w:val="00F252BE"/>
    <w:rsid w:val="00F258B9"/>
    <w:rsid w:val="00F279B0"/>
    <w:rsid w:val="00F307CC"/>
    <w:rsid w:val="00F30BBA"/>
    <w:rsid w:val="00F30CA4"/>
    <w:rsid w:val="00F30F5B"/>
    <w:rsid w:val="00F31071"/>
    <w:rsid w:val="00F31630"/>
    <w:rsid w:val="00F32358"/>
    <w:rsid w:val="00F34C99"/>
    <w:rsid w:val="00F34F7D"/>
    <w:rsid w:val="00F36E33"/>
    <w:rsid w:val="00F405F3"/>
    <w:rsid w:val="00F422B9"/>
    <w:rsid w:val="00F439BB"/>
    <w:rsid w:val="00F43AAD"/>
    <w:rsid w:val="00F449D7"/>
    <w:rsid w:val="00F461AE"/>
    <w:rsid w:val="00F467F9"/>
    <w:rsid w:val="00F515B6"/>
    <w:rsid w:val="00F51B88"/>
    <w:rsid w:val="00F534D3"/>
    <w:rsid w:val="00F53A1D"/>
    <w:rsid w:val="00F5421D"/>
    <w:rsid w:val="00F57CEB"/>
    <w:rsid w:val="00F60DF3"/>
    <w:rsid w:val="00F61957"/>
    <w:rsid w:val="00F62057"/>
    <w:rsid w:val="00F64F39"/>
    <w:rsid w:val="00F67816"/>
    <w:rsid w:val="00F67BAA"/>
    <w:rsid w:val="00F67C01"/>
    <w:rsid w:val="00F7114B"/>
    <w:rsid w:val="00F711F8"/>
    <w:rsid w:val="00F721EF"/>
    <w:rsid w:val="00F72AC2"/>
    <w:rsid w:val="00F74168"/>
    <w:rsid w:val="00F742F1"/>
    <w:rsid w:val="00F76037"/>
    <w:rsid w:val="00F76456"/>
    <w:rsid w:val="00F77724"/>
    <w:rsid w:val="00F77839"/>
    <w:rsid w:val="00F81A86"/>
    <w:rsid w:val="00F82080"/>
    <w:rsid w:val="00F83397"/>
    <w:rsid w:val="00F851CF"/>
    <w:rsid w:val="00F8584F"/>
    <w:rsid w:val="00F85F8C"/>
    <w:rsid w:val="00F86FD8"/>
    <w:rsid w:val="00F91164"/>
    <w:rsid w:val="00F929D7"/>
    <w:rsid w:val="00F92A85"/>
    <w:rsid w:val="00F92B0F"/>
    <w:rsid w:val="00F94498"/>
    <w:rsid w:val="00F9676E"/>
    <w:rsid w:val="00F96D24"/>
    <w:rsid w:val="00FA12FA"/>
    <w:rsid w:val="00FA2D43"/>
    <w:rsid w:val="00FA5580"/>
    <w:rsid w:val="00FA69C3"/>
    <w:rsid w:val="00FA6AAC"/>
    <w:rsid w:val="00FA6CBC"/>
    <w:rsid w:val="00FA6D48"/>
    <w:rsid w:val="00FA6F64"/>
    <w:rsid w:val="00FA7EC0"/>
    <w:rsid w:val="00FB30A2"/>
    <w:rsid w:val="00FB42E6"/>
    <w:rsid w:val="00FB6684"/>
    <w:rsid w:val="00FB6EAA"/>
    <w:rsid w:val="00FB7663"/>
    <w:rsid w:val="00FB7C10"/>
    <w:rsid w:val="00FC072E"/>
    <w:rsid w:val="00FC0A0A"/>
    <w:rsid w:val="00FC1483"/>
    <w:rsid w:val="00FC25AA"/>
    <w:rsid w:val="00FC3B4E"/>
    <w:rsid w:val="00FC551E"/>
    <w:rsid w:val="00FC5790"/>
    <w:rsid w:val="00FD039F"/>
    <w:rsid w:val="00FD17F8"/>
    <w:rsid w:val="00FD194F"/>
    <w:rsid w:val="00FD1995"/>
    <w:rsid w:val="00FD25E1"/>
    <w:rsid w:val="00FD33CF"/>
    <w:rsid w:val="00FD4290"/>
    <w:rsid w:val="00FD5E1C"/>
    <w:rsid w:val="00FD7B1E"/>
    <w:rsid w:val="00FD7F6B"/>
    <w:rsid w:val="00FE1216"/>
    <w:rsid w:val="00FE1880"/>
    <w:rsid w:val="00FE3F8E"/>
    <w:rsid w:val="00FE44A3"/>
    <w:rsid w:val="00FE47ED"/>
    <w:rsid w:val="00FE4DCD"/>
    <w:rsid w:val="00FE61DC"/>
    <w:rsid w:val="00FE639A"/>
    <w:rsid w:val="00FE67D0"/>
    <w:rsid w:val="00FF081E"/>
    <w:rsid w:val="00FF145C"/>
    <w:rsid w:val="00FF19E0"/>
    <w:rsid w:val="00FF20D7"/>
    <w:rsid w:val="00FF26EE"/>
    <w:rsid w:val="00FF47A3"/>
    <w:rsid w:val="00FF63F6"/>
    <w:rsid w:val="01615726"/>
    <w:rsid w:val="029E721A"/>
    <w:rsid w:val="02D468DE"/>
    <w:rsid w:val="02EC4D9D"/>
    <w:rsid w:val="03112834"/>
    <w:rsid w:val="06477FDA"/>
    <w:rsid w:val="06A011EC"/>
    <w:rsid w:val="08E02AD9"/>
    <w:rsid w:val="09125C38"/>
    <w:rsid w:val="097C6300"/>
    <w:rsid w:val="0AF519B7"/>
    <w:rsid w:val="0B485EE9"/>
    <w:rsid w:val="0C850278"/>
    <w:rsid w:val="0D1457BC"/>
    <w:rsid w:val="0DFB1532"/>
    <w:rsid w:val="0E437702"/>
    <w:rsid w:val="0F1B2DF8"/>
    <w:rsid w:val="0FE9158E"/>
    <w:rsid w:val="14090D2F"/>
    <w:rsid w:val="15927B01"/>
    <w:rsid w:val="16252605"/>
    <w:rsid w:val="172419C1"/>
    <w:rsid w:val="18E80595"/>
    <w:rsid w:val="197274DA"/>
    <w:rsid w:val="19DE1E4B"/>
    <w:rsid w:val="1A7D43D3"/>
    <w:rsid w:val="1B285F37"/>
    <w:rsid w:val="1C522551"/>
    <w:rsid w:val="1DFB5473"/>
    <w:rsid w:val="1F3E4C38"/>
    <w:rsid w:val="1FA92A8C"/>
    <w:rsid w:val="1FFD415C"/>
    <w:rsid w:val="212474B8"/>
    <w:rsid w:val="215745CA"/>
    <w:rsid w:val="22012741"/>
    <w:rsid w:val="22B70F51"/>
    <w:rsid w:val="23B77F2D"/>
    <w:rsid w:val="23F91DDE"/>
    <w:rsid w:val="25047998"/>
    <w:rsid w:val="26EE7D8D"/>
    <w:rsid w:val="27C11183"/>
    <w:rsid w:val="29347494"/>
    <w:rsid w:val="2A295A70"/>
    <w:rsid w:val="2ACC2FD0"/>
    <w:rsid w:val="2B62700C"/>
    <w:rsid w:val="2D9279D7"/>
    <w:rsid w:val="2EB84BB2"/>
    <w:rsid w:val="2FFB6945"/>
    <w:rsid w:val="34CE39F7"/>
    <w:rsid w:val="34D3140C"/>
    <w:rsid w:val="385721C3"/>
    <w:rsid w:val="393B0CD6"/>
    <w:rsid w:val="3B68253F"/>
    <w:rsid w:val="3CFC2E3F"/>
    <w:rsid w:val="3E4D5C0F"/>
    <w:rsid w:val="3FC73F0E"/>
    <w:rsid w:val="40B024BA"/>
    <w:rsid w:val="438E7032"/>
    <w:rsid w:val="454C3B89"/>
    <w:rsid w:val="482327E6"/>
    <w:rsid w:val="483E3889"/>
    <w:rsid w:val="49821797"/>
    <w:rsid w:val="498E0153"/>
    <w:rsid w:val="4AA674CF"/>
    <w:rsid w:val="4F1548DD"/>
    <w:rsid w:val="51046E65"/>
    <w:rsid w:val="5346496F"/>
    <w:rsid w:val="54103A43"/>
    <w:rsid w:val="568D3AA6"/>
    <w:rsid w:val="56BF1C53"/>
    <w:rsid w:val="572D0DFD"/>
    <w:rsid w:val="57D9273C"/>
    <w:rsid w:val="58991B95"/>
    <w:rsid w:val="59BC3873"/>
    <w:rsid w:val="5CAA51EA"/>
    <w:rsid w:val="5D5260E4"/>
    <w:rsid w:val="5DF374E2"/>
    <w:rsid w:val="5EC7559F"/>
    <w:rsid w:val="609D20FB"/>
    <w:rsid w:val="6181166A"/>
    <w:rsid w:val="625A6B03"/>
    <w:rsid w:val="630D27CF"/>
    <w:rsid w:val="64184D9A"/>
    <w:rsid w:val="64E90F72"/>
    <w:rsid w:val="64EF7A6E"/>
    <w:rsid w:val="66796F6F"/>
    <w:rsid w:val="671E325C"/>
    <w:rsid w:val="69B209ED"/>
    <w:rsid w:val="6B205857"/>
    <w:rsid w:val="6BBD2570"/>
    <w:rsid w:val="6E127284"/>
    <w:rsid w:val="6E381821"/>
    <w:rsid w:val="6E960BF2"/>
    <w:rsid w:val="6ECD322C"/>
    <w:rsid w:val="70281A75"/>
    <w:rsid w:val="7095616F"/>
    <w:rsid w:val="71C43320"/>
    <w:rsid w:val="71F67C2F"/>
    <w:rsid w:val="727B12D5"/>
    <w:rsid w:val="72ED7AD8"/>
    <w:rsid w:val="72FD479B"/>
    <w:rsid w:val="73764E7C"/>
    <w:rsid w:val="760C65CD"/>
    <w:rsid w:val="77577E43"/>
    <w:rsid w:val="77813E92"/>
    <w:rsid w:val="7B8C507D"/>
    <w:rsid w:val="7F000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name="toc 1"/>
    <w:lsdException w:qFormat="1" w:unhideWhenUsed="0" w:uiPriority="39" w:name="toc 2"/>
    <w:lsdException w:qFormat="1" w:unhideWhenUsed="0" w:uiPriority="39" w:name="toc 3"/>
    <w:lsdException w:unhideWhenUsed="0" w:uiPriority="0" w:name="toc 4"/>
    <w:lsdException w:unhideWhenUsed="0" w:uiPriority="0" w:name="toc 5"/>
    <w:lsdException w:unhideWhenUsed="0" w:uiPriority="0" w:name="toc 6"/>
    <w:lsdException w:unhideWhenUsed="0" w:uiPriority="0" w:name="toc 7"/>
    <w:lsdException w:unhideWhenUsed="0" w:uiPriority="0" w:name="toc 8"/>
    <w:lsdException w:unhideWhenUsed="0" w:uiPriority="0" w:name="toc 9"/>
    <w:lsdException w:qFormat="1" w:unhideWhenUsed="0" w:uiPriority="0" w:semiHidden="0" w:name="Normal Indent"/>
    <w:lsdException w:unhideWhenUsed="0" w:uiPriority="0" w:semiHidden="0" w:name="footnote text"/>
    <w:lsdException w:qFormat="1" w:unhideWhenUsed="0" w:uiPriority="99"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nhideWhenUsed="0" w:uiPriority="0" w:semiHidden="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183"/>
    <w:qFormat/>
    <w:uiPriority w:val="0"/>
    <w:pPr>
      <w:spacing w:before="340" w:after="330" w:line="360" w:lineRule="auto"/>
      <w:jc w:val="center"/>
      <w:outlineLvl w:val="0"/>
    </w:pPr>
    <w:rPr>
      <w:rFonts w:eastAsia="黑体"/>
      <w:kern w:val="44"/>
      <w:szCs w:val="44"/>
    </w:rPr>
  </w:style>
  <w:style w:type="paragraph" w:styleId="5">
    <w:name w:val="heading 2"/>
    <w:basedOn w:val="3"/>
    <w:next w:val="4"/>
    <w:link w:val="170"/>
    <w:qFormat/>
    <w:uiPriority w:val="0"/>
    <w:pPr>
      <w:adjustRightInd w:val="0"/>
      <w:jc w:val="center"/>
      <w:textAlignment w:val="baseline"/>
      <w:outlineLvl w:val="1"/>
    </w:pPr>
    <w:rPr>
      <w:kern w:val="0"/>
      <w:sz w:val="24"/>
      <w:szCs w:val="20"/>
    </w:rPr>
  </w:style>
  <w:style w:type="paragraph" w:styleId="3">
    <w:name w:val="heading 3"/>
    <w:basedOn w:val="4"/>
    <w:next w:val="1"/>
    <w:link w:val="164"/>
    <w:qFormat/>
    <w:uiPriority w:val="0"/>
    <w:pPr>
      <w:spacing w:before="260" w:after="260" w:line="240" w:lineRule="auto"/>
      <w:outlineLvl w:val="2"/>
    </w:pPr>
    <w:rPr>
      <w:rFonts w:ascii="宋体" w:hAnsi="宋体" w:eastAsia="宋体"/>
      <w:szCs w:val="32"/>
    </w:rPr>
  </w:style>
  <w:style w:type="paragraph" w:styleId="4">
    <w:name w:val="heading 4"/>
    <w:basedOn w:val="1"/>
    <w:next w:val="1"/>
    <w:link w:val="163"/>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58">
    <w:name w:val="Default Paragraph Font"/>
    <w:semiHidden/>
    <w:unhideWhenUsed/>
    <w:uiPriority w:val="1"/>
  </w:style>
  <w:style w:type="table" w:default="1" w:styleId="54">
    <w:name w:val="Normal Table"/>
    <w:semiHidden/>
    <w:unhideWhenUsed/>
    <w:uiPriority w:val="99"/>
    <w:tblPr>
      <w:tblCellMar>
        <w:top w:w="0" w:type="dxa"/>
        <w:left w:w="108" w:type="dxa"/>
        <w:bottom w:w="0" w:type="dxa"/>
        <w:right w:w="108" w:type="dxa"/>
      </w:tblCellMar>
    </w:tblPr>
  </w:style>
  <w:style w:type="paragraph" w:styleId="7">
    <w:name w:val="Normal Indent"/>
    <w:basedOn w:val="1"/>
    <w:link w:val="179"/>
    <w:qFormat/>
    <w:uiPriority w:val="0"/>
    <w:pPr>
      <w:ind w:firstLine="420"/>
    </w:pPr>
    <w:rPr>
      <w:szCs w:val="20"/>
    </w:rPr>
  </w:style>
  <w:style w:type="paragraph" w:styleId="12">
    <w:name w:val="List 3"/>
    <w:basedOn w:val="1"/>
    <w:uiPriority w:val="0"/>
    <w:pPr>
      <w:ind w:left="100" w:leftChars="400" w:hanging="200" w:hangingChars="200"/>
    </w:pPr>
  </w:style>
  <w:style w:type="paragraph" w:styleId="13">
    <w:name w:val="toc 7"/>
    <w:basedOn w:val="1"/>
    <w:next w:val="1"/>
    <w:semiHidden/>
    <w:uiPriority w:val="0"/>
    <w:pPr>
      <w:ind w:left="1260"/>
      <w:jc w:val="left"/>
    </w:pPr>
    <w:rPr>
      <w:szCs w:val="21"/>
    </w:rPr>
  </w:style>
  <w:style w:type="paragraph" w:styleId="14">
    <w:name w:val="List Bullet 4"/>
    <w:basedOn w:val="1"/>
    <w:uiPriority w:val="0"/>
    <w:pPr>
      <w:tabs>
        <w:tab w:val="left" w:pos="1620"/>
      </w:tabs>
      <w:ind w:left="1620" w:leftChars="600" w:hanging="360" w:hangingChars="200"/>
    </w:pPr>
  </w:style>
  <w:style w:type="paragraph" w:styleId="15">
    <w:name w:val="caption"/>
    <w:basedOn w:val="1"/>
    <w:next w:val="1"/>
    <w:qFormat/>
    <w:uiPriority w:val="0"/>
    <w:pPr>
      <w:adjustRightInd w:val="0"/>
      <w:spacing w:before="152" w:after="160" w:line="312" w:lineRule="atLeast"/>
      <w:textAlignment w:val="baseline"/>
    </w:pPr>
    <w:rPr>
      <w:rFonts w:ascii="Arial" w:hAnsi="Arial" w:eastAsia="黑体"/>
      <w:b/>
      <w:kern w:val="0"/>
      <w:szCs w:val="20"/>
    </w:rPr>
  </w:style>
  <w:style w:type="paragraph" w:styleId="16">
    <w:name w:val="List Bullet"/>
    <w:basedOn w:val="1"/>
    <w:uiPriority w:val="0"/>
    <w:pPr>
      <w:numPr>
        <w:ilvl w:val="0"/>
        <w:numId w:val="1"/>
      </w:numPr>
    </w:pPr>
    <w:rPr>
      <w:szCs w:val="20"/>
    </w:rPr>
  </w:style>
  <w:style w:type="paragraph" w:styleId="17">
    <w:name w:val="Document Map"/>
    <w:basedOn w:val="1"/>
    <w:link w:val="186"/>
    <w:semiHidden/>
    <w:uiPriority w:val="0"/>
    <w:pPr>
      <w:shd w:val="clear" w:color="auto" w:fill="000080"/>
    </w:pPr>
  </w:style>
  <w:style w:type="paragraph" w:styleId="18">
    <w:name w:val="annotation text"/>
    <w:basedOn w:val="1"/>
    <w:link w:val="182"/>
    <w:qFormat/>
    <w:uiPriority w:val="99"/>
    <w:pPr>
      <w:autoSpaceDE w:val="0"/>
      <w:autoSpaceDN w:val="0"/>
      <w:adjustRightInd w:val="0"/>
      <w:jc w:val="left"/>
      <w:textAlignment w:val="baseline"/>
    </w:pPr>
    <w:rPr>
      <w:rFonts w:ascii="宋体"/>
      <w:kern w:val="0"/>
      <w:sz w:val="34"/>
      <w:szCs w:val="20"/>
    </w:rPr>
  </w:style>
  <w:style w:type="paragraph" w:styleId="19">
    <w:name w:val="index 6"/>
    <w:basedOn w:val="1"/>
    <w:next w:val="1"/>
    <w:uiPriority w:val="0"/>
    <w:pPr>
      <w:ind w:left="1000" w:leftChars="1000"/>
    </w:pPr>
  </w:style>
  <w:style w:type="paragraph" w:styleId="20">
    <w:name w:val="Body Text 3"/>
    <w:basedOn w:val="1"/>
    <w:uiPriority w:val="0"/>
    <w:pPr>
      <w:spacing w:after="120"/>
    </w:pPr>
    <w:rPr>
      <w:sz w:val="16"/>
      <w:szCs w:val="16"/>
    </w:rPr>
  </w:style>
  <w:style w:type="paragraph" w:styleId="21">
    <w:name w:val="List Bullet 3"/>
    <w:basedOn w:val="1"/>
    <w:uiPriority w:val="0"/>
    <w:pPr>
      <w:tabs>
        <w:tab w:val="left" w:pos="1200"/>
      </w:tabs>
      <w:ind w:left="1200" w:leftChars="400" w:hanging="360" w:hangingChars="200"/>
    </w:pPr>
  </w:style>
  <w:style w:type="paragraph" w:styleId="22">
    <w:name w:val="Body Text"/>
    <w:basedOn w:val="1"/>
    <w:link w:val="185"/>
    <w:uiPriority w:val="0"/>
    <w:pPr>
      <w:spacing w:line="360" w:lineRule="auto"/>
    </w:pPr>
    <w:rPr>
      <w:b/>
      <w:bCs/>
      <w:sz w:val="24"/>
    </w:rPr>
  </w:style>
  <w:style w:type="paragraph" w:styleId="23">
    <w:name w:val="Body Text Indent"/>
    <w:basedOn w:val="1"/>
    <w:link w:val="162"/>
    <w:uiPriority w:val="0"/>
    <w:pPr>
      <w:spacing w:line="360" w:lineRule="auto"/>
      <w:ind w:firstLine="420" w:firstLineChars="200"/>
    </w:pPr>
  </w:style>
  <w:style w:type="paragraph" w:styleId="24">
    <w:name w:val="List 2"/>
    <w:basedOn w:val="25"/>
    <w:uiPriority w:val="0"/>
    <w:pPr>
      <w:ind w:left="1080"/>
    </w:pPr>
  </w:style>
  <w:style w:type="paragraph" w:styleId="25">
    <w:name w:val="List"/>
    <w:basedOn w:val="22"/>
    <w:uiPriority w:val="0"/>
    <w:pPr>
      <w:spacing w:after="220" w:line="220" w:lineRule="atLeast"/>
      <w:ind w:left="720" w:hanging="360"/>
    </w:pPr>
    <w:rPr>
      <w:b w:val="0"/>
      <w:bCs w:val="0"/>
      <w:sz w:val="21"/>
      <w:szCs w:val="20"/>
    </w:rPr>
  </w:style>
  <w:style w:type="paragraph" w:styleId="26">
    <w:name w:val="Block Text"/>
    <w:basedOn w:val="1"/>
    <w:uiPriority w:val="0"/>
    <w:pPr>
      <w:spacing w:after="120"/>
      <w:ind w:left="1440" w:leftChars="700" w:right="1440" w:rightChars="700"/>
    </w:pPr>
  </w:style>
  <w:style w:type="paragraph" w:styleId="27">
    <w:name w:val="List Bullet 2"/>
    <w:basedOn w:val="1"/>
    <w:uiPriority w:val="0"/>
    <w:pPr>
      <w:tabs>
        <w:tab w:val="left" w:pos="780"/>
      </w:tabs>
      <w:ind w:left="780" w:leftChars="200" w:hanging="360" w:hangingChars="200"/>
    </w:pPr>
  </w:style>
  <w:style w:type="paragraph" w:styleId="28">
    <w:name w:val="toc 5"/>
    <w:basedOn w:val="1"/>
    <w:next w:val="1"/>
    <w:semiHidden/>
    <w:uiPriority w:val="0"/>
    <w:pPr>
      <w:ind w:left="840"/>
      <w:jc w:val="left"/>
    </w:pPr>
    <w:rPr>
      <w:szCs w:val="21"/>
    </w:rPr>
  </w:style>
  <w:style w:type="paragraph" w:styleId="29">
    <w:name w:val="toc 3"/>
    <w:basedOn w:val="1"/>
    <w:next w:val="1"/>
    <w:semiHidden/>
    <w:qFormat/>
    <w:uiPriority w:val="39"/>
    <w:pPr>
      <w:ind w:left="420"/>
      <w:jc w:val="left"/>
    </w:pPr>
    <w:rPr>
      <w:i/>
      <w:iCs/>
    </w:rPr>
  </w:style>
  <w:style w:type="paragraph" w:styleId="30">
    <w:name w:val="Plain Text"/>
    <w:basedOn w:val="1"/>
    <w:link w:val="177"/>
    <w:qFormat/>
    <w:uiPriority w:val="0"/>
    <w:rPr>
      <w:rFonts w:ascii="宋体" w:hAnsi="Courier New"/>
      <w:szCs w:val="20"/>
    </w:rPr>
  </w:style>
  <w:style w:type="paragraph" w:styleId="31">
    <w:name w:val="List Bullet 5"/>
    <w:basedOn w:val="1"/>
    <w:uiPriority w:val="0"/>
    <w:pPr>
      <w:tabs>
        <w:tab w:val="left" w:pos="2040"/>
      </w:tabs>
      <w:ind w:left="2040" w:leftChars="800" w:hanging="360" w:hangingChars="200"/>
    </w:pPr>
  </w:style>
  <w:style w:type="paragraph" w:styleId="32">
    <w:name w:val="toc 8"/>
    <w:basedOn w:val="1"/>
    <w:next w:val="1"/>
    <w:semiHidden/>
    <w:uiPriority w:val="0"/>
    <w:pPr>
      <w:ind w:left="1470"/>
      <w:jc w:val="left"/>
    </w:pPr>
    <w:rPr>
      <w:szCs w:val="21"/>
    </w:rPr>
  </w:style>
  <w:style w:type="paragraph" w:styleId="33">
    <w:name w:val="Date"/>
    <w:basedOn w:val="1"/>
    <w:next w:val="1"/>
    <w:uiPriority w:val="0"/>
    <w:rPr>
      <w:rFonts w:ascii="宋体" w:hAnsi="Courier New"/>
      <w:sz w:val="32"/>
      <w:szCs w:val="20"/>
    </w:rPr>
  </w:style>
  <w:style w:type="paragraph" w:styleId="34">
    <w:name w:val="Body Text Indent 2"/>
    <w:basedOn w:val="1"/>
    <w:uiPriority w:val="0"/>
    <w:pPr>
      <w:spacing w:before="156" w:beforeLines="50" w:after="156" w:afterLines="50" w:line="120" w:lineRule="auto"/>
      <w:ind w:firstLine="840" w:firstLineChars="400"/>
      <w:jc w:val="left"/>
    </w:pPr>
    <w:rPr>
      <w:rFonts w:ascii="宋体" w:hAnsi="宋体"/>
    </w:rPr>
  </w:style>
  <w:style w:type="paragraph" w:styleId="35">
    <w:name w:val="Balloon Text"/>
    <w:basedOn w:val="1"/>
    <w:link w:val="187"/>
    <w:uiPriority w:val="0"/>
    <w:rPr>
      <w:sz w:val="18"/>
      <w:szCs w:val="18"/>
    </w:rPr>
  </w:style>
  <w:style w:type="paragraph" w:styleId="36">
    <w:name w:val="footer"/>
    <w:basedOn w:val="1"/>
    <w:link w:val="176"/>
    <w:qFormat/>
    <w:uiPriority w:val="0"/>
    <w:pPr>
      <w:tabs>
        <w:tab w:val="center" w:pos="4153"/>
        <w:tab w:val="right" w:pos="8306"/>
      </w:tabs>
      <w:snapToGrid w:val="0"/>
      <w:jc w:val="left"/>
    </w:pPr>
    <w:rPr>
      <w:sz w:val="18"/>
      <w:szCs w:val="18"/>
    </w:rPr>
  </w:style>
  <w:style w:type="paragraph" w:styleId="37">
    <w:name w:val="header"/>
    <w:basedOn w:val="1"/>
    <w:link w:val="167"/>
    <w:uiPriority w:val="99"/>
    <w:pPr>
      <w:pBdr>
        <w:bottom w:val="single" w:color="auto" w:sz="6" w:space="1"/>
      </w:pBdr>
      <w:tabs>
        <w:tab w:val="center" w:pos="4153"/>
        <w:tab w:val="right" w:pos="8306"/>
      </w:tabs>
      <w:snapToGrid w:val="0"/>
      <w:jc w:val="center"/>
    </w:pPr>
    <w:rPr>
      <w:sz w:val="18"/>
      <w:szCs w:val="18"/>
    </w:rPr>
  </w:style>
  <w:style w:type="paragraph" w:styleId="38">
    <w:name w:val="toc 1"/>
    <w:basedOn w:val="1"/>
    <w:next w:val="1"/>
    <w:semiHidden/>
    <w:qFormat/>
    <w:uiPriority w:val="39"/>
    <w:pPr>
      <w:spacing w:before="120" w:after="120"/>
      <w:jc w:val="left"/>
    </w:pPr>
    <w:rPr>
      <w:b/>
      <w:bCs/>
      <w:caps/>
    </w:rPr>
  </w:style>
  <w:style w:type="paragraph" w:styleId="39">
    <w:name w:val="toc 4"/>
    <w:basedOn w:val="1"/>
    <w:next w:val="1"/>
    <w:semiHidden/>
    <w:uiPriority w:val="0"/>
    <w:pPr>
      <w:ind w:left="630"/>
      <w:jc w:val="left"/>
    </w:pPr>
    <w:rPr>
      <w:szCs w:val="21"/>
    </w:rPr>
  </w:style>
  <w:style w:type="paragraph" w:styleId="40">
    <w:name w:val="index heading"/>
    <w:basedOn w:val="1"/>
    <w:next w:val="41"/>
    <w:uiPriority w:val="0"/>
  </w:style>
  <w:style w:type="paragraph" w:styleId="41">
    <w:name w:val="index 1"/>
    <w:basedOn w:val="1"/>
    <w:next w:val="1"/>
    <w:uiPriority w:val="0"/>
    <w:pPr>
      <w:tabs>
        <w:tab w:val="left" w:pos="3360"/>
      </w:tabs>
      <w:spacing w:line="520" w:lineRule="exact"/>
      <w:ind w:left="419" w:leftChars="50" w:hanging="314" w:hangingChars="131"/>
      <w:jc w:val="center"/>
      <w:outlineLvl w:val="3"/>
    </w:pPr>
    <w:rPr>
      <w:rFonts w:ascii="宋体" w:hAnsi="宋体"/>
      <w:sz w:val="24"/>
    </w:rPr>
  </w:style>
  <w:style w:type="paragraph" w:styleId="42">
    <w:name w:val="toc 6"/>
    <w:basedOn w:val="1"/>
    <w:next w:val="1"/>
    <w:semiHidden/>
    <w:uiPriority w:val="0"/>
    <w:pPr>
      <w:ind w:left="1050"/>
      <w:jc w:val="left"/>
    </w:pPr>
    <w:rPr>
      <w:szCs w:val="21"/>
    </w:rPr>
  </w:style>
  <w:style w:type="paragraph" w:styleId="43">
    <w:name w:val="Body Text Indent 3"/>
    <w:basedOn w:val="1"/>
    <w:uiPriority w:val="0"/>
    <w:pPr>
      <w:spacing w:line="360" w:lineRule="auto"/>
      <w:ind w:firstLine="482" w:firstLineChars="200"/>
    </w:pPr>
    <w:rPr>
      <w:rFonts w:ascii="宋体"/>
      <w:b/>
      <w:bCs/>
      <w:sz w:val="24"/>
    </w:rPr>
  </w:style>
  <w:style w:type="paragraph" w:styleId="44">
    <w:name w:val="toc 2"/>
    <w:basedOn w:val="1"/>
    <w:next w:val="1"/>
    <w:semiHidden/>
    <w:qFormat/>
    <w:uiPriority w:val="39"/>
    <w:pPr>
      <w:tabs>
        <w:tab w:val="right" w:leader="dot" w:pos="8296"/>
      </w:tabs>
      <w:ind w:left="210"/>
      <w:jc w:val="left"/>
    </w:pPr>
    <w:rPr>
      <w:smallCaps/>
    </w:rPr>
  </w:style>
  <w:style w:type="paragraph" w:styleId="45">
    <w:name w:val="toc 9"/>
    <w:basedOn w:val="1"/>
    <w:next w:val="1"/>
    <w:semiHidden/>
    <w:uiPriority w:val="0"/>
    <w:pPr>
      <w:ind w:left="1680"/>
      <w:jc w:val="left"/>
    </w:pPr>
    <w:rPr>
      <w:szCs w:val="21"/>
    </w:rPr>
  </w:style>
  <w:style w:type="paragraph" w:styleId="46">
    <w:name w:val="Body Text 2"/>
    <w:basedOn w:val="1"/>
    <w:uiPriority w:val="0"/>
    <w:pPr>
      <w:spacing w:line="360" w:lineRule="auto"/>
    </w:pPr>
    <w:rPr>
      <w:sz w:val="24"/>
    </w:rPr>
  </w:style>
  <w:style w:type="paragraph" w:styleId="47">
    <w:name w:val="HTML Preformatted"/>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48">
    <w:name w:val="Normal (Web)"/>
    <w:basedOn w:val="1"/>
    <w:qFormat/>
    <w:uiPriority w:val="0"/>
    <w:rPr>
      <w:sz w:val="24"/>
    </w:rPr>
  </w:style>
  <w:style w:type="paragraph" w:styleId="49">
    <w:name w:val="index 2"/>
    <w:basedOn w:val="1"/>
    <w:next w:val="1"/>
    <w:uiPriority w:val="0"/>
    <w:pPr>
      <w:adjustRightInd w:val="0"/>
      <w:spacing w:line="315" w:lineRule="atLeast"/>
      <w:ind w:left="420"/>
      <w:jc w:val="left"/>
      <w:textAlignment w:val="baseline"/>
    </w:pPr>
    <w:rPr>
      <w:rFonts w:ascii="宋体"/>
      <w:kern w:val="0"/>
    </w:rPr>
  </w:style>
  <w:style w:type="paragraph" w:styleId="50">
    <w:name w:val="Title"/>
    <w:basedOn w:val="1"/>
    <w:link w:val="171"/>
    <w:qFormat/>
    <w:uiPriority w:val="0"/>
    <w:pPr>
      <w:spacing w:before="240" w:after="60"/>
      <w:jc w:val="center"/>
      <w:outlineLvl w:val="0"/>
    </w:pPr>
    <w:rPr>
      <w:rFonts w:ascii="Arial" w:hAnsi="Arial" w:eastAsia="隶书"/>
      <w:b/>
      <w:bCs/>
      <w:sz w:val="32"/>
      <w:szCs w:val="32"/>
    </w:rPr>
  </w:style>
  <w:style w:type="paragraph" w:styleId="51">
    <w:name w:val="annotation subject"/>
    <w:basedOn w:val="18"/>
    <w:next w:val="18"/>
    <w:link w:val="184"/>
    <w:uiPriority w:val="0"/>
    <w:pPr>
      <w:autoSpaceDE/>
      <w:autoSpaceDN/>
      <w:adjustRightInd/>
      <w:textAlignment w:val="auto"/>
    </w:pPr>
    <w:rPr>
      <w:b/>
      <w:bCs/>
      <w:kern w:val="2"/>
      <w:sz w:val="21"/>
    </w:rPr>
  </w:style>
  <w:style w:type="paragraph" w:styleId="52">
    <w:name w:val="Body Text First Indent"/>
    <w:basedOn w:val="22"/>
    <w:link w:val="178"/>
    <w:uiPriority w:val="0"/>
    <w:pPr>
      <w:spacing w:after="120" w:line="240" w:lineRule="auto"/>
      <w:ind w:firstLine="420" w:firstLineChars="100"/>
    </w:pPr>
    <w:rPr>
      <w:sz w:val="21"/>
    </w:rPr>
  </w:style>
  <w:style w:type="paragraph" w:styleId="53">
    <w:name w:val="Body Text First Indent 2"/>
    <w:basedOn w:val="23"/>
    <w:link w:val="161"/>
    <w:uiPriority w:val="0"/>
    <w:pPr>
      <w:spacing w:after="120" w:line="240" w:lineRule="auto"/>
      <w:ind w:left="420" w:firstLine="210" w:firstLineChars="0"/>
    </w:pPr>
    <w:rPr>
      <w:szCs w:val="20"/>
    </w:rPr>
  </w:style>
  <w:style w:type="table" w:styleId="55">
    <w:name w:val="Table Grid"/>
    <w:basedOn w:val="5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56">
    <w:name w:val="Table Theme"/>
    <w:basedOn w:val="5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57">
    <w:name w:val="Table Grid 2"/>
    <w:basedOn w:val="54"/>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character" w:styleId="59">
    <w:name w:val="Strong"/>
    <w:qFormat/>
    <w:uiPriority w:val="22"/>
    <w:rPr>
      <w:b/>
      <w:bCs/>
    </w:rPr>
  </w:style>
  <w:style w:type="character" w:styleId="60">
    <w:name w:val="page number"/>
    <w:basedOn w:val="58"/>
    <w:uiPriority w:val="0"/>
  </w:style>
  <w:style w:type="character" w:styleId="61">
    <w:name w:val="FollowedHyperlink"/>
    <w:uiPriority w:val="0"/>
    <w:rPr>
      <w:color w:val="800080"/>
      <w:u w:val="single"/>
    </w:rPr>
  </w:style>
  <w:style w:type="character" w:styleId="62">
    <w:name w:val="Emphasis"/>
    <w:qFormat/>
    <w:uiPriority w:val="0"/>
    <w:rPr>
      <w:color w:val="CC0000"/>
    </w:rPr>
  </w:style>
  <w:style w:type="character" w:styleId="63">
    <w:name w:val="Hyperlink"/>
    <w:uiPriority w:val="99"/>
    <w:rPr>
      <w:color w:val="0000FF"/>
      <w:u w:val="single"/>
    </w:rPr>
  </w:style>
  <w:style w:type="character" w:styleId="64">
    <w:name w:val="annotation reference"/>
    <w:qFormat/>
    <w:uiPriority w:val="0"/>
    <w:rPr>
      <w:sz w:val="21"/>
      <w:szCs w:val="21"/>
    </w:rPr>
  </w:style>
  <w:style w:type="paragraph" w:customStyle="1" w:styleId="65">
    <w:name w:val="投标人须知3"/>
    <w:basedOn w:val="1"/>
    <w:uiPriority w:val="0"/>
    <w:pPr>
      <w:numPr>
        <w:ilvl w:val="2"/>
        <w:numId w:val="2"/>
      </w:numPr>
      <w:spacing w:line="300" w:lineRule="auto"/>
      <w:jc w:val="left"/>
    </w:pPr>
  </w:style>
  <w:style w:type="paragraph" w:customStyle="1" w:styleId="66">
    <w:name w:val="小标题"/>
    <w:basedOn w:val="1"/>
    <w:uiPriority w:val="0"/>
    <w:pPr>
      <w:spacing w:before="240" w:after="240"/>
      <w:jc w:val="center"/>
    </w:pPr>
    <w:rPr>
      <w:rFonts w:eastAsia="创艺简黑体"/>
      <w:b/>
      <w:w w:val="95"/>
      <w:szCs w:val="20"/>
    </w:rPr>
  </w:style>
  <w:style w:type="paragraph" w:customStyle="1" w:styleId="67">
    <w:name w:val="Definition Term"/>
    <w:basedOn w:val="1"/>
    <w:next w:val="1"/>
    <w:uiPriority w:val="0"/>
    <w:pPr>
      <w:autoSpaceDE w:val="0"/>
      <w:autoSpaceDN w:val="0"/>
      <w:adjustRightInd w:val="0"/>
      <w:jc w:val="left"/>
    </w:pPr>
    <w:rPr>
      <w:kern w:val="0"/>
      <w:sz w:val="24"/>
      <w:szCs w:val="20"/>
    </w:rPr>
  </w:style>
  <w:style w:type="paragraph" w:customStyle="1" w:styleId="68">
    <w:name w:val="xl48"/>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69">
    <w:name w:val="xl44"/>
    <w:basedOn w:val="1"/>
    <w:uiPriority w:val="0"/>
    <w:pPr>
      <w:widowControl/>
      <w:pBdr>
        <w:top w:val="single" w:color="auto" w:sz="4" w:space="0"/>
        <w:bottom w:val="single" w:color="auto" w:sz="8" w:space="0"/>
        <w:right w:val="single" w:color="auto" w:sz="4" w:space="0"/>
      </w:pBdr>
      <w:spacing w:before="100" w:beforeAutospacing="1" w:after="100" w:afterAutospacing="1"/>
      <w:jc w:val="center"/>
    </w:pPr>
    <w:rPr>
      <w:rFonts w:ascii="宋体" w:hAnsi="宋体"/>
      <w:kern w:val="0"/>
      <w:sz w:val="22"/>
      <w:szCs w:val="22"/>
    </w:rPr>
  </w:style>
  <w:style w:type="paragraph" w:styleId="70">
    <w:name w:val="Intense Quote"/>
    <w:basedOn w:val="1"/>
    <w:next w:val="1"/>
    <w:link w:val="174"/>
    <w:qFormat/>
    <w:uiPriority w:val="0"/>
    <w:pPr>
      <w:pBdr>
        <w:bottom w:val="single" w:color="4F81BD" w:sz="4" w:space="4"/>
      </w:pBdr>
      <w:spacing w:before="200" w:after="280"/>
      <w:ind w:left="936" w:right="936"/>
    </w:pPr>
    <w:rPr>
      <w:b/>
      <w:bCs/>
      <w:i/>
      <w:iCs/>
      <w:color w:val="4F81BD"/>
    </w:rPr>
  </w:style>
  <w:style w:type="paragraph" w:customStyle="1" w:styleId="71">
    <w:name w:val="样式 小标题 + 宋体 黑色 首行缩进:  0.74 厘米"/>
    <w:basedOn w:val="22"/>
    <w:uiPriority w:val="0"/>
    <w:pPr>
      <w:spacing w:after="120" w:line="240" w:lineRule="auto"/>
      <w:ind w:firstLine="420"/>
    </w:pPr>
    <w:rPr>
      <w:rFonts w:ascii="宋体" w:hAnsi="宋体" w:cs="宋体"/>
      <w:b w:val="0"/>
      <w:bCs w:val="0"/>
      <w:color w:val="000000"/>
      <w:sz w:val="21"/>
      <w:szCs w:val="20"/>
    </w:rPr>
  </w:style>
  <w:style w:type="paragraph" w:customStyle="1" w:styleId="72">
    <w:name w:val="表格内文2"/>
    <w:basedOn w:val="73"/>
    <w:uiPriority w:val="0"/>
  </w:style>
  <w:style w:type="paragraph" w:customStyle="1" w:styleId="73">
    <w:name w:val="表格内文"/>
    <w:basedOn w:val="1"/>
    <w:uiPriority w:val="0"/>
    <w:pPr>
      <w:spacing w:before="60" w:after="60"/>
      <w:jc w:val="center"/>
    </w:pPr>
    <w:rPr>
      <w:rFonts w:eastAsia="文鼎CS书宋二"/>
      <w:w w:val="95"/>
      <w:sz w:val="18"/>
      <w:szCs w:val="20"/>
    </w:rPr>
  </w:style>
  <w:style w:type="paragraph" w:customStyle="1" w:styleId="74">
    <w:name w:val="标题4 Char"/>
    <w:basedOn w:val="1"/>
    <w:uiPriority w:val="0"/>
    <w:pPr>
      <w:spacing w:line="360" w:lineRule="auto"/>
      <w:ind w:firstLine="538" w:firstLineChars="192"/>
      <w:jc w:val="left"/>
    </w:pPr>
    <w:rPr>
      <w:rFonts w:ascii="宋体" w:hAnsi="宋体"/>
      <w:color w:val="000000"/>
      <w:sz w:val="28"/>
      <w:szCs w:val="28"/>
    </w:rPr>
  </w:style>
  <w:style w:type="paragraph" w:customStyle="1" w:styleId="75">
    <w:name w:val="说明"/>
    <w:basedOn w:val="66"/>
    <w:uiPriority w:val="0"/>
    <w:pPr>
      <w:spacing w:before="0" w:after="0" w:line="288" w:lineRule="auto"/>
      <w:ind w:firstLine="420"/>
      <w:jc w:val="both"/>
    </w:pPr>
    <w:rPr>
      <w:rFonts w:ascii="文鼎中楷" w:eastAsia="文鼎中楷"/>
      <w:b w:val="0"/>
    </w:rPr>
  </w:style>
  <w:style w:type="paragraph" w:customStyle="1" w:styleId="76">
    <w:name w:val="xl39"/>
    <w:basedOn w:val="1"/>
    <w:uiPriority w:val="0"/>
    <w:pPr>
      <w:widowControl/>
      <w:pBdr>
        <w:top w:val="single" w:color="auto" w:sz="4" w:space="0"/>
        <w:bottom w:val="single" w:color="auto" w:sz="4" w:space="0"/>
      </w:pBdr>
      <w:spacing w:before="100" w:beforeAutospacing="1" w:after="100" w:afterAutospacing="1"/>
      <w:jc w:val="center"/>
    </w:pPr>
    <w:rPr>
      <w:rFonts w:ascii="宋体" w:hAnsi="宋体"/>
      <w:b/>
      <w:bCs/>
      <w:kern w:val="0"/>
      <w:sz w:val="24"/>
    </w:rPr>
  </w:style>
  <w:style w:type="paragraph" w:customStyle="1" w:styleId="77">
    <w:name w:val="样式 投标人须知1 + (符号) 宋体"/>
    <w:basedOn w:val="78"/>
    <w:uiPriority w:val="0"/>
    <w:pPr>
      <w:numPr>
        <w:numId w:val="0"/>
      </w:numPr>
      <w:tabs>
        <w:tab w:val="left" w:pos="360"/>
      </w:tabs>
      <w:ind w:left="360" w:hanging="360"/>
      <w:outlineLvl w:val="1"/>
    </w:pPr>
    <w:rPr>
      <w:bCs/>
    </w:rPr>
  </w:style>
  <w:style w:type="paragraph" w:customStyle="1" w:styleId="78">
    <w:name w:val="投标人须知1"/>
    <w:basedOn w:val="1"/>
    <w:uiPriority w:val="0"/>
    <w:pPr>
      <w:numPr>
        <w:ilvl w:val="0"/>
        <w:numId w:val="2"/>
      </w:numPr>
      <w:spacing w:line="480" w:lineRule="auto"/>
      <w:jc w:val="left"/>
    </w:pPr>
    <w:rPr>
      <w:b/>
      <w:sz w:val="24"/>
    </w:rPr>
  </w:style>
  <w:style w:type="paragraph" w:customStyle="1" w:styleId="79">
    <w:name w:val="前言、引言标题"/>
    <w:next w:val="1"/>
    <w:uiPriority w:val="0"/>
    <w:pPr>
      <w:shd w:val="clear" w:color="FFFFFF" w:fill="FFFFFF"/>
      <w:tabs>
        <w:tab w:val="left" w:pos="360"/>
        <w:tab w:val="left" w:pos="760"/>
      </w:tabs>
      <w:spacing w:before="640" w:after="560"/>
      <w:ind w:left="717" w:hanging="317"/>
      <w:jc w:val="center"/>
      <w:outlineLvl w:val="0"/>
    </w:pPr>
    <w:rPr>
      <w:rFonts w:ascii="黑体" w:hAnsi="Times New Roman" w:eastAsia="黑体" w:cs="Times New Roman"/>
      <w:sz w:val="32"/>
      <w:lang w:val="en-US" w:eastAsia="zh-CN" w:bidi="ar-SA"/>
    </w:rPr>
  </w:style>
  <w:style w:type="paragraph" w:customStyle="1" w:styleId="80">
    <w:name w:val="xl36"/>
    <w:basedOn w:val="1"/>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宋体" w:hAnsi="宋体"/>
      <w:kern w:val="0"/>
      <w:sz w:val="22"/>
      <w:szCs w:val="22"/>
    </w:rPr>
  </w:style>
  <w:style w:type="paragraph" w:customStyle="1" w:styleId="81">
    <w:name w:val="样式 章标题 20 加粗 居中"/>
    <w:basedOn w:val="82"/>
    <w:uiPriority w:val="0"/>
    <w:pPr>
      <w:tabs>
        <w:tab w:val="left" w:pos="1590"/>
      </w:tabs>
    </w:pPr>
    <w:rPr>
      <w:rFonts w:cs="宋体"/>
      <w:b/>
      <w:bCs/>
      <w:sz w:val="40"/>
    </w:rPr>
  </w:style>
  <w:style w:type="paragraph" w:customStyle="1" w:styleId="82">
    <w:name w:val="样式 章标题"/>
    <w:basedOn w:val="50"/>
    <w:uiPriority w:val="0"/>
    <w:pPr>
      <w:tabs>
        <w:tab w:val="left" w:pos="1590"/>
      </w:tabs>
      <w:ind w:left="1590" w:hanging="1590"/>
    </w:pPr>
    <w:rPr>
      <w:rFonts w:eastAsia="宋体"/>
      <w:b w:val="0"/>
      <w:bCs w:val="0"/>
    </w:rPr>
  </w:style>
  <w:style w:type="paragraph" w:customStyle="1" w:styleId="83">
    <w:name w:val="xl41"/>
    <w:basedOn w:val="1"/>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宋体" w:hAnsi="宋体"/>
      <w:b/>
      <w:bCs/>
      <w:kern w:val="0"/>
      <w:sz w:val="24"/>
    </w:rPr>
  </w:style>
  <w:style w:type="paragraph" w:customStyle="1" w:styleId="84">
    <w:name w:val="小标题 1"/>
    <w:basedOn w:val="1"/>
    <w:uiPriority w:val="0"/>
    <w:pPr>
      <w:autoSpaceDE w:val="0"/>
      <w:autoSpaceDN w:val="0"/>
      <w:adjustRightInd w:val="0"/>
      <w:spacing w:line="360" w:lineRule="atLeast"/>
    </w:pPr>
    <w:rPr>
      <w:rFonts w:ascii="文鼎粗黑" w:eastAsia="文鼎粗黑"/>
      <w:kern w:val="0"/>
      <w:sz w:val="22"/>
      <w:szCs w:val="20"/>
    </w:rPr>
  </w:style>
  <w:style w:type="paragraph" w:customStyle="1" w:styleId="85">
    <w:name w:val="内正文加粗"/>
    <w:basedOn w:val="86"/>
    <w:uiPriority w:val="0"/>
    <w:pPr>
      <w:spacing w:before="60" w:after="60"/>
    </w:pPr>
    <w:rPr>
      <w:b/>
    </w:rPr>
  </w:style>
  <w:style w:type="paragraph" w:customStyle="1" w:styleId="86">
    <w:name w:val="内正文"/>
    <w:basedOn w:val="1"/>
    <w:uiPriority w:val="0"/>
    <w:pPr>
      <w:ind w:firstLine="420"/>
    </w:pPr>
    <w:rPr>
      <w:rFonts w:eastAsia="文鼎CS书宋二"/>
      <w:szCs w:val="20"/>
    </w:rPr>
  </w:style>
  <w:style w:type="paragraph" w:customStyle="1" w:styleId="87">
    <w:name w:val="01"/>
    <w:basedOn w:val="72"/>
    <w:uiPriority w:val="0"/>
  </w:style>
  <w:style w:type="paragraph" w:customStyle="1" w:styleId="88">
    <w:name w:val="Table Contents"/>
    <w:basedOn w:val="1"/>
    <w:uiPriority w:val="0"/>
    <w:pPr>
      <w:suppressAutoHyphens/>
      <w:autoSpaceDE w:val="0"/>
      <w:spacing w:after="120"/>
      <w:jc w:val="left"/>
    </w:pPr>
    <w:rPr>
      <w:rFonts w:ascii="Helvetica" w:hAnsi="Helvetica"/>
      <w:kern w:val="1"/>
      <w:sz w:val="20"/>
      <w:szCs w:val="20"/>
    </w:rPr>
  </w:style>
  <w:style w:type="paragraph" w:customStyle="1" w:styleId="89">
    <w:name w:val="样式1"/>
    <w:basedOn w:val="50"/>
    <w:uiPriority w:val="0"/>
    <w:pPr>
      <w:spacing w:before="120" w:after="120"/>
    </w:pPr>
    <w:rPr>
      <w:rFonts w:eastAsia="黑体"/>
      <w:b w:val="0"/>
      <w:sz w:val="30"/>
      <w:szCs w:val="21"/>
    </w:rPr>
  </w:style>
  <w:style w:type="paragraph" w:customStyle="1" w:styleId="90">
    <w:name w:val="font5"/>
    <w:basedOn w:val="1"/>
    <w:uiPriority w:val="0"/>
    <w:pPr>
      <w:widowControl/>
      <w:spacing w:before="100" w:beforeAutospacing="1" w:after="100" w:afterAutospacing="1"/>
      <w:jc w:val="left"/>
    </w:pPr>
    <w:rPr>
      <w:rFonts w:hint="eastAsia" w:ascii="宋体" w:hAnsi="宋体"/>
      <w:kern w:val="0"/>
      <w:sz w:val="18"/>
      <w:szCs w:val="18"/>
    </w:rPr>
  </w:style>
  <w:style w:type="paragraph" w:customStyle="1" w:styleId="91">
    <w:name w:val="xl26"/>
    <w:basedOn w:val="1"/>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kern w:val="0"/>
      <w:sz w:val="22"/>
      <w:szCs w:val="22"/>
    </w:rPr>
  </w:style>
  <w:style w:type="paragraph" w:customStyle="1" w:styleId="92">
    <w:name w:val="xl4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93">
    <w:name w:val="font9"/>
    <w:basedOn w:val="1"/>
    <w:uiPriority w:val="0"/>
    <w:pPr>
      <w:widowControl/>
      <w:spacing w:before="100" w:beforeAutospacing="1" w:after="100" w:afterAutospacing="1"/>
      <w:jc w:val="left"/>
    </w:pPr>
    <w:rPr>
      <w:rFonts w:hint="eastAsia" w:ascii="宋体" w:hAnsi="宋体"/>
      <w:kern w:val="0"/>
      <w:sz w:val="20"/>
      <w:szCs w:val="20"/>
      <w:u w:val="single"/>
    </w:rPr>
  </w:style>
  <w:style w:type="paragraph" w:customStyle="1" w:styleId="94">
    <w:name w:val="Char"/>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95">
    <w:name w:val="Char Char Char Char Char Char1 Char"/>
    <w:basedOn w:val="1"/>
    <w:uiPriority w:val="0"/>
    <w:pPr>
      <w:widowControl/>
      <w:spacing w:after="160" w:line="240" w:lineRule="exact"/>
      <w:jc w:val="left"/>
    </w:pPr>
    <w:rPr>
      <w:rFonts w:ascii="Verdana" w:hAnsi="Verdana"/>
      <w:kern w:val="0"/>
      <w:szCs w:val="20"/>
      <w:lang w:eastAsia="en-US"/>
    </w:rPr>
  </w:style>
  <w:style w:type="paragraph" w:customStyle="1" w:styleId="96">
    <w:name w:val="font10"/>
    <w:basedOn w:val="1"/>
    <w:uiPriority w:val="0"/>
    <w:pPr>
      <w:widowControl/>
      <w:spacing w:before="100" w:beforeAutospacing="1" w:after="100" w:afterAutospacing="1"/>
      <w:jc w:val="left"/>
    </w:pPr>
    <w:rPr>
      <w:b/>
      <w:bCs/>
      <w:kern w:val="0"/>
      <w:sz w:val="20"/>
      <w:szCs w:val="20"/>
      <w:u w:val="single"/>
    </w:rPr>
  </w:style>
  <w:style w:type="paragraph" w:customStyle="1" w:styleId="97">
    <w:name w:val="表格内文1"/>
    <w:basedOn w:val="73"/>
    <w:uiPriority w:val="0"/>
  </w:style>
  <w:style w:type="paragraph" w:customStyle="1" w:styleId="98">
    <w:name w:val="Char Char8 Char Char Char Char"/>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99">
    <w:name w:val="表格下注"/>
    <w:basedOn w:val="86"/>
    <w:uiPriority w:val="0"/>
    <w:pPr>
      <w:ind w:left="798" w:hanging="378"/>
    </w:pPr>
    <w:rPr>
      <w:sz w:val="18"/>
    </w:rPr>
  </w:style>
  <w:style w:type="paragraph" w:customStyle="1" w:styleId="100">
    <w:name w:val="样式 章标题 + 宋体 加粗 倾斜 黑色"/>
    <w:basedOn w:val="5"/>
    <w:uiPriority w:val="0"/>
    <w:pPr>
      <w:keepNext w:val="0"/>
      <w:keepLines w:val="0"/>
      <w:adjustRightInd/>
      <w:spacing w:before="480" w:after="120"/>
      <w:textAlignment w:val="auto"/>
      <w:outlineLvl w:val="9"/>
    </w:pPr>
    <w:rPr>
      <w:i/>
      <w:iCs/>
      <w:color w:val="000000"/>
      <w:w w:val="80"/>
      <w:kern w:val="2"/>
      <w:sz w:val="40"/>
    </w:rPr>
  </w:style>
  <w:style w:type="paragraph" w:customStyle="1" w:styleId="101">
    <w:name w:val="xl4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0"/>
      <w:szCs w:val="20"/>
    </w:rPr>
  </w:style>
  <w:style w:type="paragraph" w:customStyle="1" w:styleId="102">
    <w:name w:val="xl5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103">
    <w:name w:val="char"/>
    <w:basedOn w:val="3"/>
    <w:uiPriority w:val="0"/>
    <w:pPr>
      <w:spacing w:line="360" w:lineRule="auto"/>
      <w:ind w:firstLine="2560" w:firstLineChars="800"/>
    </w:pPr>
    <w:rPr>
      <w:b w:val="0"/>
      <w:bCs w:val="0"/>
      <w:sz w:val="32"/>
      <w:szCs w:val="20"/>
    </w:rPr>
  </w:style>
  <w:style w:type="paragraph" w:customStyle="1" w:styleId="104">
    <w:name w:val="内正文篇标"/>
    <w:basedOn w:val="86"/>
    <w:uiPriority w:val="0"/>
    <w:pPr>
      <w:ind w:firstLine="2354" w:firstLineChars="654"/>
      <w:jc w:val="left"/>
    </w:pPr>
    <w:rPr>
      <w:rFonts w:ascii="宋体" w:hAnsi="宋体" w:eastAsia="宋体"/>
      <w:w w:val="90"/>
      <w:sz w:val="40"/>
    </w:rPr>
  </w:style>
  <w:style w:type="paragraph" w:customStyle="1" w:styleId="105">
    <w:name w:val="Char Char Char Char Char"/>
    <w:basedOn w:val="1"/>
    <w:uiPriority w:val="0"/>
    <w:rPr>
      <w:rFonts w:ascii="Tahoma" w:hAnsi="Tahoma"/>
      <w:sz w:val="24"/>
      <w:szCs w:val="20"/>
    </w:rPr>
  </w:style>
  <w:style w:type="paragraph" w:customStyle="1" w:styleId="106">
    <w:name w:val="Char Char Char Char"/>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107">
    <w:name w:val="font8"/>
    <w:basedOn w:val="1"/>
    <w:uiPriority w:val="0"/>
    <w:pPr>
      <w:widowControl/>
      <w:spacing w:before="100" w:beforeAutospacing="1" w:after="100" w:afterAutospacing="1"/>
      <w:jc w:val="left"/>
    </w:pPr>
    <w:rPr>
      <w:rFonts w:hint="eastAsia" w:ascii="宋体" w:hAnsi="宋体"/>
      <w:b/>
      <w:bCs/>
      <w:kern w:val="0"/>
      <w:sz w:val="20"/>
      <w:szCs w:val="20"/>
      <w:u w:val="single"/>
    </w:rPr>
  </w:style>
  <w:style w:type="paragraph" w:customStyle="1" w:styleId="108">
    <w:name w:val="自定义正文"/>
    <w:basedOn w:val="1"/>
    <w:uiPriority w:val="0"/>
    <w:pPr>
      <w:spacing w:after="50" w:afterLines="50"/>
      <w:ind w:left="600" w:leftChars="600"/>
    </w:pPr>
  </w:style>
  <w:style w:type="paragraph" w:customStyle="1" w:styleId="109">
    <w:name w:val="xl25"/>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unga" w:hAnsi="Tunga"/>
      <w:kern w:val="0"/>
      <w:sz w:val="22"/>
      <w:szCs w:val="22"/>
    </w:rPr>
  </w:style>
  <w:style w:type="paragraph" w:customStyle="1" w:styleId="110">
    <w:name w:val="xl34"/>
    <w:basedOn w:val="1"/>
    <w:uiPriority w:val="0"/>
    <w:pPr>
      <w:widowControl/>
      <w:pBdr>
        <w:top w:val="single" w:color="auto" w:sz="4" w:space="0"/>
        <w:bottom w:val="single" w:color="auto" w:sz="4" w:space="0"/>
      </w:pBdr>
      <w:spacing w:before="100" w:beforeAutospacing="1" w:after="100" w:afterAutospacing="1"/>
      <w:jc w:val="center"/>
    </w:pPr>
    <w:rPr>
      <w:rFonts w:ascii="宋体" w:hAnsi="宋体"/>
      <w:kern w:val="0"/>
      <w:sz w:val="22"/>
      <w:szCs w:val="22"/>
    </w:rPr>
  </w:style>
  <w:style w:type="paragraph" w:customStyle="1" w:styleId="111">
    <w:name w:val="xl27"/>
    <w:basedOn w:val="1"/>
    <w:uiPriority w:val="0"/>
    <w:pPr>
      <w:widowControl/>
      <w:pBdr>
        <w:top w:val="single" w:color="auto" w:sz="4" w:space="0"/>
        <w:bottom w:val="single" w:color="auto" w:sz="4" w:space="0"/>
      </w:pBdr>
      <w:spacing w:before="100" w:beforeAutospacing="1" w:after="100" w:afterAutospacing="1"/>
      <w:jc w:val="center"/>
    </w:pPr>
    <w:rPr>
      <w:rFonts w:ascii="宋体" w:hAnsi="宋体"/>
      <w:kern w:val="0"/>
      <w:sz w:val="22"/>
      <w:szCs w:val="22"/>
    </w:rPr>
  </w:style>
  <w:style w:type="paragraph" w:customStyle="1" w:styleId="112">
    <w:name w:val="xl2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2"/>
      <w:szCs w:val="22"/>
    </w:rPr>
  </w:style>
  <w:style w:type="paragraph" w:customStyle="1" w:styleId="113">
    <w:name w:val="Char1 Char Char Char Char Char Char Char Char Char Char Char Char"/>
    <w:basedOn w:val="1"/>
    <w:qFormat/>
    <w:uiPriority w:val="0"/>
    <w:rPr>
      <w:rFonts w:ascii="仿宋_GB2312" w:eastAsia="仿宋_GB2312"/>
      <w:b/>
      <w:sz w:val="32"/>
      <w:szCs w:val="32"/>
    </w:rPr>
  </w:style>
  <w:style w:type="paragraph" w:customStyle="1" w:styleId="114">
    <w:name w:val="xl31"/>
    <w:basedOn w:val="1"/>
    <w:uiPriority w:val="0"/>
    <w:pPr>
      <w:widowControl/>
      <w:pBdr>
        <w:top w:val="single" w:color="auto" w:sz="4" w:space="0"/>
        <w:bottom w:val="single" w:color="auto" w:sz="8" w:space="0"/>
        <w:right w:val="single" w:color="auto" w:sz="4" w:space="0"/>
      </w:pBdr>
      <w:spacing w:before="100" w:beforeAutospacing="1" w:after="100" w:afterAutospacing="1"/>
      <w:jc w:val="center"/>
    </w:pPr>
    <w:rPr>
      <w:rFonts w:ascii="宋体" w:hAnsi="宋体"/>
      <w:kern w:val="0"/>
      <w:sz w:val="22"/>
      <w:szCs w:val="22"/>
    </w:rPr>
  </w:style>
  <w:style w:type="paragraph" w:customStyle="1" w:styleId="115">
    <w:name w:val="样式2"/>
    <w:basedOn w:val="50"/>
    <w:next w:val="89"/>
    <w:uiPriority w:val="0"/>
    <w:pPr>
      <w:spacing w:before="120" w:after="120"/>
    </w:pPr>
    <w:rPr>
      <w:rFonts w:eastAsia="黑体"/>
      <w:b w:val="0"/>
      <w:sz w:val="30"/>
      <w:szCs w:val="30"/>
    </w:rPr>
  </w:style>
  <w:style w:type="paragraph" w:customStyle="1" w:styleId="116">
    <w:name w:val="Char Char Char Char1"/>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117">
    <w:name w:val="二级条标题"/>
    <w:basedOn w:val="1"/>
    <w:next w:val="1"/>
    <w:uiPriority w:val="0"/>
    <w:pPr>
      <w:widowControl/>
      <w:tabs>
        <w:tab w:val="left" w:pos="1680"/>
      </w:tabs>
      <w:ind w:left="1680" w:hanging="420"/>
      <w:jc w:val="left"/>
      <w:outlineLvl w:val="3"/>
    </w:pPr>
    <w:rPr>
      <w:rFonts w:eastAsia="黑体"/>
      <w:kern w:val="0"/>
      <w:szCs w:val="20"/>
    </w:rPr>
  </w:style>
  <w:style w:type="paragraph" w:customStyle="1" w:styleId="118">
    <w:name w:val="Char1"/>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119">
    <w:name w:val="xl42"/>
    <w:basedOn w:val="1"/>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24"/>
    </w:rPr>
  </w:style>
  <w:style w:type="paragraph" w:customStyle="1" w:styleId="120">
    <w:name w:val="投标人须知2"/>
    <w:basedOn w:val="1"/>
    <w:uiPriority w:val="0"/>
    <w:pPr>
      <w:numPr>
        <w:ilvl w:val="1"/>
        <w:numId w:val="2"/>
      </w:numPr>
      <w:spacing w:line="300" w:lineRule="auto"/>
      <w:jc w:val="left"/>
    </w:pPr>
    <w:rPr>
      <w:szCs w:val="21"/>
    </w:rPr>
  </w:style>
  <w:style w:type="paragraph" w:customStyle="1" w:styleId="121">
    <w:name w:val="È±Ê¡ÎÄ±¾"/>
    <w:basedOn w:val="1"/>
    <w:uiPriority w:val="0"/>
    <w:pPr>
      <w:widowControl/>
      <w:overflowPunct w:val="0"/>
      <w:autoSpaceDE w:val="0"/>
      <w:autoSpaceDN w:val="0"/>
      <w:adjustRightInd w:val="0"/>
      <w:jc w:val="left"/>
      <w:textAlignment w:val="baseline"/>
    </w:pPr>
    <w:rPr>
      <w:kern w:val="0"/>
      <w:sz w:val="24"/>
      <w:szCs w:val="20"/>
    </w:rPr>
  </w:style>
  <w:style w:type="paragraph" w:customStyle="1" w:styleId="122">
    <w:name w:val="xl23"/>
    <w:basedOn w:val="1"/>
    <w:uiPriority w:val="0"/>
    <w:pPr>
      <w:widowControl/>
      <w:spacing w:before="100" w:beforeAutospacing="1" w:after="100" w:afterAutospacing="1"/>
      <w:jc w:val="center"/>
      <w:textAlignment w:val="center"/>
    </w:pPr>
    <w:rPr>
      <w:rFonts w:hint="eastAsia" w:ascii="黑体" w:hAnsi="宋体" w:eastAsia="黑体"/>
      <w:kern w:val="0"/>
      <w:sz w:val="22"/>
      <w:szCs w:val="22"/>
    </w:rPr>
  </w:style>
  <w:style w:type="paragraph" w:customStyle="1" w:styleId="123">
    <w:name w:val="xl33"/>
    <w:basedOn w:val="1"/>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kern w:val="0"/>
      <w:sz w:val="22"/>
      <w:szCs w:val="22"/>
    </w:rPr>
  </w:style>
  <w:style w:type="paragraph" w:customStyle="1" w:styleId="124">
    <w:name w:val="xl45"/>
    <w:basedOn w:val="1"/>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kern w:val="0"/>
      <w:sz w:val="20"/>
      <w:szCs w:val="20"/>
    </w:rPr>
  </w:style>
  <w:style w:type="paragraph" w:customStyle="1" w:styleId="125">
    <w:name w:val="font11"/>
    <w:basedOn w:val="1"/>
    <w:uiPriority w:val="0"/>
    <w:pPr>
      <w:widowControl/>
      <w:spacing w:before="100" w:beforeAutospacing="1" w:after="100" w:afterAutospacing="1"/>
      <w:jc w:val="left"/>
    </w:pPr>
    <w:rPr>
      <w:kern w:val="0"/>
      <w:sz w:val="20"/>
      <w:szCs w:val="20"/>
    </w:rPr>
  </w:style>
  <w:style w:type="paragraph" w:customStyle="1" w:styleId="126">
    <w:name w:val="Char Char Char Char Char1 Char Char Char Char Char Char Char Char Char Char"/>
    <w:basedOn w:val="1"/>
    <w:uiPriority w:val="0"/>
    <w:rPr>
      <w:rFonts w:ascii="仿宋_GB2312" w:eastAsia="仿宋_GB2312"/>
      <w:b/>
      <w:sz w:val="32"/>
      <w:szCs w:val="32"/>
    </w:rPr>
  </w:style>
  <w:style w:type="paragraph" w:customStyle="1" w:styleId="127">
    <w:name w:val="Char Char"/>
    <w:basedOn w:val="1"/>
    <w:uiPriority w:val="0"/>
    <w:rPr>
      <w:rFonts w:ascii="Tahoma" w:hAnsi="Tahoma"/>
      <w:sz w:val="24"/>
      <w:szCs w:val="20"/>
    </w:rPr>
  </w:style>
  <w:style w:type="paragraph" w:customStyle="1" w:styleId="128">
    <w:name w:val="xl32"/>
    <w:basedOn w:val="1"/>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b/>
      <w:bCs/>
      <w:kern w:val="0"/>
      <w:sz w:val="24"/>
    </w:rPr>
  </w:style>
  <w:style w:type="paragraph" w:customStyle="1" w:styleId="129">
    <w:name w:val="xl38"/>
    <w:basedOn w:val="1"/>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b/>
      <w:bCs/>
      <w:kern w:val="0"/>
      <w:sz w:val="24"/>
    </w:rPr>
  </w:style>
  <w:style w:type="paragraph" w:customStyle="1" w:styleId="130">
    <w:name w:val="表格标题"/>
    <w:basedOn w:val="66"/>
    <w:uiPriority w:val="0"/>
    <w:pPr>
      <w:spacing w:before="120" w:after="60"/>
    </w:pPr>
    <w:rPr>
      <w:rFonts w:eastAsia="文鼎CS大宋"/>
      <w:b w:val="0"/>
      <w:sz w:val="28"/>
    </w:rPr>
  </w:style>
  <w:style w:type="paragraph" w:customStyle="1" w:styleId="131">
    <w:name w:val="xl43"/>
    <w:basedOn w:val="1"/>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pPr>
    <w:rPr>
      <w:rFonts w:ascii="宋体" w:hAnsi="宋体"/>
      <w:b/>
      <w:bCs/>
      <w:kern w:val="0"/>
      <w:sz w:val="24"/>
    </w:rPr>
  </w:style>
  <w:style w:type="paragraph" w:customStyle="1" w:styleId="132">
    <w:name w:val="缩进正文"/>
    <w:basedOn w:val="1"/>
    <w:link w:val="169"/>
    <w:uiPriority w:val="0"/>
    <w:pPr>
      <w:ind w:firstLine="560" w:firstLineChars="200"/>
    </w:pPr>
    <w:rPr>
      <w:rFonts w:eastAsia="仿宋_GB2312" w:cs="宋体"/>
      <w:sz w:val="28"/>
      <w:szCs w:val="20"/>
    </w:rPr>
  </w:style>
  <w:style w:type="paragraph" w:customStyle="1" w:styleId="133">
    <w:name w:val="font12"/>
    <w:basedOn w:val="1"/>
    <w:uiPriority w:val="0"/>
    <w:pPr>
      <w:widowControl/>
      <w:spacing w:before="100" w:beforeAutospacing="1" w:after="100" w:afterAutospacing="1"/>
      <w:jc w:val="left"/>
    </w:pPr>
    <w:rPr>
      <w:kern w:val="0"/>
      <w:sz w:val="20"/>
      <w:szCs w:val="20"/>
    </w:rPr>
  </w:style>
  <w:style w:type="paragraph" w:customStyle="1" w:styleId="134">
    <w:name w:val="002"/>
    <w:basedOn w:val="86"/>
    <w:uiPriority w:val="0"/>
    <w:pPr>
      <w:spacing w:before="62" w:after="62"/>
      <w:jc w:val="center"/>
    </w:pPr>
  </w:style>
  <w:style w:type="paragraph" w:customStyle="1" w:styleId="135">
    <w:name w:val="xl37"/>
    <w:basedOn w:val="1"/>
    <w:uiPriority w:val="0"/>
    <w:pPr>
      <w:widowControl/>
      <w:pBdr>
        <w:top w:val="single" w:color="auto" w:sz="4" w:space="0"/>
        <w:bottom w:val="single" w:color="auto" w:sz="8" w:space="0"/>
      </w:pBdr>
      <w:spacing w:before="100" w:beforeAutospacing="1" w:after="100" w:afterAutospacing="1"/>
      <w:jc w:val="center"/>
    </w:pPr>
    <w:rPr>
      <w:rFonts w:ascii="宋体" w:hAnsi="宋体"/>
      <w:kern w:val="0"/>
      <w:sz w:val="22"/>
      <w:szCs w:val="22"/>
    </w:rPr>
  </w:style>
  <w:style w:type="paragraph" w:customStyle="1" w:styleId="136">
    <w:name w:val="节标题"/>
    <w:basedOn w:val="1"/>
    <w:uiPriority w:val="0"/>
    <w:pPr>
      <w:spacing w:before="240" w:after="240"/>
      <w:jc w:val="center"/>
    </w:pPr>
    <w:rPr>
      <w:rFonts w:eastAsia="文鼎CS长美黑"/>
      <w:w w:val="95"/>
      <w:sz w:val="32"/>
      <w:szCs w:val="20"/>
    </w:rPr>
  </w:style>
  <w:style w:type="paragraph" w:customStyle="1" w:styleId="137">
    <w:name w:val="xl29"/>
    <w:basedOn w:val="1"/>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宋体" w:hAnsi="宋体"/>
      <w:kern w:val="0"/>
      <w:sz w:val="22"/>
      <w:szCs w:val="22"/>
    </w:rPr>
  </w:style>
  <w:style w:type="paragraph" w:customStyle="1" w:styleId="138">
    <w:name w:val="xl40"/>
    <w:basedOn w:val="1"/>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24"/>
    </w:rPr>
  </w:style>
  <w:style w:type="paragraph" w:customStyle="1" w:styleId="139">
    <w:name w:val="样式 样式 小标题 + (中文) 宋体 加粗 黑色 段前: 0 磅 段后: 0 磅 行距: 多倍行距 1.25 字行1 + 非加..."/>
    <w:basedOn w:val="140"/>
    <w:next w:val="53"/>
    <w:uiPriority w:val="0"/>
    <w:pPr>
      <w:ind w:firstLine="420"/>
    </w:pPr>
    <w:rPr>
      <w:b w:val="0"/>
      <w:bCs w:val="0"/>
    </w:rPr>
  </w:style>
  <w:style w:type="paragraph" w:customStyle="1" w:styleId="140">
    <w:name w:val="样式 小标题 + (中文) 宋体 加粗 黑色 段前: 0 磅 段后: 0 磅 行距: 多倍行距 1.25 字行1"/>
    <w:basedOn w:val="66"/>
    <w:next w:val="53"/>
    <w:uiPriority w:val="0"/>
    <w:pPr>
      <w:adjustRightInd w:val="0"/>
      <w:spacing w:before="0" w:after="0" w:line="300" w:lineRule="auto"/>
      <w:ind w:firstLine="422" w:firstLineChars="200"/>
      <w:jc w:val="both"/>
      <w:textAlignment w:val="baseline"/>
      <w:outlineLvl w:val="2"/>
    </w:pPr>
    <w:rPr>
      <w:rFonts w:ascii="黑体" w:eastAsia="宋体" w:cs="宋体"/>
      <w:bCs/>
      <w:color w:val="000000"/>
      <w:w w:val="100"/>
      <w:kern w:val="0"/>
    </w:rPr>
  </w:style>
  <w:style w:type="paragraph" w:customStyle="1" w:styleId="141">
    <w:name w:val="xl28"/>
    <w:basedOn w:val="1"/>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kern w:val="0"/>
      <w:sz w:val="22"/>
      <w:szCs w:val="22"/>
    </w:rPr>
  </w:style>
  <w:style w:type="paragraph" w:customStyle="1" w:styleId="142">
    <w:name w:val="xl35"/>
    <w:basedOn w:val="1"/>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kern w:val="0"/>
      <w:sz w:val="22"/>
      <w:szCs w:val="22"/>
    </w:rPr>
  </w:style>
  <w:style w:type="paragraph" w:customStyle="1" w:styleId="143">
    <w:name w:val="文档正文"/>
    <w:basedOn w:val="1"/>
    <w:uiPriority w:val="0"/>
    <w:pPr>
      <w:adjustRightInd w:val="0"/>
      <w:spacing w:line="480" w:lineRule="atLeast"/>
      <w:ind w:firstLine="567" w:firstLineChars="200"/>
      <w:textAlignment w:val="baseline"/>
    </w:pPr>
    <w:rPr>
      <w:rFonts w:ascii="长城仿宋"/>
      <w:kern w:val="0"/>
      <w:szCs w:val="20"/>
    </w:rPr>
  </w:style>
  <w:style w:type="paragraph" w:customStyle="1" w:styleId="144">
    <w:name w:val="05"/>
    <w:basedOn w:val="87"/>
    <w:uiPriority w:val="0"/>
  </w:style>
  <w:style w:type="paragraph" w:customStyle="1" w:styleId="145">
    <w:name w:val="正文未缩进"/>
    <w:basedOn w:val="1"/>
    <w:uiPriority w:val="0"/>
    <w:rPr>
      <w:rFonts w:eastAsia="文鼎CS书宋二"/>
      <w:szCs w:val="20"/>
    </w:rPr>
  </w:style>
  <w:style w:type="paragraph" w:customStyle="1" w:styleId="146">
    <w:name w:val="001"/>
    <w:basedOn w:val="144"/>
    <w:uiPriority w:val="0"/>
  </w:style>
  <w:style w:type="paragraph" w:customStyle="1" w:styleId="147">
    <w:name w:val="样式41"/>
    <w:basedOn w:val="1"/>
    <w:qFormat/>
    <w:uiPriority w:val="0"/>
    <w:pPr>
      <w:numPr>
        <w:ilvl w:val="0"/>
        <w:numId w:val="3"/>
      </w:numPr>
      <w:tabs>
        <w:tab w:val="left" w:pos="945"/>
      </w:tabs>
      <w:spacing w:line="360" w:lineRule="auto"/>
    </w:pPr>
    <w:rPr>
      <w:b/>
      <w:color w:val="000000"/>
      <w:sz w:val="24"/>
      <w:szCs w:val="20"/>
    </w:rPr>
  </w:style>
  <w:style w:type="paragraph" w:customStyle="1" w:styleId="148">
    <w:name w:val="font6"/>
    <w:basedOn w:val="1"/>
    <w:qFormat/>
    <w:uiPriority w:val="0"/>
    <w:pPr>
      <w:widowControl/>
      <w:spacing w:before="100" w:beforeAutospacing="1" w:after="100" w:afterAutospacing="1"/>
      <w:jc w:val="left"/>
    </w:pPr>
    <w:rPr>
      <w:rFonts w:hint="eastAsia" w:ascii="黑体" w:hAnsi="Arial Unicode MS" w:eastAsia="黑体" w:cs="Arial Unicode MS"/>
      <w:kern w:val="0"/>
      <w:sz w:val="24"/>
    </w:rPr>
  </w:style>
  <w:style w:type="paragraph" w:customStyle="1" w:styleId="149">
    <w:name w:val="xl4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rPr>
  </w:style>
  <w:style w:type="paragraph" w:customStyle="1" w:styleId="150">
    <w:name w:val="xl30"/>
    <w:basedOn w:val="1"/>
    <w:qFormat/>
    <w:uiPriority w:val="0"/>
    <w:pPr>
      <w:widowControl/>
      <w:pBdr>
        <w:top w:val="single" w:color="auto" w:sz="4" w:space="0"/>
        <w:bottom w:val="single" w:color="auto" w:sz="8" w:space="0"/>
      </w:pBdr>
      <w:spacing w:before="100" w:beforeAutospacing="1" w:after="100" w:afterAutospacing="1"/>
      <w:jc w:val="center"/>
    </w:pPr>
    <w:rPr>
      <w:rFonts w:ascii="宋体" w:hAnsi="宋体"/>
      <w:kern w:val="0"/>
      <w:sz w:val="22"/>
      <w:szCs w:val="22"/>
    </w:rPr>
  </w:style>
  <w:style w:type="paragraph" w:customStyle="1" w:styleId="151">
    <w:name w:val="样式 三号 加粗 居中"/>
    <w:basedOn w:val="50"/>
    <w:qFormat/>
    <w:uiPriority w:val="0"/>
    <w:rPr>
      <w:rFonts w:eastAsia="宋体" w:cs="宋体"/>
      <w:b w:val="0"/>
      <w:bCs w:val="0"/>
    </w:rPr>
  </w:style>
  <w:style w:type="paragraph" w:customStyle="1" w:styleId="152">
    <w:name w:val="font7"/>
    <w:basedOn w:val="1"/>
    <w:qFormat/>
    <w:uiPriority w:val="0"/>
    <w:pPr>
      <w:widowControl/>
      <w:spacing w:before="100" w:beforeAutospacing="1" w:after="100" w:afterAutospacing="1"/>
      <w:jc w:val="left"/>
    </w:pPr>
    <w:rPr>
      <w:rFonts w:hint="eastAsia" w:ascii="宋体" w:hAnsi="宋体"/>
      <w:kern w:val="0"/>
      <w:sz w:val="22"/>
      <w:szCs w:val="22"/>
    </w:rPr>
  </w:style>
  <w:style w:type="paragraph" w:customStyle="1" w:styleId="153">
    <w:name w:val="_Style 152"/>
    <w:basedOn w:val="2"/>
    <w:next w:val="1"/>
    <w:qFormat/>
    <w:uiPriority w:val="39"/>
    <w:pPr>
      <w:widowControl/>
      <w:spacing w:before="480" w:after="0" w:line="276" w:lineRule="auto"/>
      <w:jc w:val="left"/>
      <w:outlineLvl w:val="9"/>
    </w:pPr>
    <w:rPr>
      <w:rFonts w:ascii="Cambria" w:hAnsi="Cambria" w:eastAsia="宋体"/>
      <w:color w:val="365F91"/>
      <w:kern w:val="0"/>
      <w:szCs w:val="28"/>
    </w:rPr>
  </w:style>
  <w:style w:type="paragraph" w:customStyle="1" w:styleId="154">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155">
    <w:name w:val="样式 小标题 + (中文) 宋体 加粗 黑色 段前: 0 磅 段后: 0 磅 行距: 多倍行距 1.25 字行"/>
    <w:basedOn w:val="66"/>
    <w:next w:val="22"/>
    <w:qFormat/>
    <w:uiPriority w:val="0"/>
    <w:pPr>
      <w:adjustRightInd w:val="0"/>
      <w:spacing w:before="0" w:after="0" w:line="300" w:lineRule="auto"/>
      <w:ind w:firstLine="422" w:firstLineChars="200"/>
      <w:jc w:val="both"/>
      <w:textAlignment w:val="baseline"/>
      <w:outlineLvl w:val="2"/>
    </w:pPr>
    <w:rPr>
      <w:rFonts w:ascii="黑体" w:eastAsia="宋体" w:cs="宋体"/>
      <w:bCs/>
      <w:color w:val="000000"/>
      <w:w w:val="100"/>
      <w:kern w:val="0"/>
    </w:rPr>
  </w:style>
  <w:style w:type="paragraph" w:customStyle="1" w:styleId="156">
    <w:name w:val="正文A"/>
    <w:basedOn w:val="86"/>
    <w:qFormat/>
    <w:uiPriority w:val="0"/>
    <w:pPr>
      <w:tabs>
        <w:tab w:val="center" w:pos="3780"/>
        <w:tab w:val="left" w:pos="7140"/>
      </w:tabs>
      <w:spacing w:before="120"/>
      <w:ind w:right="196"/>
      <w:jc w:val="right"/>
    </w:pPr>
    <w:rPr>
      <w:rFonts w:eastAsia="宋体"/>
      <w:b/>
      <w:bCs/>
      <w:w w:val="95"/>
    </w:rPr>
  </w:style>
  <w:style w:type="paragraph" w:customStyle="1" w:styleId="157">
    <w:name w:val="列项●（二级）"/>
    <w:qFormat/>
    <w:uiPriority w:val="0"/>
    <w:pPr>
      <w:tabs>
        <w:tab w:val="left" w:pos="360"/>
        <w:tab w:val="left" w:pos="840"/>
      </w:tabs>
      <w:jc w:val="both"/>
    </w:pPr>
    <w:rPr>
      <w:rFonts w:ascii="宋体" w:hAnsi="Times New Roman" w:eastAsia="宋体" w:cs="Times New Roman"/>
      <w:sz w:val="21"/>
      <w:lang w:val="en-US" w:eastAsia="zh-CN" w:bidi="ar-SA"/>
    </w:rPr>
  </w:style>
  <w:style w:type="paragraph" w:customStyle="1" w:styleId="158">
    <w:name w:val="xl22"/>
    <w:basedOn w:val="1"/>
    <w:qFormat/>
    <w:uiPriority w:val="0"/>
    <w:pPr>
      <w:widowControl/>
      <w:spacing w:before="100" w:beforeAutospacing="1" w:after="100" w:afterAutospacing="1"/>
      <w:jc w:val="center"/>
      <w:textAlignment w:val="center"/>
    </w:pPr>
    <w:rPr>
      <w:rFonts w:ascii="宋体" w:hAnsi="宋体"/>
      <w:b/>
      <w:bCs/>
      <w:kern w:val="0"/>
      <w:sz w:val="28"/>
      <w:szCs w:val="28"/>
    </w:rPr>
  </w:style>
  <w:style w:type="paragraph" w:customStyle="1" w:styleId="159">
    <w:name w:val="投标人须知4"/>
    <w:basedOn w:val="1"/>
    <w:qFormat/>
    <w:uiPriority w:val="0"/>
    <w:pPr>
      <w:numPr>
        <w:ilvl w:val="3"/>
        <w:numId w:val="2"/>
      </w:numPr>
      <w:spacing w:line="300" w:lineRule="auto"/>
      <w:ind w:left="794" w:hanging="340"/>
      <w:jc w:val="left"/>
    </w:pPr>
  </w:style>
  <w:style w:type="paragraph" w:styleId="160">
    <w:name w:val="List Paragraph"/>
    <w:basedOn w:val="1"/>
    <w:qFormat/>
    <w:uiPriority w:val="34"/>
    <w:pPr>
      <w:spacing w:line="360" w:lineRule="auto"/>
      <w:ind w:firstLine="420" w:firstLineChars="200"/>
    </w:pPr>
    <w:rPr>
      <w:sz w:val="24"/>
    </w:rPr>
  </w:style>
  <w:style w:type="character" w:customStyle="1" w:styleId="161">
    <w:name w:val="正文文本首行缩进 2 字符"/>
    <w:basedOn w:val="162"/>
    <w:link w:val="53"/>
    <w:qFormat/>
    <w:uiPriority w:val="0"/>
    <w:rPr>
      <w:rFonts w:eastAsia="宋体"/>
      <w:kern w:val="2"/>
      <w:sz w:val="21"/>
      <w:szCs w:val="24"/>
      <w:lang w:val="en-US" w:eastAsia="zh-CN" w:bidi="ar-SA"/>
    </w:rPr>
  </w:style>
  <w:style w:type="character" w:customStyle="1" w:styleId="162">
    <w:name w:val="正文文本缩进 字符"/>
    <w:link w:val="23"/>
    <w:qFormat/>
    <w:uiPriority w:val="0"/>
    <w:rPr>
      <w:rFonts w:eastAsia="宋体"/>
      <w:kern w:val="2"/>
      <w:sz w:val="21"/>
      <w:szCs w:val="24"/>
      <w:lang w:val="en-US" w:eastAsia="zh-CN" w:bidi="ar-SA"/>
    </w:rPr>
  </w:style>
  <w:style w:type="character" w:customStyle="1" w:styleId="163">
    <w:name w:val="标题 4 字符"/>
    <w:link w:val="4"/>
    <w:qFormat/>
    <w:uiPriority w:val="0"/>
    <w:rPr>
      <w:rFonts w:ascii="Arial" w:hAnsi="Arial" w:eastAsia="黑体"/>
      <w:b/>
      <w:bCs/>
      <w:kern w:val="2"/>
      <w:sz w:val="28"/>
      <w:szCs w:val="28"/>
      <w:lang w:val="en-US" w:eastAsia="zh-CN" w:bidi="ar-SA"/>
    </w:rPr>
  </w:style>
  <w:style w:type="character" w:customStyle="1" w:styleId="164">
    <w:name w:val="标题 3 字符"/>
    <w:link w:val="3"/>
    <w:qFormat/>
    <w:uiPriority w:val="0"/>
    <w:rPr>
      <w:rFonts w:ascii="宋体" w:hAnsi="宋体" w:eastAsia="宋体"/>
      <w:b/>
      <w:bCs/>
      <w:kern w:val="2"/>
      <w:sz w:val="28"/>
      <w:szCs w:val="32"/>
      <w:lang w:val="en-US" w:eastAsia="zh-CN" w:bidi="ar-SA"/>
    </w:rPr>
  </w:style>
  <w:style w:type="character" w:customStyle="1" w:styleId="165">
    <w:name w:val="Char Char2"/>
    <w:qFormat/>
    <w:uiPriority w:val="0"/>
    <w:rPr>
      <w:rFonts w:eastAsia="宋体"/>
      <w:kern w:val="2"/>
      <w:sz w:val="18"/>
      <w:szCs w:val="18"/>
      <w:lang w:val="en-US" w:eastAsia="zh-CN" w:bidi="ar-SA"/>
    </w:rPr>
  </w:style>
  <w:style w:type="character" w:customStyle="1" w:styleId="166">
    <w:name w:val="标题 3 Char"/>
    <w:qFormat/>
    <w:uiPriority w:val="0"/>
    <w:rPr>
      <w:rFonts w:ascii="黑体" w:eastAsia="黑体"/>
      <w:bCs/>
      <w:sz w:val="30"/>
    </w:rPr>
  </w:style>
  <w:style w:type="character" w:customStyle="1" w:styleId="167">
    <w:name w:val="页眉 字符"/>
    <w:link w:val="37"/>
    <w:qFormat/>
    <w:locked/>
    <w:uiPriority w:val="99"/>
    <w:rPr>
      <w:rFonts w:eastAsia="宋体"/>
      <w:kern w:val="2"/>
      <w:sz w:val="18"/>
      <w:szCs w:val="18"/>
      <w:lang w:val="en-US" w:eastAsia="zh-CN" w:bidi="ar-SA"/>
    </w:rPr>
  </w:style>
  <w:style w:type="character" w:customStyle="1" w:styleId="168">
    <w:name w:val="Char Char1"/>
    <w:qFormat/>
    <w:locked/>
    <w:uiPriority w:val="0"/>
    <w:rPr>
      <w:rFonts w:ascii="宋体" w:hAnsi="宋体" w:eastAsia="宋体"/>
      <w:kern w:val="2"/>
      <w:sz w:val="18"/>
      <w:szCs w:val="18"/>
      <w:lang w:val="en-US" w:eastAsia="zh-CN" w:bidi="ar-SA"/>
    </w:rPr>
  </w:style>
  <w:style w:type="character" w:customStyle="1" w:styleId="169">
    <w:name w:val="缩进正文 Char"/>
    <w:link w:val="132"/>
    <w:qFormat/>
    <w:uiPriority w:val="0"/>
    <w:rPr>
      <w:rFonts w:eastAsia="仿宋_GB2312" w:cs="宋体"/>
      <w:kern w:val="2"/>
      <w:sz w:val="28"/>
      <w:lang w:val="en-US" w:eastAsia="zh-CN" w:bidi="ar-SA"/>
    </w:rPr>
  </w:style>
  <w:style w:type="character" w:customStyle="1" w:styleId="170">
    <w:name w:val="标题 2 字符"/>
    <w:link w:val="5"/>
    <w:qFormat/>
    <w:uiPriority w:val="0"/>
    <w:rPr>
      <w:rFonts w:ascii="宋体" w:hAnsi="宋体" w:eastAsia="宋体"/>
      <w:b/>
      <w:bCs/>
      <w:sz w:val="24"/>
      <w:lang w:val="en-US" w:eastAsia="zh-CN" w:bidi="ar-SA"/>
    </w:rPr>
  </w:style>
  <w:style w:type="character" w:customStyle="1" w:styleId="171">
    <w:name w:val="标题 字符"/>
    <w:link w:val="50"/>
    <w:qFormat/>
    <w:uiPriority w:val="0"/>
    <w:rPr>
      <w:rFonts w:ascii="Arial" w:hAnsi="Arial" w:eastAsia="隶书" w:cs="Arial"/>
      <w:b/>
      <w:bCs/>
      <w:kern w:val="2"/>
      <w:sz w:val="32"/>
      <w:szCs w:val="32"/>
    </w:rPr>
  </w:style>
  <w:style w:type="character" w:customStyle="1" w:styleId="172">
    <w:name w:val="h Char"/>
    <w:qFormat/>
    <w:locked/>
    <w:uiPriority w:val="0"/>
    <w:rPr>
      <w:rFonts w:eastAsia="宋体"/>
      <w:kern w:val="2"/>
      <w:sz w:val="18"/>
      <w:szCs w:val="18"/>
      <w:lang w:val="en-US" w:eastAsia="zh-CN" w:bidi="ar-SA"/>
    </w:rPr>
  </w:style>
  <w:style w:type="character" w:customStyle="1" w:styleId="173">
    <w:name w:val="p121"/>
    <w:qFormat/>
    <w:uiPriority w:val="0"/>
    <w:rPr>
      <w:rFonts w:hint="default" w:ascii="_x000B__x000C_" w:hAnsi="_x000B__x000C_"/>
      <w:sz w:val="24"/>
      <w:szCs w:val="24"/>
    </w:rPr>
  </w:style>
  <w:style w:type="character" w:customStyle="1" w:styleId="174">
    <w:name w:val="明显引用 字符"/>
    <w:link w:val="70"/>
    <w:qFormat/>
    <w:uiPriority w:val="0"/>
    <w:rPr>
      <w:rFonts w:eastAsia="宋体"/>
      <w:b/>
      <w:bCs/>
      <w:i/>
      <w:iCs/>
      <w:color w:val="4F81BD"/>
      <w:kern w:val="2"/>
      <w:sz w:val="21"/>
      <w:szCs w:val="24"/>
      <w:lang w:val="en-US" w:eastAsia="zh-CN" w:bidi="ar-SA"/>
    </w:rPr>
  </w:style>
  <w:style w:type="character" w:customStyle="1" w:styleId="175">
    <w:name w:val="Char Char3"/>
    <w:qFormat/>
    <w:locked/>
    <w:uiPriority w:val="0"/>
    <w:rPr>
      <w:rFonts w:ascii="Arial" w:hAnsi="Arial" w:eastAsia="黑体"/>
      <w:b/>
      <w:bCs/>
      <w:kern w:val="2"/>
      <w:sz w:val="32"/>
      <w:szCs w:val="32"/>
      <w:lang w:val="en-US" w:eastAsia="zh-CN" w:bidi="ar-SA"/>
    </w:rPr>
  </w:style>
  <w:style w:type="character" w:customStyle="1" w:styleId="176">
    <w:name w:val="页脚 字符"/>
    <w:link w:val="36"/>
    <w:qFormat/>
    <w:uiPriority w:val="0"/>
    <w:rPr>
      <w:rFonts w:eastAsia="宋体"/>
      <w:kern w:val="2"/>
      <w:sz w:val="18"/>
      <w:szCs w:val="18"/>
      <w:lang w:val="en-US" w:eastAsia="zh-CN" w:bidi="ar-SA"/>
    </w:rPr>
  </w:style>
  <w:style w:type="character" w:customStyle="1" w:styleId="177">
    <w:name w:val="纯文本 字符"/>
    <w:link w:val="30"/>
    <w:qFormat/>
    <w:uiPriority w:val="0"/>
    <w:rPr>
      <w:rFonts w:ascii="宋体" w:hAnsi="Courier New" w:eastAsia="宋体"/>
      <w:kern w:val="2"/>
      <w:sz w:val="21"/>
      <w:lang w:val="en-US" w:eastAsia="zh-CN" w:bidi="ar-SA"/>
    </w:rPr>
  </w:style>
  <w:style w:type="character" w:customStyle="1" w:styleId="178">
    <w:name w:val="正文文本首行缩进 字符"/>
    <w:link w:val="52"/>
    <w:qFormat/>
    <w:uiPriority w:val="0"/>
    <w:rPr>
      <w:rFonts w:eastAsia="宋体"/>
      <w:b/>
      <w:bCs/>
      <w:kern w:val="2"/>
      <w:sz w:val="21"/>
      <w:szCs w:val="24"/>
      <w:lang w:val="en-US" w:eastAsia="zh-CN" w:bidi="ar-SA"/>
    </w:rPr>
  </w:style>
  <w:style w:type="character" w:customStyle="1" w:styleId="179">
    <w:name w:val="正文缩进 字符"/>
    <w:link w:val="7"/>
    <w:qFormat/>
    <w:uiPriority w:val="0"/>
    <w:rPr>
      <w:rFonts w:eastAsia="宋体"/>
      <w:kern w:val="2"/>
      <w:sz w:val="21"/>
      <w:lang w:val="en-US" w:eastAsia="zh-CN" w:bidi="ar-SA"/>
    </w:rPr>
  </w:style>
  <w:style w:type="character" w:customStyle="1" w:styleId="180">
    <w:name w:val="Char Char9"/>
    <w:qFormat/>
    <w:uiPriority w:val="0"/>
    <w:rPr>
      <w:rFonts w:eastAsia="宋体"/>
      <w:b/>
      <w:bCs/>
      <w:kern w:val="2"/>
      <w:sz w:val="24"/>
      <w:szCs w:val="24"/>
      <w:lang w:val="en-US" w:eastAsia="zh-CN" w:bidi="ar-SA"/>
    </w:rPr>
  </w:style>
  <w:style w:type="character" w:customStyle="1" w:styleId="181">
    <w:name w:val="fo Char"/>
    <w:qFormat/>
    <w:uiPriority w:val="0"/>
    <w:rPr>
      <w:rFonts w:eastAsia="宋体"/>
      <w:kern w:val="2"/>
      <w:sz w:val="18"/>
      <w:szCs w:val="18"/>
      <w:lang w:val="en-US" w:eastAsia="zh-CN" w:bidi="ar-SA"/>
    </w:rPr>
  </w:style>
  <w:style w:type="character" w:customStyle="1" w:styleId="182">
    <w:name w:val="批注文字 字符"/>
    <w:link w:val="18"/>
    <w:qFormat/>
    <w:uiPriority w:val="99"/>
    <w:rPr>
      <w:rFonts w:ascii="宋体" w:eastAsia="宋体"/>
      <w:sz w:val="34"/>
      <w:lang w:val="en-US" w:eastAsia="zh-CN" w:bidi="ar-SA"/>
    </w:rPr>
  </w:style>
  <w:style w:type="character" w:customStyle="1" w:styleId="183">
    <w:name w:val="标题 1 字符"/>
    <w:link w:val="2"/>
    <w:qFormat/>
    <w:uiPriority w:val="0"/>
    <w:rPr>
      <w:rFonts w:ascii="宋体" w:hAnsi="宋体" w:eastAsia="黑体"/>
      <w:b/>
      <w:bCs/>
      <w:kern w:val="44"/>
      <w:sz w:val="28"/>
      <w:szCs w:val="44"/>
      <w:lang w:val="en-US" w:eastAsia="zh-CN" w:bidi="ar-SA"/>
    </w:rPr>
  </w:style>
  <w:style w:type="character" w:customStyle="1" w:styleId="184">
    <w:name w:val="批注主题 字符"/>
    <w:link w:val="51"/>
    <w:qFormat/>
    <w:uiPriority w:val="0"/>
    <w:rPr>
      <w:rFonts w:ascii="宋体" w:eastAsia="宋体"/>
      <w:b/>
      <w:bCs/>
      <w:kern w:val="2"/>
      <w:sz w:val="21"/>
      <w:lang w:val="en-US" w:eastAsia="zh-CN" w:bidi="ar-SA"/>
    </w:rPr>
  </w:style>
  <w:style w:type="character" w:customStyle="1" w:styleId="185">
    <w:name w:val="正文文本 字符"/>
    <w:link w:val="22"/>
    <w:qFormat/>
    <w:uiPriority w:val="0"/>
    <w:rPr>
      <w:rFonts w:eastAsia="宋体"/>
      <w:b/>
      <w:bCs/>
      <w:kern w:val="2"/>
      <w:sz w:val="24"/>
      <w:szCs w:val="24"/>
      <w:lang w:val="en-US" w:eastAsia="zh-CN" w:bidi="ar-SA"/>
    </w:rPr>
  </w:style>
  <w:style w:type="character" w:customStyle="1" w:styleId="186">
    <w:name w:val="文档结构图 字符"/>
    <w:link w:val="17"/>
    <w:semiHidden/>
    <w:qFormat/>
    <w:locked/>
    <w:uiPriority w:val="0"/>
    <w:rPr>
      <w:rFonts w:eastAsia="宋体"/>
      <w:kern w:val="2"/>
      <w:sz w:val="21"/>
      <w:szCs w:val="24"/>
      <w:lang w:val="en-US" w:eastAsia="zh-CN" w:bidi="ar-SA"/>
    </w:rPr>
  </w:style>
  <w:style w:type="character" w:customStyle="1" w:styleId="187">
    <w:name w:val="批注框文本 字符"/>
    <w:link w:val="35"/>
    <w:qFormat/>
    <w:uiPriority w:val="0"/>
    <w:rPr>
      <w:rFonts w:eastAsia="宋体"/>
      <w:kern w:val="2"/>
      <w:sz w:val="18"/>
      <w:szCs w:val="18"/>
      <w:lang w:val="en-US" w:eastAsia="zh-CN" w:bidi="ar-SA"/>
    </w:rPr>
  </w:style>
  <w:style w:type="character" w:customStyle="1" w:styleId="188">
    <w:name w:val="H2 Char1"/>
    <w:qFormat/>
    <w:uiPriority w:val="0"/>
    <w:rPr>
      <w:rFonts w:ascii="宋体" w:hAnsi="宋体" w:eastAsia="宋体"/>
      <w:b/>
      <w:bCs/>
      <w:sz w:val="24"/>
      <w:lang w:val="en-US" w:eastAsia="zh-CN" w:bidi="ar-SA"/>
    </w:rPr>
  </w:style>
  <w:style w:type="character" w:customStyle="1" w:styleId="189">
    <w:name w:val="EHPT Char1"/>
    <w:qFormat/>
    <w:uiPriority w:val="0"/>
    <w:rPr>
      <w:rFonts w:eastAsia="宋体"/>
      <w:b/>
      <w:bCs/>
      <w:kern w:val="2"/>
      <w:sz w:val="24"/>
      <w:szCs w:val="24"/>
      <w:lang w:val="en-US" w:eastAsia="zh-CN" w:bidi="ar-SA"/>
    </w:rPr>
  </w:style>
  <w:style w:type="paragraph" w:customStyle="1" w:styleId="190">
    <w:name w:val="正文 New New New New New"/>
    <w:basedOn w:val="1"/>
    <w:qFormat/>
    <w:uiPriority w:val="0"/>
    <w:rPr>
      <w:rFonts w:ascii="Calibri" w:hAnsi="Calibri"/>
      <w:szCs w:val="22"/>
    </w:rPr>
  </w:style>
  <w:style w:type="paragraph" w:customStyle="1" w:styleId="191">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2">
    <w:name w:val="列出段落2"/>
    <w:basedOn w:val="1"/>
    <w:semiHidden/>
    <w:qFormat/>
    <w:uiPriority w:val="0"/>
    <w:pPr>
      <w:ind w:firstLine="420" w:firstLineChars="200"/>
    </w:pPr>
    <w:rPr>
      <w:rFonts w:ascii="Calibri" w:hAnsi="Calibri"/>
      <w:szCs w:val="22"/>
    </w:rPr>
  </w:style>
  <w:style w:type="character" w:customStyle="1" w:styleId="193">
    <w:name w:val="未处理的提及1"/>
    <w:basedOn w:val="58"/>
    <w:semiHidden/>
    <w:unhideWhenUsed/>
    <w:qFormat/>
    <w:uiPriority w:val="99"/>
    <w:rPr>
      <w:color w:val="605E5C"/>
      <w:shd w:val="clear" w:color="auto" w:fill="E1DFDD"/>
    </w:rPr>
  </w:style>
  <w:style w:type="paragraph" w:customStyle="1" w:styleId="194">
    <w:name w:val="表格"/>
    <w:basedOn w:val="1"/>
    <w:qFormat/>
    <w:uiPriority w:val="0"/>
    <w:pPr>
      <w:spacing w:line="400" w:lineRule="atLeast"/>
    </w:pPr>
    <w:rPr>
      <w:rFonts w:ascii="Calibri" w:hAnsi="Calibri"/>
      <w:b/>
      <w:bCs/>
      <w:color w:val="000000"/>
      <w:sz w:val="24"/>
    </w:rPr>
  </w:style>
  <w:style w:type="paragraph" w:customStyle="1" w:styleId="195">
    <w:name w:val="保留正文"/>
    <w:basedOn w:val="22"/>
    <w:qFormat/>
    <w:uiPriority w:val="0"/>
    <w:pPr>
      <w:keepNext/>
      <w:spacing w:after="160" w:line="240" w:lineRule="auto"/>
    </w:pPr>
    <w:rPr>
      <w:rFonts w:ascii="Calibri" w:hAnsi="Calibri"/>
      <w:b w:val="0"/>
      <w:bCs w:val="0"/>
      <w:sz w:val="21"/>
    </w:rPr>
  </w:style>
  <w:style w:type="paragraph" w:customStyle="1" w:styleId="196">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65C77B-F459-469A-9460-985CB724AB9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Pages>
  <Words>1558</Words>
  <Characters>8883</Characters>
  <Lines>74</Lines>
  <Paragraphs>20</Paragraphs>
  <TotalTime>0</TotalTime>
  <ScaleCrop>false</ScaleCrop>
  <LinksUpToDate>false</LinksUpToDate>
  <CharactersWithSpaces>10421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2022-09-13T06:48:00Z</dcterms:created>
  <dc:creator>thsware</dc:creator>
  <cp:lastModifiedBy>jijf</cp:lastModifiedBy>
  <cp:lastPrinted>2021-12-30T11:27:00Z</cp:lastPrinted>
  <dcterms:modified xsi:type="dcterms:W3CDTF">2022-09-20T07:51:01Z</dcterms:modified>
  <dc:title>招  标　文　件</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7B4130E4BD904FAE8034261B0BBDEBB4</vt:lpwstr>
  </property>
</Properties>
</file>