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hint="eastAsia" w:ascii="黑体" w:hAnsi="黑体" w:eastAsia="黑体" w:cs="黑体"/>
          <w:b/>
          <w:bCs/>
          <w:sz w:val="44"/>
          <w:szCs w:val="44"/>
          <w:lang w:eastAsia="zh-CN"/>
        </w:rPr>
      </w:pPr>
      <w:r>
        <w:rPr>
          <w:rFonts w:hint="eastAsia" w:ascii="黑体" w:hAnsi="黑体" w:eastAsia="黑体" w:cs="黑体"/>
          <w:b/>
          <w:bCs/>
          <w:sz w:val="44"/>
          <w:szCs w:val="44"/>
          <w:lang w:eastAsia="zh-CN"/>
        </w:rPr>
        <w:t>《深圳市不动产登记中心2022年度公务用车维修服务供应商资格采购》</w:t>
      </w:r>
    </w:p>
    <w:p>
      <w:pPr>
        <w:spacing w:line="520" w:lineRule="exact"/>
        <w:jc w:val="center"/>
        <w:rPr>
          <w:rFonts w:hint="eastAsia" w:ascii="黑体" w:hAnsi="黑体" w:eastAsia="黑体" w:cs="黑体"/>
          <w:b/>
          <w:bCs/>
          <w:sz w:val="44"/>
          <w:szCs w:val="44"/>
          <w:lang w:eastAsia="zh-CN"/>
        </w:rPr>
      </w:pPr>
      <w:r>
        <w:rPr>
          <w:rFonts w:hint="eastAsia" w:ascii="黑体" w:hAnsi="黑体" w:eastAsia="黑体" w:cs="黑体"/>
          <w:b/>
          <w:bCs/>
          <w:sz w:val="44"/>
          <w:szCs w:val="44"/>
          <w:lang w:eastAsia="zh-CN"/>
        </w:rPr>
        <w:t>项目采购需求文件</w:t>
      </w:r>
      <w:bookmarkStart w:id="0" w:name="_GoBack"/>
      <w:bookmarkEnd w:id="0"/>
    </w:p>
    <w:p>
      <w:pPr>
        <w:spacing w:line="520" w:lineRule="exact"/>
        <w:ind w:firstLine="480" w:firstLineChars="200"/>
        <w:rPr>
          <w:rFonts w:ascii="’Times New Roman’" w:hAnsi="’Times New Roman’" w:cs="宋体"/>
          <w:sz w:val="24"/>
        </w:rPr>
      </w:pPr>
    </w:p>
    <w:p>
      <w:pPr>
        <w:spacing w:before="156" w:beforeLines="50" w:line="540" w:lineRule="exact"/>
        <w:ind w:left="1405" w:hanging="1405" w:hangingChars="500"/>
        <w:outlineLvl w:val="2"/>
        <w:rPr>
          <w:rFonts w:hint="eastAsia" w:cs="黑体" w:asciiTheme="minorEastAsia" w:hAnsiTheme="minorEastAsia" w:eastAsiaTheme="minorEastAsia"/>
          <w:b/>
          <w:sz w:val="24"/>
          <w:szCs w:val="24"/>
        </w:rPr>
      </w:pPr>
      <w:r>
        <w:rPr>
          <w:rFonts w:hint="eastAsia" w:ascii="黑体" w:hAnsi="黑体" w:eastAsia="黑体" w:cs="黑体"/>
          <w:b/>
          <w:sz w:val="28"/>
          <w:szCs w:val="28"/>
        </w:rPr>
        <w:t>项目名称：</w:t>
      </w:r>
      <w:r>
        <w:rPr>
          <w:rFonts w:hint="eastAsia" w:cs="黑体" w:asciiTheme="minorEastAsia" w:hAnsiTheme="minorEastAsia" w:eastAsiaTheme="minorEastAsia"/>
          <w:sz w:val="24"/>
          <w:szCs w:val="24"/>
        </w:rPr>
        <w:t>深圳市不动产登记中心</w:t>
      </w:r>
      <w:r>
        <w:rPr>
          <w:rFonts w:hint="eastAsia" w:cs="黑体" w:asciiTheme="minorEastAsia" w:hAnsiTheme="minorEastAsia" w:eastAsiaTheme="minorEastAsia"/>
          <w:sz w:val="24"/>
          <w:szCs w:val="24"/>
          <w:lang w:val="en-US" w:eastAsia="zh-CN"/>
        </w:rPr>
        <w:t>2022年度</w:t>
      </w:r>
      <w:r>
        <w:rPr>
          <w:rFonts w:hint="eastAsia" w:cs="黑体" w:asciiTheme="minorEastAsia" w:hAnsiTheme="minorEastAsia" w:eastAsiaTheme="minorEastAsia"/>
          <w:sz w:val="24"/>
          <w:szCs w:val="24"/>
        </w:rPr>
        <w:t>公务用车维修服务供应商资格采购</w:t>
      </w:r>
    </w:p>
    <w:p>
      <w:pPr>
        <w:spacing w:before="156" w:beforeLines="50" w:line="540" w:lineRule="exact"/>
        <w:outlineLvl w:val="2"/>
        <w:rPr>
          <w:rFonts w:hint="eastAsia" w:ascii="黑体" w:hAnsi="黑体" w:eastAsia="黑体" w:cs="黑体"/>
          <w:b/>
          <w:sz w:val="28"/>
          <w:szCs w:val="28"/>
        </w:rPr>
      </w:pPr>
      <w:r>
        <w:rPr>
          <w:rFonts w:hint="eastAsia" w:ascii="黑体" w:hAnsi="黑体" w:eastAsia="黑体" w:cs="黑体"/>
          <w:b/>
          <w:sz w:val="28"/>
          <w:szCs w:val="28"/>
        </w:rPr>
        <w:t>采购人名称：</w:t>
      </w:r>
      <w:r>
        <w:rPr>
          <w:rFonts w:hint="eastAsia" w:cs="黑体" w:asciiTheme="minorEastAsia" w:hAnsiTheme="minorEastAsia" w:eastAsiaTheme="minorEastAsia"/>
          <w:sz w:val="24"/>
        </w:rPr>
        <w:t>深圳市不动产登记中心</w:t>
      </w:r>
    </w:p>
    <w:p>
      <w:pPr>
        <w:spacing w:before="156" w:beforeLines="50" w:line="540" w:lineRule="exact"/>
        <w:outlineLvl w:val="2"/>
        <w:rPr>
          <w:rFonts w:hint="default" w:ascii="黑体" w:hAnsi="黑体" w:eastAsia="黑体" w:cs="黑体"/>
          <w:b/>
          <w:sz w:val="24"/>
          <w:szCs w:val="24"/>
          <w:lang w:val="en-US" w:eastAsia="zh-CN"/>
        </w:rPr>
      </w:pPr>
      <w:r>
        <w:rPr>
          <w:rFonts w:ascii="黑体" w:hAnsi="黑体" w:eastAsia="黑体" w:cs="黑体"/>
          <w:b/>
          <w:sz w:val="28"/>
          <w:szCs w:val="28"/>
        </w:rPr>
        <w:t>采购方式</w:t>
      </w:r>
      <w:r>
        <w:rPr>
          <w:rFonts w:hint="eastAsia" w:ascii="黑体" w:hAnsi="黑体" w:eastAsia="黑体" w:cs="黑体"/>
          <w:b/>
          <w:sz w:val="28"/>
          <w:szCs w:val="28"/>
        </w:rPr>
        <w:t>：</w:t>
      </w:r>
      <w:r>
        <w:rPr>
          <w:rFonts w:hint="eastAsia" w:asciiTheme="minorEastAsia" w:hAnsiTheme="minorEastAsia" w:eastAsiaTheme="minorEastAsia" w:cstheme="minorEastAsia"/>
          <w:b w:val="0"/>
          <w:bCs w:val="0"/>
          <w:sz w:val="24"/>
          <w:szCs w:val="24"/>
          <w:lang w:val="en-US" w:eastAsia="zh-CN"/>
        </w:rPr>
        <w:t>跟标采购</w:t>
      </w:r>
    </w:p>
    <w:p>
      <w:pPr>
        <w:spacing w:before="156" w:beforeLines="50" w:line="540" w:lineRule="exact"/>
        <w:outlineLvl w:val="2"/>
        <w:rPr>
          <w:rFonts w:hint="eastAsia" w:ascii="黑体" w:hAnsi="黑体" w:eastAsia="黑体" w:cs="黑体"/>
          <w:b/>
          <w:sz w:val="24"/>
          <w:szCs w:val="24"/>
        </w:rPr>
      </w:pPr>
      <w:r>
        <w:rPr>
          <w:rFonts w:ascii="黑体" w:hAnsi="黑体" w:eastAsia="黑体" w:cs="黑体"/>
          <w:b/>
          <w:sz w:val="28"/>
          <w:szCs w:val="28"/>
        </w:rPr>
        <w:t>采购类型</w:t>
      </w:r>
      <w:r>
        <w:rPr>
          <w:rFonts w:hint="eastAsia" w:ascii="黑体" w:hAnsi="黑体" w:eastAsia="黑体" w:cs="黑体"/>
          <w:b/>
          <w:sz w:val="28"/>
          <w:szCs w:val="28"/>
        </w:rPr>
        <w:t>：</w:t>
      </w:r>
      <w:r>
        <w:rPr>
          <w:rFonts w:hint="eastAsia"/>
          <w:sz w:val="24"/>
          <w:szCs w:val="24"/>
        </w:rPr>
        <w:t>服务类</w:t>
      </w:r>
    </w:p>
    <w:p>
      <w:pPr>
        <w:spacing w:before="156" w:beforeLines="50" w:line="540" w:lineRule="exact"/>
        <w:outlineLvl w:val="2"/>
        <w:rPr>
          <w:rFonts w:hint="eastAsia" w:eastAsia="宋体"/>
          <w:sz w:val="24"/>
          <w:szCs w:val="24"/>
          <w:lang w:eastAsia="zh-CN"/>
        </w:rPr>
      </w:pPr>
      <w:r>
        <w:rPr>
          <w:rFonts w:hint="eastAsia" w:ascii="黑体" w:hAnsi="黑体" w:eastAsia="黑体" w:cs="黑体"/>
          <w:b/>
          <w:sz w:val="28"/>
          <w:szCs w:val="28"/>
        </w:rPr>
        <w:t>预算限额（人民币）：</w:t>
      </w:r>
      <w:r>
        <w:rPr>
          <w:rFonts w:hint="eastAsia" w:ascii="黑体" w:hAnsi="黑体" w:eastAsia="黑体" w:cs="黑体"/>
          <w:b/>
          <w:sz w:val="28"/>
          <w:szCs w:val="28"/>
          <w:lang w:val="en-US" w:eastAsia="zh-CN"/>
        </w:rPr>
        <w:t>10</w:t>
      </w:r>
      <w:r>
        <w:rPr>
          <w:rFonts w:hint="eastAsia"/>
          <w:sz w:val="24"/>
          <w:szCs w:val="24"/>
        </w:rPr>
        <w:t>万元</w:t>
      </w:r>
      <w:r>
        <w:rPr>
          <w:rFonts w:hint="eastAsia"/>
          <w:sz w:val="24"/>
          <w:szCs w:val="24"/>
          <w:lang w:val="en-US" w:eastAsia="zh-CN"/>
        </w:rPr>
        <w:t>/年</w:t>
      </w:r>
      <w:r>
        <w:rPr>
          <w:rFonts w:hint="eastAsia"/>
          <w:sz w:val="24"/>
          <w:szCs w:val="24"/>
          <w:lang w:eastAsia="zh-CN"/>
        </w:rPr>
        <w:t>（</w:t>
      </w:r>
      <w:r>
        <w:rPr>
          <w:rFonts w:hint="eastAsia"/>
          <w:sz w:val="24"/>
          <w:szCs w:val="24"/>
          <w:lang w:val="en-US" w:eastAsia="zh-CN"/>
        </w:rPr>
        <w:t>支付上限</w:t>
      </w:r>
      <w:r>
        <w:rPr>
          <w:rFonts w:hint="eastAsia"/>
          <w:sz w:val="24"/>
          <w:szCs w:val="24"/>
          <w:lang w:eastAsia="zh-CN"/>
        </w:rPr>
        <w:t>）</w:t>
      </w:r>
    </w:p>
    <w:p>
      <w:pPr>
        <w:spacing w:before="156" w:beforeLines="50" w:line="540" w:lineRule="exact"/>
        <w:outlineLvl w:val="2"/>
        <w:rPr>
          <w:rFonts w:hint="eastAsia" w:ascii="黑体" w:hAnsi="黑体" w:eastAsia="黑体" w:cs="黑体"/>
          <w:b/>
          <w:sz w:val="28"/>
          <w:szCs w:val="28"/>
        </w:rPr>
      </w:pPr>
    </w:p>
    <w:p>
      <w:pPr>
        <w:spacing w:before="156" w:beforeLines="50" w:line="540" w:lineRule="exact"/>
        <w:outlineLvl w:val="2"/>
        <w:rPr>
          <w:rFonts w:ascii="黑体" w:hAnsi="黑体" w:eastAsia="黑体" w:cs="黑体"/>
          <w:b/>
          <w:sz w:val="28"/>
          <w:szCs w:val="28"/>
        </w:rPr>
      </w:pPr>
      <w:r>
        <w:rPr>
          <w:rFonts w:hint="eastAsia" w:ascii="黑体" w:hAnsi="黑体" w:eastAsia="黑体" w:cs="黑体"/>
          <w:b/>
          <w:sz w:val="28"/>
          <w:szCs w:val="28"/>
        </w:rPr>
        <w:t>一、项目概况</w:t>
      </w:r>
    </w:p>
    <w:p>
      <w:pPr>
        <w:spacing w:line="540" w:lineRule="exact"/>
        <w:ind w:firstLine="420"/>
        <w:rPr>
          <w:rFonts w:hint="eastAsia"/>
          <w:sz w:val="24"/>
          <w:szCs w:val="24"/>
        </w:rPr>
      </w:pPr>
      <w:r>
        <w:rPr>
          <w:rFonts w:hint="eastAsia"/>
          <w:sz w:val="24"/>
          <w:szCs w:val="24"/>
        </w:rPr>
        <w:t>深圳市不动产登记中心</w:t>
      </w:r>
      <w:r>
        <w:rPr>
          <w:rFonts w:hint="eastAsia" w:ascii="Times New Roman" w:eastAsia="宋体"/>
          <w:sz w:val="24"/>
          <w:szCs w:val="24"/>
          <w:lang w:val="en-US" w:eastAsia="zh-CN"/>
        </w:rPr>
        <w:t>福田所</w:t>
      </w:r>
      <w:r>
        <w:rPr>
          <w:rFonts w:hint="eastAsia"/>
          <w:sz w:val="24"/>
          <w:szCs w:val="24"/>
        </w:rPr>
        <w:t>位于深圳市福田区彩田路7018号新浩壹（e）都B座裙楼</w:t>
      </w:r>
      <w:r>
        <w:rPr>
          <w:rFonts w:hint="eastAsia" w:eastAsia="宋体"/>
          <w:sz w:val="24"/>
          <w:szCs w:val="24"/>
          <w:lang w:eastAsia="zh-CN"/>
        </w:rPr>
        <w:t>，</w:t>
      </w:r>
      <w:r>
        <w:rPr>
          <w:rFonts w:hint="eastAsia"/>
          <w:sz w:val="24"/>
          <w:szCs w:val="24"/>
          <w:lang w:val="en-US" w:eastAsia="zh-CN"/>
        </w:rPr>
        <w:t>主要负责深圳市不动产登记工作。</w:t>
      </w:r>
      <w:r>
        <w:rPr>
          <w:rFonts w:hint="eastAsia" w:ascii="Times New Roman" w:eastAsia="宋体"/>
          <w:sz w:val="24"/>
          <w:szCs w:val="24"/>
          <w:lang w:val="en-US" w:eastAsia="zh-CN"/>
        </w:rPr>
        <w:t>为了</w:t>
      </w:r>
      <w:r>
        <w:rPr>
          <w:rFonts w:hint="eastAsia"/>
          <w:sz w:val="24"/>
          <w:szCs w:val="24"/>
          <w:lang w:val="en-US" w:eastAsia="zh-CN"/>
        </w:rPr>
        <w:t>加强我中心公务用车的维修管理，提高车辆维修保养质量，节约维修费用开支，我中心拟组织开展</w:t>
      </w:r>
      <w:r>
        <w:rPr>
          <w:rFonts w:hint="eastAsia"/>
          <w:sz w:val="24"/>
          <w:szCs w:val="24"/>
        </w:rPr>
        <w:t>深圳市不动产登记中心</w:t>
      </w:r>
      <w:r>
        <w:rPr>
          <w:rFonts w:hint="eastAsia"/>
          <w:sz w:val="24"/>
          <w:szCs w:val="24"/>
          <w:lang w:val="en-US" w:eastAsia="zh-CN"/>
        </w:rPr>
        <w:t>公务用车维修服务供应商资格采购项目工作。</w:t>
      </w:r>
    </w:p>
    <w:p>
      <w:pPr>
        <w:numPr>
          <w:ilvl w:val="0"/>
          <w:numId w:val="1"/>
        </w:numPr>
        <w:spacing w:before="156" w:beforeLines="50" w:line="540" w:lineRule="exact"/>
        <w:outlineLvl w:val="2"/>
        <w:rPr>
          <w:rFonts w:hint="eastAsia" w:ascii="黑体" w:hAnsi="黑体" w:eastAsia="黑体" w:cs="黑体"/>
          <w:b/>
          <w:sz w:val="28"/>
          <w:szCs w:val="28"/>
        </w:rPr>
      </w:pPr>
      <w:r>
        <w:rPr>
          <w:rFonts w:hint="eastAsia" w:ascii="黑体" w:hAnsi="黑体" w:eastAsia="黑体" w:cs="黑体"/>
          <w:b/>
          <w:sz w:val="28"/>
          <w:szCs w:val="28"/>
          <w:lang w:val="en-US" w:eastAsia="zh-CN"/>
        </w:rPr>
        <w:t>项目</w:t>
      </w:r>
      <w:r>
        <w:rPr>
          <w:rFonts w:hint="eastAsia" w:ascii="黑体" w:hAnsi="黑体" w:eastAsia="黑体" w:cs="黑体"/>
          <w:b/>
          <w:sz w:val="28"/>
          <w:szCs w:val="28"/>
        </w:rPr>
        <w:t>管理</w:t>
      </w:r>
      <w:r>
        <w:rPr>
          <w:rFonts w:hint="eastAsia" w:ascii="黑体" w:hAnsi="黑体" w:eastAsia="黑体" w:cs="黑体"/>
          <w:b/>
          <w:sz w:val="28"/>
          <w:szCs w:val="28"/>
          <w:lang w:val="en-US" w:eastAsia="zh-CN"/>
        </w:rPr>
        <w:t>和</w:t>
      </w:r>
      <w:r>
        <w:rPr>
          <w:rFonts w:hint="eastAsia" w:ascii="黑体" w:hAnsi="黑体" w:eastAsia="黑体" w:cs="黑体"/>
          <w:b/>
          <w:sz w:val="28"/>
          <w:szCs w:val="28"/>
        </w:rPr>
        <w:t>服务要求</w:t>
      </w:r>
    </w:p>
    <w:p>
      <w:pPr>
        <w:numPr>
          <w:ilvl w:val="0"/>
          <w:numId w:val="0"/>
        </w:numPr>
        <w:spacing w:before="156" w:beforeLines="50" w:line="540" w:lineRule="exact"/>
        <w:outlineLvl w:val="2"/>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1、提供相应的整车修理、总成修理、整车维护、保养、救援、专项修理和维修竣工检验工作。</w:t>
      </w:r>
    </w:p>
    <w:p>
      <w:pPr>
        <w:numPr>
          <w:ilvl w:val="0"/>
          <w:numId w:val="0"/>
        </w:numPr>
        <w:spacing w:before="156" w:beforeLines="50" w:line="540" w:lineRule="exact"/>
        <w:outlineLvl w:val="2"/>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 xml:space="preserve">2、所采用的零部件、配件等材料保险符合国家或部颁标准，不得使用假冒伪劣产品，不得以次充好，不得以旧顶新。 </w:t>
      </w:r>
    </w:p>
    <w:p>
      <w:pPr>
        <w:numPr>
          <w:ilvl w:val="0"/>
          <w:numId w:val="0"/>
        </w:numPr>
        <w:spacing w:before="156" w:beforeLines="50" w:line="540" w:lineRule="exact"/>
        <w:outlineLvl w:val="2"/>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3、优先对我方车辆维修提供服务并在规定的时限内完成维修服务。</w:t>
      </w:r>
    </w:p>
    <w:p>
      <w:pPr>
        <w:numPr>
          <w:ilvl w:val="0"/>
          <w:numId w:val="0"/>
        </w:numPr>
        <w:spacing w:before="156" w:beforeLines="50" w:line="540" w:lineRule="exact"/>
        <w:outlineLvl w:val="2"/>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4、在深圳市市区内发生故障需要紧急维修的，在接到我方通知后应2小时内到达车辆故障现场抢修；提供接送维修服务；提供车辆维护技术指导。</w:t>
      </w:r>
    </w:p>
    <w:p>
      <w:pPr>
        <w:numPr>
          <w:ilvl w:val="0"/>
          <w:numId w:val="0"/>
        </w:numPr>
        <w:spacing w:before="156" w:beforeLines="50" w:line="540" w:lineRule="exact"/>
        <w:outlineLvl w:val="2"/>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5、建立车辆技术档案，内容包括：车辆基本情况记录、车辆年审记录、车辆检测记录、相关管理制度中其它应当建档的内容；建立车辆维修档案，内容包括：车辆日常维护、一级维护、二级维护、汽车大修、总成修理、汽车小修、汽车专项修理、二十四小时拖车、代办车辆年审、代办事故理赔、维修服务费用记录和相关管理制度中约定的其它应当建档的内容。</w:t>
      </w:r>
    </w:p>
    <w:p>
      <w:pPr>
        <w:numPr>
          <w:ilvl w:val="0"/>
          <w:numId w:val="0"/>
        </w:numPr>
        <w:spacing w:before="156" w:beforeLines="50" w:line="540" w:lineRule="exact"/>
        <w:outlineLvl w:val="2"/>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6、安排专人负责维修接车服务，并提供服务人员名单、联系方式，如人员需要调整应及时通知。</w:t>
      </w:r>
    </w:p>
    <w:p>
      <w:pPr>
        <w:spacing w:before="156" w:beforeLines="50" w:line="540" w:lineRule="exact"/>
        <w:outlineLvl w:val="2"/>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三、供应商资格要求</w:t>
      </w:r>
    </w:p>
    <w:p>
      <w:pPr>
        <w:numPr>
          <w:ilvl w:val="0"/>
          <w:numId w:val="0"/>
        </w:numPr>
        <w:spacing w:line="540" w:lineRule="exact"/>
        <w:ind w:leftChars="0"/>
        <w:rPr>
          <w:rFonts w:hint="eastAsia" w:ascii="宋体" w:hAnsi="宋体"/>
          <w:sz w:val="24"/>
          <w:lang w:val="en-US" w:eastAsia="zh-CN"/>
        </w:rPr>
      </w:pPr>
      <w:r>
        <w:rPr>
          <w:rFonts w:hint="eastAsia" w:ascii="宋体" w:hAnsi="宋体"/>
          <w:sz w:val="24"/>
          <w:lang w:val="en-US" w:eastAsia="zh-CN"/>
        </w:rPr>
        <w:t>1、投标人必须是在中华人民共和国境内注册的、具有合法经营资格的独立法人单位，提供营业执照复印件（加盖公章）。</w:t>
      </w:r>
    </w:p>
    <w:p>
      <w:pPr>
        <w:numPr>
          <w:ilvl w:val="0"/>
          <w:numId w:val="0"/>
        </w:numPr>
        <w:spacing w:line="540" w:lineRule="exact"/>
        <w:ind w:leftChars="0"/>
        <w:rPr>
          <w:rFonts w:hint="eastAsia" w:ascii="宋体" w:hAnsi="宋体"/>
          <w:sz w:val="24"/>
          <w:lang w:val="en-US" w:eastAsia="zh-CN"/>
        </w:rPr>
      </w:pPr>
      <w:r>
        <w:rPr>
          <w:rFonts w:hint="eastAsia" w:ascii="宋体" w:hAnsi="宋体"/>
          <w:sz w:val="24"/>
          <w:lang w:val="en-US" w:eastAsia="zh-CN"/>
        </w:rPr>
        <w:t>2、注册地址和经营场所位于深圳市辖区内。</w:t>
      </w:r>
    </w:p>
    <w:p>
      <w:pPr>
        <w:numPr>
          <w:ilvl w:val="0"/>
          <w:numId w:val="0"/>
        </w:numPr>
        <w:spacing w:line="540" w:lineRule="exact"/>
        <w:ind w:leftChars="0"/>
        <w:rPr>
          <w:rFonts w:hint="eastAsia" w:ascii="宋体" w:hAnsi="宋体"/>
          <w:sz w:val="24"/>
          <w:lang w:val="en-US" w:eastAsia="zh-CN"/>
        </w:rPr>
      </w:pPr>
      <w:r>
        <w:rPr>
          <w:rFonts w:hint="eastAsia" w:ascii="宋体" w:hAnsi="宋体"/>
          <w:sz w:val="24"/>
          <w:lang w:val="en-US" w:eastAsia="zh-CN"/>
        </w:rPr>
        <w:t>3、投标人近三年内无违法犯罪记录。投标人必须承诺参与本项目投标前三年内，在经营活动中没有重大违法记录。</w:t>
      </w:r>
    </w:p>
    <w:p>
      <w:pPr>
        <w:numPr>
          <w:ilvl w:val="0"/>
          <w:numId w:val="0"/>
        </w:numPr>
        <w:spacing w:line="540" w:lineRule="exact"/>
        <w:ind w:leftChars="0"/>
        <w:rPr>
          <w:rFonts w:hint="eastAsia" w:ascii="黑体" w:hAnsi="黑体" w:eastAsia="黑体" w:cs="黑体"/>
          <w:b/>
          <w:sz w:val="28"/>
          <w:szCs w:val="28"/>
          <w:lang w:val="en-US" w:eastAsia="zh-CN"/>
        </w:rPr>
      </w:pPr>
      <w:r>
        <w:rPr>
          <w:rFonts w:hint="eastAsia" w:ascii="宋体" w:hAnsi="宋体"/>
          <w:sz w:val="24"/>
          <w:lang w:val="en-US" w:eastAsia="zh-CN"/>
        </w:rPr>
        <w:t>4、本次采购不接受联合体报名，不接受分包转包。</w:t>
      </w:r>
    </w:p>
    <w:p>
      <w:pPr>
        <w:numPr>
          <w:ilvl w:val="0"/>
          <w:numId w:val="0"/>
        </w:numPr>
        <w:spacing w:line="540" w:lineRule="exact"/>
        <w:ind w:leftChars="0"/>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四、评标定标方法</w:t>
      </w:r>
    </w:p>
    <w:p>
      <w:pPr>
        <w:numPr>
          <w:ilvl w:val="0"/>
          <w:numId w:val="0"/>
        </w:numPr>
        <w:spacing w:line="540" w:lineRule="exact"/>
        <w:ind w:leftChars="0"/>
        <w:rPr>
          <w:rFonts w:hint="eastAsia" w:ascii="宋体" w:hAnsi="宋体"/>
          <w:sz w:val="24"/>
          <w:lang w:val="en-US" w:eastAsia="zh-CN"/>
        </w:rPr>
      </w:pPr>
      <w:r>
        <w:rPr>
          <w:rFonts w:hint="eastAsia" w:ascii="宋体" w:hAnsi="宋体"/>
          <w:sz w:val="24"/>
          <w:lang w:val="en-US" w:eastAsia="zh-CN"/>
        </w:rPr>
        <w:t>1、跟标采购方式，被跟标项目：深圳市规划和自然资源局“公务用车维修服务供应商资格”项目。</w:t>
      </w:r>
    </w:p>
    <w:p>
      <w:pPr>
        <w:numPr>
          <w:ilvl w:val="0"/>
          <w:numId w:val="0"/>
        </w:numPr>
        <w:spacing w:line="540" w:lineRule="exact"/>
        <w:ind w:leftChars="0"/>
        <w:rPr>
          <w:rFonts w:hint="eastAsia" w:ascii="黑体" w:hAnsi="黑体" w:eastAsia="黑体" w:cs="黑体"/>
          <w:b/>
          <w:sz w:val="28"/>
          <w:szCs w:val="28"/>
          <w:lang w:val="en-US" w:eastAsia="zh-CN"/>
        </w:rPr>
      </w:pPr>
      <w:r>
        <w:rPr>
          <w:rFonts w:hint="eastAsia" w:ascii="黑体" w:hAnsi="黑体" w:eastAsia="黑体" w:cs="黑体"/>
          <w:sz w:val="28"/>
          <w:szCs w:val="28"/>
          <w:lang w:val="en-US" w:eastAsia="zh-CN"/>
        </w:rPr>
        <w:t>五、</w:t>
      </w:r>
      <w:r>
        <w:rPr>
          <w:rFonts w:hint="eastAsia" w:ascii="黑体" w:hAnsi="黑体" w:eastAsia="黑体" w:cs="黑体"/>
          <w:b/>
          <w:sz w:val="28"/>
          <w:szCs w:val="28"/>
          <w:lang w:val="en-US" w:eastAsia="zh-CN"/>
        </w:rPr>
        <w:t>商务要求</w:t>
      </w:r>
    </w:p>
    <w:p>
      <w:pPr>
        <w:pStyle w:val="2"/>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服务期限</w:t>
      </w:r>
    </w:p>
    <w:p>
      <w:pPr>
        <w:pStyle w:val="2"/>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本项目服务期限为自合同签订之日起三年。根据《深圳经济特区政府采购条例实施细则》第59条的规定，合同期满前，采购方综合考虑中标单位的履约情况以及项目开展的具体要求，可以续期服务合同。</w:t>
      </w:r>
    </w:p>
    <w:p>
      <w:pPr>
        <w:pStyle w:val="2"/>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付款条件</w:t>
      </w:r>
    </w:p>
    <w:p>
      <w:pPr>
        <w:pStyle w:val="2"/>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以实际产生为准。</w:t>
      </w:r>
    </w:p>
    <w:p>
      <w:pPr>
        <w:pStyle w:val="2"/>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其它要求</w:t>
      </w:r>
    </w:p>
    <w:p>
      <w:pPr>
        <w:pStyle w:val="2"/>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（1）参加招标各方应确保文件中的信息真实、有效。</w:t>
      </w:r>
    </w:p>
    <w:p>
      <w:pPr>
        <w:pStyle w:val="2"/>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（2）未经采购方允许，不得使用或者以其它方式给任何第三方提供本项目的相关信息。</w:t>
      </w:r>
    </w:p>
    <w:p>
      <w:pPr>
        <w:pStyle w:val="2"/>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（3）中标方不得将项目非法分包或转包给任何单位和个人，否则采购方有权即刻终止合同，并要求中标人赔偿相应损失。</w:t>
      </w:r>
    </w:p>
    <w:p>
      <w:pPr>
        <w:pStyle w:val="2"/>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投标要求</w:t>
      </w:r>
    </w:p>
    <w:p>
      <w:pPr>
        <w:pStyle w:val="2"/>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请在投标文件中附报价清单、供应商资质要求证件复印件、必要的介绍你方公司情况、公司实力、经营情况等投标情况说明及其他材料等。</w:t>
      </w:r>
    </w:p>
    <w:p>
      <w:pPr>
        <w:numPr>
          <w:ilvl w:val="0"/>
          <w:numId w:val="0"/>
        </w:numPr>
        <w:spacing w:line="540" w:lineRule="exact"/>
        <w:rPr>
          <w:rFonts w:hint="eastAsia" w:ascii="Times New Roman" w:hAnsi="Times New Roman" w:cs="Times New Roman"/>
          <w:sz w:val="24"/>
          <w:szCs w:val="24"/>
          <w:lang w:val="en-US" w:eastAsia="zh-CN"/>
        </w:rPr>
      </w:pPr>
      <w:r>
        <w:rPr>
          <w:rFonts w:hint="eastAsia" w:cs="Times New Roman"/>
          <w:sz w:val="24"/>
          <w:szCs w:val="24"/>
          <w:lang w:val="en-US" w:eastAsia="zh-CN"/>
        </w:rPr>
        <w:t>5、报价要求：</w:t>
      </w:r>
    </w:p>
    <w:p>
      <w:pPr>
        <w:numPr>
          <w:ilvl w:val="0"/>
          <w:numId w:val="0"/>
        </w:numPr>
        <w:spacing w:line="540" w:lineRule="exact"/>
        <w:rPr>
          <w:rFonts w:hint="eastAsia" w:ascii="Times New Roman" w:hAnsi="Times New Roman" w:cs="Times New Roman"/>
          <w:sz w:val="24"/>
          <w:szCs w:val="24"/>
          <w:lang w:val="en-US" w:eastAsia="zh-CN"/>
        </w:rPr>
      </w:pPr>
      <w:r>
        <w:rPr>
          <w:rFonts w:hint="eastAsia" w:cs="Times New Roman"/>
          <w:sz w:val="24"/>
          <w:szCs w:val="24"/>
          <w:lang w:val="en-US" w:eastAsia="zh-CN"/>
        </w:rPr>
        <w:t>（1）</w:t>
      </w:r>
      <w:r>
        <w:rPr>
          <w:rFonts w:hint="eastAsia" w:ascii="Times New Roman" w:hAnsi="Times New Roman" w:cs="Times New Roman"/>
          <w:sz w:val="24"/>
          <w:szCs w:val="24"/>
          <w:lang w:val="en-US" w:eastAsia="zh-CN"/>
        </w:rPr>
        <w:t>投标人需按附件1、附件2表格要求单项报价。且投标总价不得超过财政预算限额，一旦超出，将按废标处理。</w:t>
      </w:r>
    </w:p>
    <w:p>
      <w:pPr>
        <w:numPr>
          <w:ilvl w:val="0"/>
          <w:numId w:val="0"/>
        </w:numPr>
        <w:spacing w:line="540" w:lineRule="exact"/>
        <w:rPr>
          <w:rFonts w:hint="eastAsia" w:ascii="Times New Roman" w:hAnsi="Times New Roman" w:cs="Times New Roman"/>
          <w:sz w:val="24"/>
          <w:szCs w:val="24"/>
          <w:lang w:val="en-US" w:eastAsia="zh-CN"/>
        </w:rPr>
      </w:pPr>
      <w:r>
        <w:rPr>
          <w:rFonts w:hint="eastAsia" w:cs="Times New Roman"/>
          <w:sz w:val="24"/>
          <w:szCs w:val="24"/>
          <w:lang w:val="en-US" w:eastAsia="zh-CN"/>
        </w:rPr>
        <w:t>（2）</w:t>
      </w:r>
      <w:r>
        <w:rPr>
          <w:rFonts w:hint="eastAsia" w:ascii="Times New Roman" w:hAnsi="Times New Roman" w:cs="Times New Roman"/>
          <w:sz w:val="24"/>
          <w:szCs w:val="24"/>
          <w:lang w:val="en-US" w:eastAsia="zh-CN"/>
        </w:rPr>
        <w:t>投标人应根据本企业的成本自行决定报价，但不得以低于其企业成本的投标报价。</w:t>
      </w:r>
    </w:p>
    <w:p>
      <w:pPr>
        <w:numPr>
          <w:ilvl w:val="0"/>
          <w:numId w:val="0"/>
        </w:numPr>
        <w:spacing w:line="540" w:lineRule="exact"/>
        <w:rPr>
          <w:rFonts w:hint="default"/>
          <w:lang w:val="en-US"/>
        </w:rPr>
      </w:pPr>
      <w:r>
        <w:rPr>
          <w:rFonts w:hint="eastAsia" w:cs="Times New Roman"/>
          <w:sz w:val="24"/>
          <w:szCs w:val="24"/>
          <w:lang w:val="en-US" w:eastAsia="zh-CN"/>
        </w:rPr>
        <w:t>（3）</w:t>
      </w:r>
      <w:r>
        <w:rPr>
          <w:rFonts w:hint="eastAsia" w:ascii="Times New Roman" w:hAnsi="Times New Roman" w:cs="Times New Roman"/>
          <w:sz w:val="24"/>
          <w:szCs w:val="24"/>
          <w:lang w:val="en-US" w:eastAsia="zh-CN"/>
        </w:rPr>
        <w:t>投标人不得期望通过索赔等方式获取补偿，否则，除可能遭到拒绝外，还可能将被作为不良行为记录在案，并可能影响其以后参加政府采购的项目投标。各投标人在投标报价时，应充分考虑投标报价的风险。</w:t>
      </w:r>
      <w:r>
        <w:rPr>
          <w:rFonts w:hint="eastAsia" w:eastAsia="宋体"/>
          <w:sz w:val="24"/>
          <w:szCs w:val="24"/>
          <w:lang w:eastAsia="zh-CN"/>
        </w:rPr>
        <w:t>。</w:t>
      </w:r>
    </w:p>
    <w:p>
      <w:pPr>
        <w:pStyle w:val="4"/>
        <w:rPr>
          <w:rFonts w:hint="default"/>
          <w:color w:val="FFFFFF" w:themeColor="background1"/>
          <w:lang w:val="en-US"/>
          <w14:textFill>
            <w14:solidFill>
              <w14:schemeClr w14:val="bg1"/>
            </w14:solidFill>
          </w14:textFill>
        </w:rPr>
      </w:pPr>
    </w:p>
    <w:p>
      <w:pPr>
        <w:widowControl w:val="0"/>
        <w:numPr>
          <w:ilvl w:val="0"/>
          <w:numId w:val="0"/>
        </w:numPr>
        <w:tabs>
          <w:tab w:val="left" w:pos="420"/>
        </w:tabs>
        <w:snapToGrid w:val="0"/>
        <w:spacing w:line="360" w:lineRule="auto"/>
        <w:jc w:val="both"/>
        <w:rPr>
          <w:rFonts w:ascii="宋体" w:hAnsi="宋体"/>
          <w:bCs/>
          <w:color w:val="auto"/>
        </w:rPr>
      </w:pPr>
    </w:p>
    <w:p>
      <w:pPr>
        <w:rPr>
          <w:rFonts w:hint="eastAsia" w:ascii="宋体" w:hAnsi="宋体" w:cs="宋体"/>
          <w:b/>
          <w:bCs/>
          <w:color w:val="auto"/>
          <w:sz w:val="24"/>
        </w:rPr>
      </w:pPr>
      <w:r>
        <w:rPr>
          <w:rFonts w:hint="eastAsia" w:ascii="宋体" w:hAnsi="宋体" w:cs="宋体"/>
          <w:b/>
          <w:bCs/>
          <w:color w:val="auto"/>
          <w:sz w:val="24"/>
        </w:rPr>
        <w:br w:type="page"/>
      </w:r>
    </w:p>
    <w:p>
      <w:pPr>
        <w:pStyle w:val="4"/>
        <w:rPr>
          <w:rFonts w:hint="eastAsia"/>
        </w:rPr>
      </w:pPr>
    </w:p>
    <w:p>
      <w:pP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附件1</w:t>
      </w:r>
    </w:p>
    <w:p>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车辆日常保养、维护维修项目单价表</w:t>
      </w:r>
    </w:p>
    <w:p>
      <w:pPr>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报价单位： </w:t>
      </w:r>
    </w:p>
    <w:tbl>
      <w:tblPr>
        <w:tblStyle w:val="8"/>
        <w:tblW w:w="8519" w:type="dxa"/>
        <w:jc w:val="center"/>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1024"/>
        <w:gridCol w:w="1024"/>
        <w:gridCol w:w="1024"/>
        <w:gridCol w:w="1024"/>
        <w:gridCol w:w="1024"/>
        <w:gridCol w:w="1025"/>
        <w:gridCol w:w="1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项目名称</w:t>
            </w:r>
          </w:p>
        </w:tc>
        <w:tc>
          <w:tcPr>
            <w:tcW w:w="1024"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考斯特中巴</w:t>
            </w:r>
          </w:p>
        </w:tc>
        <w:tc>
          <w:tcPr>
            <w:tcW w:w="1024" w:type="dxa"/>
            <w:vAlign w:val="center"/>
          </w:tcPr>
          <w:p>
            <w:pPr>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本田奥德赛商务车</w:t>
            </w:r>
          </w:p>
        </w:tc>
        <w:tc>
          <w:tcPr>
            <w:tcW w:w="1024" w:type="dxa"/>
            <w:vAlign w:val="center"/>
          </w:tcPr>
          <w:p>
            <w:pPr>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起亚嘉华商务车</w:t>
            </w:r>
          </w:p>
        </w:tc>
        <w:tc>
          <w:tcPr>
            <w:tcW w:w="1024" w:type="dxa"/>
            <w:vAlign w:val="center"/>
          </w:tcPr>
          <w:p>
            <w:pPr>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别克商务车</w:t>
            </w:r>
          </w:p>
        </w:tc>
        <w:tc>
          <w:tcPr>
            <w:tcW w:w="1024" w:type="dxa"/>
            <w:vAlign w:val="center"/>
          </w:tcPr>
          <w:p>
            <w:pPr>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凯美瑞小轿车</w:t>
            </w:r>
          </w:p>
        </w:tc>
        <w:tc>
          <w:tcPr>
            <w:tcW w:w="1025" w:type="dxa"/>
            <w:vAlign w:val="center"/>
          </w:tcPr>
          <w:p>
            <w:pPr>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大众CC小轿车</w:t>
            </w:r>
          </w:p>
        </w:tc>
        <w:tc>
          <w:tcPr>
            <w:tcW w:w="102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一级维护保养</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二级维护保养</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换皮带（条）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拆装刹车碟</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拆换汽油格</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含拆汽油箱、后排座椅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四轮刹车保养</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换刹车软管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换火花塞</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换刹车油</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含四轮刹车排空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换波箱油</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换尾牙油</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换自动波箱油</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换防冻液</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换上水管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换下水管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全车打黄油</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换风扇</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换水箱</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换排气管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换汽油泵</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含拆汽油箱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349" w:type="dxa"/>
            <w:vAlign w:val="center"/>
          </w:tcPr>
          <w:p>
            <w:pPr>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小计：</w:t>
            </w:r>
          </w:p>
        </w:tc>
        <w:tc>
          <w:tcPr>
            <w:tcW w:w="1024" w:type="dxa"/>
            <w:vAlign w:val="center"/>
          </w:tcPr>
          <w:p>
            <w:pPr>
              <w:jc w:val="center"/>
              <w:rPr>
                <w:rFonts w:hint="eastAsia" w:asciiTheme="minorEastAsia" w:hAnsiTheme="minorEastAsia" w:eastAsiaTheme="minorEastAsia" w:cstheme="minorEastAsia"/>
                <w:b/>
                <w:sz w:val="18"/>
                <w:szCs w:val="18"/>
              </w:rPr>
            </w:pPr>
          </w:p>
        </w:tc>
        <w:tc>
          <w:tcPr>
            <w:tcW w:w="1024" w:type="dxa"/>
            <w:vAlign w:val="center"/>
          </w:tcPr>
          <w:p>
            <w:pPr>
              <w:jc w:val="center"/>
              <w:rPr>
                <w:rFonts w:hint="eastAsia" w:asciiTheme="minorEastAsia" w:hAnsiTheme="minorEastAsia" w:eastAsiaTheme="minorEastAsia" w:cstheme="minorEastAsia"/>
                <w:b/>
                <w:sz w:val="18"/>
                <w:szCs w:val="18"/>
              </w:rPr>
            </w:pPr>
          </w:p>
        </w:tc>
        <w:tc>
          <w:tcPr>
            <w:tcW w:w="1024" w:type="dxa"/>
            <w:vAlign w:val="center"/>
          </w:tcPr>
          <w:p>
            <w:pPr>
              <w:jc w:val="center"/>
              <w:rPr>
                <w:rFonts w:hint="eastAsia" w:asciiTheme="minorEastAsia" w:hAnsiTheme="minorEastAsia" w:eastAsiaTheme="minorEastAsia" w:cstheme="minorEastAsia"/>
                <w:b/>
                <w:sz w:val="18"/>
                <w:szCs w:val="18"/>
              </w:rPr>
            </w:pPr>
          </w:p>
        </w:tc>
        <w:tc>
          <w:tcPr>
            <w:tcW w:w="1024" w:type="dxa"/>
            <w:vAlign w:val="center"/>
          </w:tcPr>
          <w:p>
            <w:pPr>
              <w:jc w:val="center"/>
              <w:rPr>
                <w:rFonts w:hint="eastAsia" w:asciiTheme="minorEastAsia" w:hAnsiTheme="minorEastAsia" w:eastAsiaTheme="minorEastAsia" w:cstheme="minorEastAsia"/>
                <w:b/>
                <w:sz w:val="18"/>
                <w:szCs w:val="18"/>
              </w:rPr>
            </w:pPr>
          </w:p>
        </w:tc>
        <w:tc>
          <w:tcPr>
            <w:tcW w:w="1024" w:type="dxa"/>
            <w:vAlign w:val="center"/>
          </w:tcPr>
          <w:p>
            <w:pPr>
              <w:jc w:val="center"/>
              <w:rPr>
                <w:rFonts w:hint="eastAsia" w:asciiTheme="minorEastAsia" w:hAnsiTheme="minorEastAsia" w:eastAsiaTheme="minorEastAsia" w:cstheme="minorEastAsia"/>
                <w:b/>
                <w:sz w:val="18"/>
                <w:szCs w:val="18"/>
              </w:rPr>
            </w:pPr>
          </w:p>
        </w:tc>
        <w:tc>
          <w:tcPr>
            <w:tcW w:w="1025" w:type="dxa"/>
            <w:vAlign w:val="center"/>
          </w:tcPr>
          <w:p>
            <w:pPr>
              <w:jc w:val="center"/>
              <w:rPr>
                <w:rFonts w:hint="eastAsia" w:asciiTheme="minorEastAsia" w:hAnsiTheme="minorEastAsia" w:eastAsiaTheme="minorEastAsia" w:cstheme="minorEastAsia"/>
                <w:b/>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bl>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附件2</w:t>
      </w:r>
    </w:p>
    <w:p>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车辆日常保养、维护维修配件价格表</w:t>
      </w:r>
    </w:p>
    <w:p>
      <w:pPr>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报价单位： </w:t>
      </w:r>
    </w:p>
    <w:tbl>
      <w:tblPr>
        <w:tblStyle w:val="8"/>
        <w:tblW w:w="8519" w:type="dxa"/>
        <w:jc w:val="center"/>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1024"/>
        <w:gridCol w:w="1024"/>
        <w:gridCol w:w="1024"/>
        <w:gridCol w:w="1024"/>
        <w:gridCol w:w="1024"/>
        <w:gridCol w:w="1025"/>
        <w:gridCol w:w="1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配件名称</w:t>
            </w:r>
          </w:p>
        </w:tc>
        <w:tc>
          <w:tcPr>
            <w:tcW w:w="1024" w:type="dxa"/>
            <w:vAlign w:val="center"/>
          </w:tcPr>
          <w:p>
            <w:pPr>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考斯特中巴</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单价</w:t>
            </w:r>
            <w:r>
              <w:rPr>
                <w:rFonts w:hint="eastAsia" w:asciiTheme="minorEastAsia" w:hAnsiTheme="minorEastAsia" w:eastAsiaTheme="minorEastAsia" w:cstheme="minorEastAsia"/>
                <w:sz w:val="18"/>
                <w:szCs w:val="18"/>
                <w:lang w:eastAsia="zh-CN"/>
              </w:rPr>
              <w:t>）</w:t>
            </w:r>
          </w:p>
        </w:tc>
        <w:tc>
          <w:tcPr>
            <w:tcW w:w="1024"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本田奥德赛商务车</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单价</w:t>
            </w:r>
            <w:r>
              <w:rPr>
                <w:rFonts w:hint="eastAsia" w:asciiTheme="minorEastAsia" w:hAnsiTheme="minorEastAsia" w:eastAsiaTheme="minorEastAsia" w:cstheme="minorEastAsia"/>
                <w:sz w:val="18"/>
                <w:szCs w:val="18"/>
                <w:lang w:eastAsia="zh-CN"/>
              </w:rPr>
              <w:t>）</w:t>
            </w:r>
          </w:p>
        </w:tc>
        <w:tc>
          <w:tcPr>
            <w:tcW w:w="1024"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起亚嘉华商务车</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单价</w:t>
            </w:r>
            <w:r>
              <w:rPr>
                <w:rFonts w:hint="eastAsia" w:asciiTheme="minorEastAsia" w:hAnsiTheme="minorEastAsia" w:eastAsiaTheme="minorEastAsia" w:cstheme="minorEastAsia"/>
                <w:sz w:val="18"/>
                <w:szCs w:val="18"/>
                <w:lang w:eastAsia="zh-CN"/>
              </w:rPr>
              <w:t>）</w:t>
            </w:r>
          </w:p>
        </w:tc>
        <w:tc>
          <w:tcPr>
            <w:tcW w:w="1024"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别克商务车</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单价</w:t>
            </w:r>
            <w:r>
              <w:rPr>
                <w:rFonts w:hint="eastAsia" w:asciiTheme="minorEastAsia" w:hAnsiTheme="minorEastAsia" w:eastAsiaTheme="minorEastAsia" w:cstheme="minorEastAsia"/>
                <w:sz w:val="18"/>
                <w:szCs w:val="18"/>
                <w:lang w:eastAsia="zh-CN"/>
              </w:rPr>
              <w:t>）</w:t>
            </w:r>
          </w:p>
        </w:tc>
        <w:tc>
          <w:tcPr>
            <w:tcW w:w="1024"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凯美瑞小轿车</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单价</w:t>
            </w:r>
            <w:r>
              <w:rPr>
                <w:rFonts w:hint="eastAsia" w:asciiTheme="minorEastAsia" w:hAnsiTheme="minorEastAsia" w:eastAsiaTheme="minorEastAsia" w:cstheme="minorEastAsia"/>
                <w:sz w:val="18"/>
                <w:szCs w:val="18"/>
                <w:lang w:eastAsia="zh-CN"/>
              </w:rPr>
              <w:t>）</w:t>
            </w:r>
          </w:p>
        </w:tc>
        <w:tc>
          <w:tcPr>
            <w:tcW w:w="102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大众CC小轿车</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单价</w:t>
            </w:r>
            <w:r>
              <w:rPr>
                <w:rFonts w:hint="eastAsia" w:asciiTheme="minorEastAsia" w:hAnsiTheme="minorEastAsia" w:eastAsiaTheme="minorEastAsia" w:cstheme="minorEastAsia"/>
                <w:sz w:val="18"/>
                <w:szCs w:val="18"/>
                <w:lang w:eastAsia="zh-CN"/>
              </w:rPr>
              <w:t>）</w:t>
            </w:r>
          </w:p>
        </w:tc>
        <w:tc>
          <w:tcPr>
            <w:tcW w:w="102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机油（4升装）</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机油格</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风格</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空调格</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汽油格</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前刹车片</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后刹车片</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发动机皮带</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空调皮带</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发电机皮带</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助力泵皮带</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前刹车软管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后刹车软管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火花塞</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刹车油</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黄油</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齿轮油</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防冻液</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自动波箱油</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上水管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下水管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发电机</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冷气泵</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刹车总泵</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冷凝器</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水泵</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方向十字泵</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左前减震器</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汽油泵</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左前门玻璃外压条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后轮轴承</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曲轴皮带轮</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门外拉手</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点火线圈</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水箱盖</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发动机线束</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水温传感器</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大灯泡</w:t>
            </w: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4"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c>
          <w:tcPr>
            <w:tcW w:w="1025" w:type="dxa"/>
            <w:vAlign w:val="center"/>
          </w:tcPr>
          <w:p>
            <w:pPr>
              <w:jc w:val="cente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349" w:type="dxa"/>
            <w:vAlign w:val="center"/>
          </w:tcPr>
          <w:p>
            <w:pPr>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小计：</w:t>
            </w:r>
          </w:p>
        </w:tc>
        <w:tc>
          <w:tcPr>
            <w:tcW w:w="1024" w:type="dxa"/>
            <w:vAlign w:val="center"/>
          </w:tcPr>
          <w:p>
            <w:pPr>
              <w:jc w:val="center"/>
              <w:rPr>
                <w:rFonts w:hint="eastAsia" w:asciiTheme="minorEastAsia" w:hAnsiTheme="minorEastAsia" w:eastAsiaTheme="minorEastAsia" w:cstheme="minorEastAsia"/>
                <w:b/>
                <w:sz w:val="18"/>
                <w:szCs w:val="18"/>
              </w:rPr>
            </w:pPr>
          </w:p>
        </w:tc>
        <w:tc>
          <w:tcPr>
            <w:tcW w:w="1024" w:type="dxa"/>
            <w:vAlign w:val="center"/>
          </w:tcPr>
          <w:p>
            <w:pPr>
              <w:jc w:val="center"/>
              <w:rPr>
                <w:rFonts w:hint="eastAsia" w:asciiTheme="minorEastAsia" w:hAnsiTheme="minorEastAsia" w:eastAsiaTheme="minorEastAsia" w:cstheme="minorEastAsia"/>
                <w:b/>
                <w:sz w:val="18"/>
                <w:szCs w:val="18"/>
              </w:rPr>
            </w:pPr>
          </w:p>
        </w:tc>
        <w:tc>
          <w:tcPr>
            <w:tcW w:w="1024" w:type="dxa"/>
            <w:vAlign w:val="center"/>
          </w:tcPr>
          <w:p>
            <w:pPr>
              <w:jc w:val="center"/>
              <w:rPr>
                <w:rFonts w:hint="eastAsia" w:asciiTheme="minorEastAsia" w:hAnsiTheme="minorEastAsia" w:eastAsiaTheme="minorEastAsia" w:cstheme="minorEastAsia"/>
                <w:b/>
                <w:sz w:val="18"/>
                <w:szCs w:val="18"/>
              </w:rPr>
            </w:pPr>
          </w:p>
        </w:tc>
        <w:tc>
          <w:tcPr>
            <w:tcW w:w="1024" w:type="dxa"/>
            <w:vAlign w:val="center"/>
          </w:tcPr>
          <w:p>
            <w:pPr>
              <w:jc w:val="center"/>
              <w:rPr>
                <w:rFonts w:hint="eastAsia" w:asciiTheme="minorEastAsia" w:hAnsiTheme="minorEastAsia" w:eastAsiaTheme="minorEastAsia" w:cstheme="minorEastAsia"/>
                <w:b/>
                <w:sz w:val="18"/>
                <w:szCs w:val="18"/>
              </w:rPr>
            </w:pPr>
          </w:p>
        </w:tc>
        <w:tc>
          <w:tcPr>
            <w:tcW w:w="1024" w:type="dxa"/>
            <w:vAlign w:val="center"/>
          </w:tcPr>
          <w:p>
            <w:pPr>
              <w:jc w:val="center"/>
              <w:rPr>
                <w:rFonts w:hint="eastAsia" w:asciiTheme="minorEastAsia" w:hAnsiTheme="minorEastAsia" w:eastAsiaTheme="minorEastAsia" w:cstheme="minorEastAsia"/>
                <w:b/>
                <w:sz w:val="18"/>
                <w:szCs w:val="18"/>
              </w:rPr>
            </w:pPr>
          </w:p>
        </w:tc>
        <w:tc>
          <w:tcPr>
            <w:tcW w:w="1025" w:type="dxa"/>
            <w:vAlign w:val="center"/>
          </w:tcPr>
          <w:p>
            <w:pPr>
              <w:jc w:val="center"/>
              <w:rPr>
                <w:rFonts w:hint="eastAsia" w:asciiTheme="minorEastAsia" w:hAnsiTheme="minorEastAsia" w:eastAsiaTheme="minorEastAsia" w:cstheme="minorEastAsia"/>
                <w:b/>
                <w:sz w:val="18"/>
                <w:szCs w:val="18"/>
              </w:rPr>
            </w:pPr>
          </w:p>
        </w:tc>
        <w:tc>
          <w:tcPr>
            <w:tcW w:w="1025" w:type="dxa"/>
            <w:vAlign w:val="center"/>
          </w:tcPr>
          <w:p>
            <w:pPr>
              <w:jc w:val="center"/>
              <w:rPr>
                <w:rFonts w:hint="eastAsia" w:asciiTheme="minorEastAsia" w:hAnsiTheme="minorEastAsia" w:eastAsiaTheme="minorEastAsia" w:cstheme="minorEastAsia"/>
                <w:b/>
                <w:sz w:val="18"/>
                <w:szCs w:val="18"/>
              </w:rPr>
            </w:pPr>
          </w:p>
        </w:tc>
      </w:tr>
    </w:tbl>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cs="宋体"/>
          <w:b/>
          <w:bCs/>
          <w:color w:val="auto"/>
          <w:sz w:val="24"/>
        </w:rPr>
      </w:pPr>
    </w:p>
    <w:p>
      <w:pPr>
        <w:keepNext w:val="0"/>
        <w:keepLines w:val="0"/>
        <w:pageBreakBefore w:val="0"/>
        <w:kinsoku/>
        <w:overflowPunct/>
        <w:topLinePunct w:val="0"/>
        <w:bidi w:val="0"/>
        <w:spacing w:line="240" w:lineRule="auto"/>
        <w:rPr>
          <w:rFonts w:hint="eastAsia" w:ascii="宋体" w:hAnsi="宋体" w:eastAsia="宋体" w:cs="宋体"/>
          <w:b/>
          <w:bCs/>
          <w:color w:val="auto"/>
          <w:sz w:val="24"/>
          <w:lang w:val="en-US" w:eastAsia="zh-CN"/>
        </w:rPr>
      </w:pPr>
      <w:r>
        <w:rPr>
          <w:rFonts w:hint="eastAsia" w:ascii="宋体" w:hAnsi="宋体" w:cs="宋体"/>
          <w:b/>
          <w:bCs/>
          <w:color w:val="auto"/>
          <w:sz w:val="24"/>
        </w:rPr>
        <w:t>附件：</w:t>
      </w:r>
      <w:r>
        <w:rPr>
          <w:rFonts w:hint="eastAsia" w:ascii="宋体" w:hAnsi="宋体" w:cs="宋体"/>
          <w:b/>
          <w:bCs/>
          <w:color w:val="auto"/>
          <w:sz w:val="24"/>
          <w:lang w:val="en-US" w:eastAsia="zh-CN"/>
        </w:rPr>
        <w:t>3</w:t>
      </w:r>
    </w:p>
    <w:p>
      <w:pPr>
        <w:keepNext w:val="0"/>
        <w:keepLines w:val="0"/>
        <w:pageBreakBefore w:val="0"/>
        <w:kinsoku/>
        <w:overflowPunct/>
        <w:topLinePunct w:val="0"/>
        <w:bidi w:val="0"/>
        <w:spacing w:line="240" w:lineRule="auto"/>
        <w:jc w:val="center"/>
        <w:outlineLvl w:val="0"/>
        <w:rPr>
          <w:rFonts w:hint="eastAsia" w:ascii="宋体" w:hAnsi="宋体" w:cs="宋体"/>
          <w:b/>
          <w:bCs/>
          <w:color w:val="auto"/>
          <w:sz w:val="24"/>
        </w:rPr>
      </w:pPr>
      <w:r>
        <w:rPr>
          <w:rFonts w:hint="eastAsia" w:ascii="宋体" w:hAnsi="宋体" w:cs="宋体"/>
          <w:b/>
          <w:bCs/>
          <w:color w:val="auto"/>
          <w:sz w:val="24"/>
        </w:rPr>
        <w:t>政府采购投标及履约承诺函</w:t>
      </w:r>
    </w:p>
    <w:p>
      <w:pPr>
        <w:keepNext w:val="0"/>
        <w:keepLines w:val="0"/>
        <w:pageBreakBefore w:val="0"/>
        <w:kinsoku/>
        <w:overflowPunct/>
        <w:topLinePunct w:val="0"/>
        <w:bidi w:val="0"/>
        <w:adjustRightInd w:val="0"/>
        <w:spacing w:line="240" w:lineRule="auto"/>
        <w:ind w:firstLine="480" w:firstLineChars="200"/>
        <w:rPr>
          <w:rFonts w:hint="eastAsia" w:ascii="宋体" w:hAnsi="宋体" w:cs="宋体"/>
          <w:color w:val="auto"/>
          <w:sz w:val="24"/>
        </w:rPr>
      </w:pPr>
    </w:p>
    <w:p>
      <w:pPr>
        <w:keepNext w:val="0"/>
        <w:keepLines w:val="0"/>
        <w:pageBreakBefore w:val="0"/>
        <w:widowControl w:val="0"/>
        <w:kinsoku/>
        <w:wordWrap/>
        <w:overflowPunct/>
        <w:topLinePunct w:val="0"/>
        <w:autoSpaceDE/>
        <w:autoSpaceDN/>
        <w:bidi w:val="0"/>
        <w:adjustRightInd w:val="0"/>
        <w:snapToGrid/>
        <w:spacing w:line="312" w:lineRule="auto"/>
        <w:textAlignment w:val="auto"/>
        <w:rPr>
          <w:rFonts w:hint="eastAsia" w:ascii="宋体" w:hAnsi="宋体" w:cs="宋体"/>
          <w:color w:val="auto"/>
          <w:sz w:val="24"/>
        </w:rPr>
      </w:pPr>
      <w:r>
        <w:rPr>
          <w:rFonts w:hint="eastAsia" w:ascii="宋体" w:hAnsi="宋体" w:cs="宋体"/>
          <w:color w:val="auto"/>
          <w:sz w:val="24"/>
        </w:rPr>
        <w:t>致：深圳市不动产登记中心</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我单位深知本项目对采购人的重要性和紧迫性，亦了解采购人对廉政建设的相关要求，因此我单位承诺如下：</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1.我单位本招标项目所提供的货物或服务未侵犯知识产权。</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2.我单位参与本项目投标前三年内，在经营活动中没有违法记录。</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3.我单位参与本项目政府采购活动时不存在被有关部门禁止参与政府采购活动且在有效期内的情况。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4.我单位具备《中华人民共和国政府采购法》第二十二条第一款的条件。</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5.我单位未被列入失信被执行人、税收违法案件当事人名单、政府采购严重违法失信行为记录名单。</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7.我单位如果中标，做到诚实守信，依照本项目招标文件需求内容、签署的采购合同及本单位在投标中所作的一切承诺履约。</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10.我单位承诺不非法转包、分包。</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11.我单位承诺未参与本项目的采购需求、技术指标、商务指标等内容的设定，不存在对其他投标单位不公平的行为。</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11.我单位承诺不对采购人进行贿赂，进行有偿报答。</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12.我单位承诺不对采购人进行任何形式的利益输送。</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13.我单位承诺不对采购人进行宴请和娱乐等消费活动。</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14.我单位承诺不对采购人进行赠送各种礼品、现金、有价证券、中介费、好处费等行为。</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以上承诺，如有违反，愿依照国家相关法律处理，并承担由此给采购人带来的损失。</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 xml:space="preserve">                                    承诺单位（公司）盖章：</w:t>
      </w:r>
    </w:p>
    <w:p>
      <w:pPr>
        <w:keepNext w:val="0"/>
        <w:keepLines w:val="0"/>
        <w:pageBreakBefore w:val="0"/>
        <w:widowControl w:val="0"/>
        <w:kinsoku/>
        <w:wordWrap/>
        <w:overflowPunct/>
        <w:topLinePunct w:val="0"/>
        <w:autoSpaceDE/>
        <w:autoSpaceDN/>
        <w:bidi w:val="0"/>
        <w:adjustRightInd w:val="0"/>
        <w:snapToGrid/>
        <w:spacing w:line="312" w:lineRule="auto"/>
        <w:ind w:firstLine="480" w:firstLineChars="200"/>
        <w:textAlignment w:val="auto"/>
        <w:rPr>
          <w:rFonts w:hint="eastAsia" w:ascii="宋体" w:hAnsi="宋体" w:cs="宋体"/>
          <w:color w:val="auto"/>
          <w:sz w:val="24"/>
        </w:rPr>
      </w:pPr>
      <w:r>
        <w:rPr>
          <w:rFonts w:hint="eastAsia" w:ascii="宋体" w:hAnsi="宋体" w:cs="宋体"/>
          <w:color w:val="auto"/>
          <w:sz w:val="24"/>
        </w:rPr>
        <w:t xml:space="preserve">                                         年   月   日 </w:t>
      </w:r>
    </w:p>
    <w:p>
      <w:pPr>
        <w:pStyle w:val="7"/>
        <w:spacing w:before="156" w:beforeLines="50" w:after="156" w:afterLines="50" w:line="600" w:lineRule="exact"/>
        <w:jc w:val="both"/>
      </w:pPr>
    </w:p>
    <w:sectPr>
      <w:footerReference r:id="rId3" w:type="default"/>
      <w:pgSz w:w="11906" w:h="16838"/>
      <w:pgMar w:top="816" w:right="1800" w:bottom="81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长城仿宋">
    <w:altName w:val="黑体"/>
    <w:panose1 w:val="00000000000000000000"/>
    <w:charset w:val="86"/>
    <w:family w:val="modern"/>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Times New Roman’">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221806"/>
    <w:multiLevelType w:val="singleLevel"/>
    <w:tmpl w:val="6B22180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ED14CE"/>
    <w:rsid w:val="000568E2"/>
    <w:rsid w:val="000B2A32"/>
    <w:rsid w:val="002F599C"/>
    <w:rsid w:val="00742724"/>
    <w:rsid w:val="00E13889"/>
    <w:rsid w:val="02ED14CE"/>
    <w:rsid w:val="03773C59"/>
    <w:rsid w:val="07452797"/>
    <w:rsid w:val="0A700F95"/>
    <w:rsid w:val="0A78460B"/>
    <w:rsid w:val="0C693AA7"/>
    <w:rsid w:val="0DCE376A"/>
    <w:rsid w:val="0EC070F0"/>
    <w:rsid w:val="1AD6387D"/>
    <w:rsid w:val="1AEA141F"/>
    <w:rsid w:val="1FF2494A"/>
    <w:rsid w:val="26CB3472"/>
    <w:rsid w:val="27E82A2F"/>
    <w:rsid w:val="2D51151F"/>
    <w:rsid w:val="2FF90A0F"/>
    <w:rsid w:val="325B5A91"/>
    <w:rsid w:val="36A1046C"/>
    <w:rsid w:val="396A462C"/>
    <w:rsid w:val="3C734E78"/>
    <w:rsid w:val="40072721"/>
    <w:rsid w:val="432B2841"/>
    <w:rsid w:val="46C23B89"/>
    <w:rsid w:val="4CDC56C0"/>
    <w:rsid w:val="4D334455"/>
    <w:rsid w:val="4D4B48CB"/>
    <w:rsid w:val="4DF339E7"/>
    <w:rsid w:val="504C59AD"/>
    <w:rsid w:val="507E329A"/>
    <w:rsid w:val="5412577B"/>
    <w:rsid w:val="54301713"/>
    <w:rsid w:val="57F70F1B"/>
    <w:rsid w:val="5985767E"/>
    <w:rsid w:val="5A5A12EC"/>
    <w:rsid w:val="5ACD01F4"/>
    <w:rsid w:val="5AD57CA0"/>
    <w:rsid w:val="5B6A6E27"/>
    <w:rsid w:val="5E2233F5"/>
    <w:rsid w:val="5E34748B"/>
    <w:rsid w:val="68744D61"/>
    <w:rsid w:val="69B213B1"/>
    <w:rsid w:val="6A1E4513"/>
    <w:rsid w:val="6C6D2354"/>
    <w:rsid w:val="6D5B355C"/>
    <w:rsid w:val="6E632C7E"/>
    <w:rsid w:val="727726A1"/>
    <w:rsid w:val="74C01A46"/>
    <w:rsid w:val="75F03263"/>
    <w:rsid w:val="77DC272A"/>
    <w:rsid w:val="785643C0"/>
    <w:rsid w:val="7A135778"/>
    <w:rsid w:val="7B376BEC"/>
    <w:rsid w:val="7C9F3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文档正文"/>
    <w:qFormat/>
    <w:uiPriority w:val="99"/>
    <w:pPr>
      <w:widowControl w:val="0"/>
      <w:adjustRightInd w:val="0"/>
      <w:spacing w:line="480" w:lineRule="atLeast"/>
      <w:ind w:firstLine="567" w:firstLineChars="200"/>
      <w:jc w:val="both"/>
      <w:textAlignment w:val="baseline"/>
    </w:pPr>
    <w:rPr>
      <w:rFonts w:ascii="长城仿宋" w:hAnsiTheme="minorHAnsi" w:eastAsiaTheme="minorEastAsia" w:cstheme="minorBidi"/>
      <w:kern w:val="0"/>
      <w:sz w:val="21"/>
      <w:szCs w:val="20"/>
      <w:lang w:val="en-US" w:eastAsia="zh-CN" w:bidi="ar-SA"/>
    </w:rPr>
  </w:style>
  <w:style w:type="paragraph" w:styleId="3">
    <w:name w:val="annotation text"/>
    <w:basedOn w:val="1"/>
    <w:qFormat/>
    <w:uiPriority w:val="0"/>
    <w:pPr>
      <w:jc w:val="left"/>
    </w:pPr>
  </w:style>
  <w:style w:type="paragraph" w:styleId="4">
    <w:name w:val="Body Text"/>
    <w:basedOn w:val="1"/>
    <w:next w:val="1"/>
    <w:unhideWhenUsed/>
    <w:qFormat/>
    <w:uiPriority w:val="99"/>
    <w:pPr>
      <w:widowControl w:val="0"/>
      <w:spacing w:after="120"/>
      <w:jc w:val="both"/>
    </w:pPr>
    <w:rPr>
      <w:rFonts w:ascii="Calibri" w:hAnsi="Calibri" w:eastAsia="宋体" w:cs="Times New Roman"/>
      <w:kern w:val="2"/>
      <w:sz w:val="21"/>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qFormat/>
    <w:uiPriority w:val="0"/>
    <w:pPr>
      <w:spacing w:before="240" w:after="60"/>
      <w:jc w:val="center"/>
      <w:outlineLvl w:val="0"/>
    </w:pPr>
    <w:rPr>
      <w:rFonts w:ascii="Arial" w:hAnsi="Arial" w:eastAsia="隶书" w:cs="Arial"/>
      <w:b/>
      <w:bCs/>
      <w:sz w:val="32"/>
      <w:szCs w:val="32"/>
    </w:rPr>
  </w:style>
  <w:style w:type="paragraph" w:customStyle="1" w:styleId="10">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512</Words>
  <Characters>2919</Characters>
  <Lines>24</Lines>
  <Paragraphs>6</Paragraphs>
  <TotalTime>0</TotalTime>
  <ScaleCrop>false</ScaleCrop>
  <LinksUpToDate>false</LinksUpToDate>
  <CharactersWithSpaces>3425</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2019-03-01T02:16:00Z</dcterms:created>
  <dc:creator>吕毅鹏</dc:creator>
  <cp:lastModifiedBy>null</cp:lastModifiedBy>
  <dcterms:modified xsi:type="dcterms:W3CDTF">2022-08-05T08:46:29Z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4E1A2634817B44559F33BE8A8F22DFAC</vt:lpwstr>
  </property>
</Properties>
</file>