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jc w:val="center"/>
              <w:rPr>
                <w:rStyle w:val="66"/>
                <w:rFonts w:ascii="宋体" w:hAnsi="宋体"/>
                <w:snapToGrid w:val="0"/>
                <w:kern w:val="0"/>
              </w:rPr>
            </w:pPr>
            <w:bookmarkStart w:id="0" w:name="_GoBack"/>
            <w:bookmarkEnd w:id="0"/>
            <w:r>
              <w:rPr>
                <w:rStyle w:val="66"/>
                <w:rFonts w:hint="eastAsia" w:ascii="宋体" w:hAnsi="宋体"/>
                <w:snapToGrid w:val="0"/>
                <w:kern w:val="0"/>
              </w:rPr>
              <w:t xml:space="preserve">                                                                                                                                                                                                                                                                                                                                                         第1章</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bCs/>
                <w:snapToGrid w:val="0"/>
                <w:kern w:val="0"/>
                <w:sz w:val="32"/>
                <w:szCs w:val="32"/>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bCs/>
                <w:snapToGrid w:val="0"/>
                <w:kern w:val="0"/>
                <w:sz w:val="24"/>
                <w:szCs w:val="24"/>
              </w:rPr>
              <w:t>1.0.1</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snapToGrid w:val="0"/>
                <w:kern w:val="0"/>
                <w:sz w:val="24"/>
                <w:szCs w:val="24"/>
              </w:rPr>
              <w:t>为实现建设国际化、现代化城市的目标，促进经济、社会和环境的可持续发展，提高城市规划建设水平，</w:t>
            </w:r>
            <w:r>
              <w:rPr>
                <w:rFonts w:hint="eastAsia" w:ascii="宋体" w:hAnsi="宋体"/>
                <w:bCs/>
                <w:snapToGrid w:val="0"/>
                <w:kern w:val="0"/>
                <w:sz w:val="24"/>
                <w:szCs w:val="24"/>
              </w:rPr>
              <w:t>提升建筑品质，</w:t>
            </w:r>
            <w:r>
              <w:rPr>
                <w:rFonts w:hint="eastAsia" w:ascii="宋体" w:hAnsi="宋体"/>
                <w:snapToGrid w:val="0"/>
                <w:kern w:val="0"/>
                <w:sz w:val="24"/>
                <w:szCs w:val="24"/>
              </w:rPr>
              <w:t>推进建筑设计的标准化和规范化，根据《深圳市城市规划标准与准则》以及其他相关法律、法规、规章，结合我市实际，制定本规则。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bCs/>
                <w:snapToGrid w:val="0"/>
                <w:kern w:val="0"/>
                <w:sz w:val="24"/>
                <w:szCs w:val="24"/>
              </w:rPr>
              <w:t>1.0.2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本规则以国家和广东省、深圳市的有关标准及规范为基础依据，参照市场经济发达地区同类技术标准与规定，结合深圳的城市发展目标要求和实际情况制定。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bCs/>
                <w:snapToGrid w:val="0"/>
                <w:kern w:val="0"/>
                <w:sz w:val="24"/>
                <w:szCs w:val="24"/>
              </w:rPr>
              <w:t>1.0.3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建筑设计应</w:t>
            </w:r>
            <w:r>
              <w:rPr>
                <w:rFonts w:hint="eastAsia" w:ascii="宋体" w:hAnsi="宋体"/>
                <w:snapToGrid w:val="0"/>
                <w:kern w:val="0"/>
                <w:sz w:val="24"/>
                <w:szCs w:val="24"/>
              </w:rPr>
              <w:t>根据经</w:t>
            </w:r>
            <w:r>
              <w:rPr>
                <w:rFonts w:hint="eastAsia" w:ascii="宋体" w:hAnsi="宋体"/>
                <w:bCs/>
                <w:snapToGrid w:val="0"/>
                <w:kern w:val="0"/>
                <w:sz w:val="24"/>
                <w:szCs w:val="24"/>
              </w:rPr>
              <w:t>市规划主管部门</w:t>
            </w:r>
            <w:r>
              <w:rPr>
                <w:rFonts w:hint="eastAsia" w:ascii="宋体" w:hAnsi="宋体"/>
                <w:snapToGrid w:val="0"/>
                <w:kern w:val="0"/>
                <w:sz w:val="24"/>
                <w:szCs w:val="24"/>
              </w:rPr>
              <w:t>核准的规划设计条件（《建设用地规划许可证》及相关的各层次规划、城市设计等）进行，并</w:t>
            </w:r>
            <w:r>
              <w:rPr>
                <w:rFonts w:hint="eastAsia" w:ascii="宋体" w:hAnsi="宋体"/>
                <w:bCs/>
                <w:snapToGrid w:val="0"/>
                <w:kern w:val="0"/>
                <w:sz w:val="24"/>
                <w:szCs w:val="24"/>
              </w:rPr>
              <w:t>遵循</w:t>
            </w:r>
            <w:r>
              <w:rPr>
                <w:rFonts w:hint="eastAsia" w:ascii="宋体" w:hAnsi="宋体"/>
                <w:snapToGrid w:val="0"/>
                <w:kern w:val="0"/>
                <w:sz w:val="24"/>
                <w:szCs w:val="24"/>
              </w:rPr>
              <w:t>适用、经济、美观的原则，符合安全、卫生、环保等要求，做到节地、节能、节水、节材。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bCs/>
                <w:snapToGrid w:val="0"/>
                <w:kern w:val="0"/>
                <w:sz w:val="24"/>
                <w:szCs w:val="24"/>
              </w:rPr>
              <w:t>1.0.4</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在深圳市行政区域内新建、改建和扩建项目的</w:t>
            </w:r>
            <w:r>
              <w:rPr>
                <w:rFonts w:hint="eastAsia" w:ascii="宋体" w:hAnsi="宋体"/>
                <w:bCs/>
                <w:snapToGrid w:val="0"/>
                <w:kern w:val="0"/>
                <w:sz w:val="24"/>
                <w:szCs w:val="24"/>
              </w:rPr>
              <w:t>建筑设计</w:t>
            </w:r>
            <w:r>
              <w:rPr>
                <w:rFonts w:hint="eastAsia" w:ascii="宋体" w:hAnsi="宋体"/>
                <w:snapToGrid w:val="0"/>
                <w:kern w:val="0"/>
                <w:sz w:val="24"/>
                <w:szCs w:val="24"/>
              </w:rPr>
              <w:t>工作，适用本规则。</w:t>
            </w:r>
          </w:p>
        </w:tc>
      </w:tr>
    </w:tbl>
    <w:p>
      <w:pPr>
        <w:widowControl/>
        <w:spacing w:before="211" w:beforeLines="50"/>
        <w:jc w:val="left"/>
        <w:rPr>
          <w:rFonts w:ascii="宋体" w:hAnsi="宋体"/>
          <w:b/>
          <w:snapToGrid w:val="0"/>
          <w:kern w:val="0"/>
          <w:sz w:val="32"/>
          <w:szCs w:val="32"/>
        </w:rPr>
      </w:pPr>
      <w:r>
        <w:rPr>
          <w:rFonts w:ascii="宋体" w:hAnsi="宋体"/>
          <w:b/>
          <w:snapToGrid w:val="0"/>
          <w:kern w:val="0"/>
          <w:sz w:val="32"/>
          <w:szCs w:val="32"/>
        </w:rP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第2章</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2.1</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建筑分类名词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2.1.1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民用建筑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供人们居住和进行各种公共活动的建筑的总称。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2.1.2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居住建筑</w:t>
            </w:r>
          </w:p>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以提供日常生活居住场所及配套设施为主要目的，供人们居住使用的建筑。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2.1.3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住宅建筑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配套设施较为齐全，布局完整，建筑按套型设计，独门独户并设有卧室、起居室、厨房、卫生间等空间供家庭居住使用的建筑。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2.1.4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宿舍建筑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为相应功能区配套建设，有集中管理且供单身人士使用的居住建筑。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2.1.5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公共建筑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以为公众提供公共活动场所为主要目的，供人们进行各种公共活动的建筑。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2.1.6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公共配套设施</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与区域人口规模相对应配建的，各类非独立选址的小型或辅助型公共设施、交通设施和市政设施等。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2.1.7</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办公建筑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供机关、团体和企事业单位办理行政事务和从事各类业务活动的建筑。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w:t>
            </w:r>
            <w:r>
              <w:rPr>
                <w:rFonts w:hint="eastAsia" w:ascii="宋体" w:hAnsi="宋体"/>
                <w:b/>
                <w:snapToGrid w:val="0"/>
                <w:kern w:val="0"/>
                <w:sz w:val="24"/>
                <w:szCs w:val="24"/>
                <w:lang w:val="en-US" w:eastAsia="zh-CN"/>
              </w:rPr>
              <w:t>8</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商业建筑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供人们进行商业活动的建筑。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w:t>
            </w:r>
            <w:r>
              <w:rPr>
                <w:rFonts w:hint="eastAsia" w:ascii="宋体" w:hAnsi="宋体"/>
                <w:b/>
                <w:snapToGrid w:val="0"/>
                <w:kern w:val="0"/>
                <w:sz w:val="24"/>
                <w:szCs w:val="24"/>
                <w:lang w:val="en-US" w:eastAsia="zh-CN"/>
              </w:rPr>
              <w:t>9</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教育建筑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供人们开展教学活动所使用的建筑。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0</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城市综合体</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将城市中的商业、办公、居住、旅馆（酒店）、展览、餐饮、会议、文娱和交通等城市生活空间中的多项进行组合，总规定建筑面积在</w:t>
            </w:r>
            <w:r>
              <w:rPr>
                <w:rFonts w:ascii="宋体" w:hAnsi="宋体"/>
                <w:snapToGrid w:val="0"/>
                <w:kern w:val="0"/>
                <w:sz w:val="24"/>
                <w:szCs w:val="24"/>
              </w:rPr>
              <w:t>10万平方米以上，并在各部分间建立一种相互依存、相互助益的能动关系，从而形成</w:t>
            </w:r>
            <w:r>
              <w:rPr>
                <w:rFonts w:hint="eastAsia" w:ascii="宋体" w:hAnsi="宋体"/>
                <w:snapToGrid w:val="0"/>
                <w:kern w:val="0"/>
                <w:sz w:val="24"/>
                <w:szCs w:val="24"/>
              </w:rPr>
              <w:t>的</w:t>
            </w:r>
            <w:r>
              <w:rPr>
                <w:rFonts w:ascii="宋体" w:hAnsi="宋体"/>
                <w:snapToGrid w:val="0"/>
                <w:kern w:val="0"/>
                <w:sz w:val="24"/>
                <w:szCs w:val="24"/>
              </w:rPr>
              <w:t>一个多功能、高效率的综合建筑体。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附设式停车库</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与主体建筑相连、设置在地上或地下的停车设施。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工业建筑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供人们从事各类工业生产活动的建筑。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厂房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供人们进行各类工业化生产的建筑。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新型产业建筑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区别于传统产业建筑，供人们从事各类新型产业的研发、设计及推广、应用等的建筑，也称为研发用房或新型产业用房。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仓库</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以货物储存为主的库房建筑。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2.1.1</w:t>
            </w:r>
            <w:r>
              <w:rPr>
                <w:rFonts w:hint="eastAsia" w:ascii="宋体" w:hAnsi="宋体"/>
                <w:b/>
                <w:snapToGrid w:val="0"/>
                <w:kern w:val="0"/>
                <w:sz w:val="24"/>
                <w:szCs w:val="24"/>
                <w:lang w:val="en-US" w:eastAsia="zh-CN"/>
              </w:rPr>
              <w:t>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物流建筑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用于进行物品储存、运输、配送、物流加工、物流管理及展销等综合功能的建筑。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2.2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建筑通用空间名词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2.2.1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裙房</w:t>
            </w:r>
          </w:p>
          <w:p>
            <w:pPr>
              <w:tabs>
                <w:tab w:val="left" w:pos="1170"/>
              </w:tabs>
              <w:topLinePunct/>
              <w:snapToGrid w:val="0"/>
              <w:spacing w:before="211" w:beforeLines="50"/>
              <w:rPr>
                <w:rFonts w:ascii="宋体" w:hAnsi="宋体"/>
                <w:bCs/>
                <w:snapToGrid w:val="0"/>
                <w:kern w:val="0"/>
                <w:sz w:val="24"/>
                <w:szCs w:val="24"/>
              </w:rPr>
            </w:pPr>
            <w:r>
              <w:rPr>
                <w:bCs/>
                <w:kern w:val="0"/>
                <w:sz w:val="24"/>
              </w:rPr>
              <w:t>在高层</w:t>
            </w:r>
            <w:r>
              <w:rPr>
                <w:rFonts w:hint="eastAsia"/>
                <w:bCs/>
                <w:kern w:val="0"/>
                <w:sz w:val="24"/>
              </w:rPr>
              <w:t>或超高层</w:t>
            </w:r>
            <w:r>
              <w:rPr>
                <w:bCs/>
                <w:kern w:val="0"/>
                <w:sz w:val="24"/>
              </w:rPr>
              <w:t>建筑主体投影范围外，与建筑主体相连的附属建筑</w:t>
            </w:r>
            <w:r>
              <w:rPr>
                <w:rFonts w:hint="eastAsia" w:ascii="宋体" w:hAnsi="宋体"/>
                <w:bCs/>
                <w:snapToGrid w:val="0"/>
                <w:kern w:val="0"/>
                <w:sz w:val="24"/>
                <w:szCs w:val="24"/>
              </w:rPr>
              <w:t>。</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bCs/>
                <w:snapToGrid w:val="0"/>
                <w:kern w:val="0"/>
                <w:sz w:val="24"/>
                <w:szCs w:val="24"/>
              </w:rPr>
              <w:t>当裙房的建筑高度超过24m时，其建筑退线、间距、消防、覆盖率等均应按高层建筑控制。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2.2.</w:t>
            </w:r>
            <w:r>
              <w:rPr>
                <w:rFonts w:hint="eastAsia"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裙楼、塔楼</w:t>
            </w:r>
          </w:p>
          <w:p>
            <w:pPr>
              <w:tabs>
                <w:tab w:val="left" w:pos="1170"/>
              </w:tabs>
              <w:topLinePunct/>
              <w:snapToGrid w:val="0"/>
              <w:spacing w:before="211" w:beforeLines="50"/>
              <w:rPr>
                <w:rFonts w:ascii="宋体" w:hAnsi="宋体"/>
                <w:b/>
                <w:snapToGrid w:val="0"/>
                <w:kern w:val="0"/>
                <w:sz w:val="28"/>
                <w:szCs w:val="28"/>
              </w:rPr>
            </w:pPr>
            <w:r>
              <w:rPr>
                <w:rFonts w:hint="eastAsia"/>
                <w:bCs/>
                <w:kern w:val="0"/>
                <w:sz w:val="24"/>
              </w:rPr>
              <w:t>带裙房的</w:t>
            </w:r>
            <w:r>
              <w:rPr>
                <w:bCs/>
                <w:kern w:val="0"/>
                <w:sz w:val="24"/>
              </w:rPr>
              <w:t>高层</w:t>
            </w:r>
            <w:r>
              <w:rPr>
                <w:rFonts w:hint="eastAsia"/>
                <w:bCs/>
                <w:kern w:val="0"/>
                <w:sz w:val="24"/>
              </w:rPr>
              <w:t>或超高层</w:t>
            </w:r>
            <w:r>
              <w:rPr>
                <w:bCs/>
                <w:kern w:val="0"/>
                <w:sz w:val="24"/>
              </w:rPr>
              <w:t>建筑</w:t>
            </w:r>
            <w:r>
              <w:rPr>
                <w:rFonts w:hint="eastAsia"/>
                <w:bCs/>
                <w:kern w:val="0"/>
                <w:sz w:val="24"/>
              </w:rPr>
              <w:t>中，建筑主体位于裙房屋面以下的低楼层部分与裙房一起合称为裙楼；建筑主体位于裙房屋面以上的高楼层部分称为塔楼</w:t>
            </w:r>
            <w:r>
              <w:rPr>
                <w:rFonts w:hint="eastAsia" w:ascii="宋体" w:hAnsi="宋体"/>
                <w:bCs/>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骑楼</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建筑底层沿街面后退且留出公共人行空间的建筑物。骑楼可与公共架空空间、城市公共通道连通设计。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架空连廊</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位于二层及以上，联系两栋（座）建筑的水平交通走廊，分有上盖和无上盖架空连廊。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2.2.5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四周均被计建筑面积的建筑空间（两栋或两座建筑之间的单层架空连廊除外）围合的室外露天空间，主要用以解决建筑物的采光和通风。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6</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凹槽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三面被计建筑面积的建筑空间围合，仅一面开口，且开口内无任何结构连梁、连板或与其类似的装饰性构件连接的上下透空的空间。</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⑴</w:t>
            </w:r>
            <w:r>
              <w:rPr>
                <w:rFonts w:hint="eastAsia" w:ascii="宋体" w:hAnsi="宋体"/>
                <w:snapToGrid w:val="0"/>
                <w:color w:val="auto"/>
                <w:kern w:val="0"/>
                <w:sz w:val="24"/>
                <w:szCs w:val="24"/>
              </w:rPr>
              <w:t>当朝向凹槽开口的户内房间（均不含阳台）或公共楼梯厅、电梯厅有除此以外其他的采光通风来源，或凹槽位于户内房间与房间之间时，该凹槽为非功能性凹槽</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w:t>
            </w:r>
            <w:r>
              <w:rPr>
                <w:rFonts w:hint="eastAsia" w:ascii="宋体" w:hAnsi="宋体"/>
                <w:snapToGrid w:val="0"/>
                <w:color w:val="auto"/>
                <w:kern w:val="0"/>
                <w:sz w:val="24"/>
                <w:szCs w:val="24"/>
              </w:rPr>
              <w:t>除上述情况外，当凹槽开口是户内房间或公共楼梯厅、电梯厅采光通风唯一来源时，该凹槽为功能性凹槽</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2.2.7</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与建筑空间相连的由结构连梁、连板、建筑墙体等围合形成的建筑外墙外部透空空间。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8</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建筑楼层内局部设置的跨越一个以上标准层高的有盖建筑空间。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整层作为中庭、大堂、会议厅，当其层高超过规定限值，也可视为室内透空空间。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9</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地下室与半地下室</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当某一建筑楼层的顶板面高于周边室外地面的高度均不大于</w:t>
            </w:r>
            <w:r>
              <w:rPr>
                <w:rFonts w:ascii="宋体" w:hAnsi="宋体"/>
                <w:snapToGrid w:val="0"/>
                <w:kern w:val="0"/>
                <w:sz w:val="24"/>
                <w:szCs w:val="24"/>
              </w:rPr>
              <w:t>1.5m</w:t>
            </w:r>
            <w:r>
              <w:rPr>
                <w:rFonts w:hint="eastAsia" w:ascii="宋体" w:hAnsi="宋体"/>
                <w:snapToGrid w:val="0"/>
                <w:kern w:val="0"/>
                <w:sz w:val="24"/>
                <w:szCs w:val="24"/>
              </w:rPr>
              <w:t>时，该层为地下室；当某一建筑楼层有超过</w:t>
            </w:r>
            <w:r>
              <w:rPr>
                <w:rFonts w:ascii="宋体" w:hAnsi="宋体"/>
                <w:snapToGrid w:val="0"/>
                <w:kern w:val="0"/>
                <w:sz w:val="24"/>
                <w:szCs w:val="24"/>
              </w:rPr>
              <w:t>1/4周长</w:t>
            </w:r>
            <w:r>
              <w:rPr>
                <w:rFonts w:hint="eastAsia" w:ascii="宋体" w:hAnsi="宋体"/>
                <w:snapToGrid w:val="0"/>
                <w:kern w:val="0"/>
                <w:sz w:val="24"/>
                <w:szCs w:val="24"/>
              </w:rPr>
              <w:t>的顶板面高于室外地面的高度不大于</w:t>
            </w:r>
            <w:r>
              <w:rPr>
                <w:rFonts w:ascii="宋体" w:hAnsi="宋体"/>
                <w:snapToGrid w:val="0"/>
                <w:kern w:val="0"/>
                <w:sz w:val="24"/>
                <w:szCs w:val="24"/>
              </w:rPr>
              <w:t>1.5m</w:t>
            </w:r>
            <w:r>
              <w:rPr>
                <w:rFonts w:hint="eastAsia" w:ascii="宋体" w:hAnsi="宋体"/>
                <w:snapToGrid w:val="0"/>
                <w:kern w:val="0"/>
                <w:sz w:val="24"/>
                <w:szCs w:val="24"/>
              </w:rPr>
              <w:t>，其他部分顶板面高于室外地面的高度大于</w:t>
            </w:r>
            <w:r>
              <w:rPr>
                <w:rFonts w:ascii="宋体" w:hAnsi="宋体"/>
                <w:snapToGrid w:val="0"/>
                <w:kern w:val="0"/>
                <w:sz w:val="24"/>
                <w:szCs w:val="24"/>
              </w:rPr>
              <w:t>1.5m</w:t>
            </w:r>
            <w:r>
              <w:rPr>
                <w:rFonts w:hint="eastAsia" w:ascii="宋体" w:hAnsi="宋体"/>
                <w:snapToGrid w:val="0"/>
                <w:kern w:val="0"/>
                <w:sz w:val="24"/>
                <w:szCs w:val="24"/>
              </w:rPr>
              <w:t>时，该层为半地下室。</w:t>
            </w:r>
          </w:p>
          <w:p>
            <w:pPr>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当</w:t>
            </w:r>
            <w:r>
              <w:rPr>
                <w:rFonts w:hint="eastAsia" w:ascii="宋体" w:hAnsi="宋体"/>
                <w:snapToGrid w:val="0"/>
                <w:kern w:val="0"/>
                <w:sz w:val="24"/>
                <w:szCs w:val="24"/>
              </w:rPr>
              <w:t>地下室、半地下室周边</w:t>
            </w:r>
            <w:r>
              <w:rPr>
                <w:rFonts w:hint="eastAsia" w:ascii="宋体" w:hAnsi="宋体"/>
                <w:bCs/>
                <w:snapToGrid w:val="0"/>
                <w:kern w:val="0"/>
                <w:sz w:val="24"/>
                <w:szCs w:val="24"/>
              </w:rPr>
              <w:t>室外地面标高不一致时，按以下标准确定室外地面标高：</w:t>
            </w:r>
          </w:p>
          <w:p>
            <w:pPr>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⑴以城市道路或路边绿化带（覆土面层）或消防救援场地标高作为建筑室外地面标高。</w:t>
            </w:r>
          </w:p>
          <w:p>
            <w:pPr>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⑵</w:t>
            </w:r>
            <w:r>
              <w:rPr>
                <w:rFonts w:hint="eastAsia" w:ascii="宋体" w:hAnsi="宋体"/>
                <w:snapToGrid w:val="0"/>
                <w:kern w:val="0"/>
                <w:sz w:val="24"/>
                <w:szCs w:val="24"/>
              </w:rPr>
              <w:t>与地下室、半地下室结合设置的下沉式采光井或下沉式广场地面不作为室外地面。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10</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公共停车场（库）</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可供社会公众共同使用的停车场（库）。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11</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共用停车场（库）</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可供宗地内所有业主共同使用的停车场（库）。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w:t>
            </w:r>
            <w:r>
              <w:rPr>
                <w:rFonts w:hint="eastAsia" w:ascii="宋体" w:hAnsi="宋体"/>
                <w:b/>
                <w:snapToGrid w:val="0"/>
                <w:kern w:val="0"/>
                <w:sz w:val="24"/>
                <w:szCs w:val="24"/>
              </w:rPr>
              <w:t>12</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架空层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建筑物中仅有结构支撑而无外围护结构（因安全要求必须设置的净高不超过</w:t>
            </w:r>
            <w:r>
              <w:rPr>
                <w:rFonts w:ascii="宋体" w:hAnsi="宋体"/>
                <w:snapToGrid w:val="0"/>
                <w:kern w:val="0"/>
                <w:sz w:val="24"/>
                <w:szCs w:val="24"/>
              </w:rPr>
              <w:t>1.5m</w:t>
            </w:r>
            <w:r>
              <w:rPr>
                <w:rFonts w:hint="eastAsia" w:ascii="宋体" w:hAnsi="宋体"/>
                <w:snapToGrid w:val="0"/>
                <w:kern w:val="0"/>
                <w:sz w:val="24"/>
                <w:szCs w:val="24"/>
              </w:rPr>
              <w:t>的栏杆除外）的开敞空间层。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2.2.1</w:t>
            </w:r>
            <w:r>
              <w:rPr>
                <w:rFonts w:hint="eastAsia" w:ascii="宋体" w:hAnsi="宋体"/>
                <w:b/>
                <w:snapToGrid w:val="0"/>
                <w:kern w:val="0"/>
                <w:sz w:val="24"/>
                <w:szCs w:val="24"/>
              </w:rPr>
              <w:t>3</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避难层</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按消防规范要求，为消防安全专门设置的供人们疏散避难的楼层。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2.2.1</w:t>
            </w:r>
            <w:r>
              <w:rPr>
                <w:rFonts w:hint="eastAsia" w:ascii="宋体" w:hAnsi="宋体"/>
                <w:b/>
                <w:snapToGrid w:val="0"/>
                <w:kern w:val="0"/>
                <w:sz w:val="24"/>
                <w:szCs w:val="24"/>
              </w:rPr>
              <w:t>4</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结构转换层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因建筑物上部与下部采用不同结构类型，而用于设置转换结构构件（包括转换梁、转换桁架、转换板等）的楼层。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2.2.1</w:t>
            </w:r>
            <w:r>
              <w:rPr>
                <w:rFonts w:hint="eastAsia" w:ascii="宋体" w:hAnsi="宋体"/>
                <w:b/>
                <w:snapToGrid w:val="0"/>
                <w:kern w:val="0"/>
                <w:sz w:val="24"/>
                <w:szCs w:val="24"/>
              </w:rPr>
              <w:t>5</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设备层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建筑物中专用于布置暖通、空调、给排水和电气等专业的设备和管道且供人员进入操作的空间层。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2.2.1</w:t>
            </w:r>
            <w:r>
              <w:rPr>
                <w:rFonts w:hint="eastAsia" w:ascii="宋体" w:hAnsi="宋体"/>
                <w:b/>
                <w:snapToGrid w:val="0"/>
                <w:kern w:val="0"/>
                <w:sz w:val="24"/>
                <w:szCs w:val="24"/>
              </w:rPr>
              <w:t>6</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夹层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在一个楼层内，以结构板形式局部增设且投影面积不大于该楼层建筑面积</w:t>
            </w:r>
            <w:r>
              <w:rPr>
                <w:rFonts w:ascii="宋体" w:hAnsi="宋体"/>
                <w:snapToGrid w:val="0"/>
                <w:kern w:val="0"/>
                <w:sz w:val="24"/>
                <w:szCs w:val="24"/>
              </w:rPr>
              <w:t>1/2的楼层。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2.3</w:t>
            </w:r>
          </w:p>
        </w:tc>
        <w:tc>
          <w:tcPr>
            <w:tcW w:w="8220"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建筑部件名词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2.3.1</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幕墙</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由金属构架与板材组成，不承担主体结构荷载与作用的建筑外围护结构或建筑外装饰结构。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2.3.2</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阳台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附设于建筑物外墙，周边设有栏杆或栏板，可供人活动的空间。阳台按其上方顶盖高度分为单层高阳台和多层高阳台。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2.3.3</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露台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建筑二层及以上利用下层屋顶，作为本层户外活动空间的无顶盖室外平台。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2.3.4</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挑檐</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建筑屋盖挑出外墙面的部分。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2.3.5</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女儿墙</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建筑外墙高出屋面的部分。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2.3.6</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楼梯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由连续行走的梯级、休息平台和维护安全的栏杆（或栏板）、扶手以及相应的支托结构组成的作为楼层之间垂直交通用的建筑部件。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2.3.7</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台阶</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联系室内外地坪或楼层不同标高而设置的阶梯形踏步。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2.3.8</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凸窗</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凸出建筑外墙面的窗户。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2.4</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建筑容量名词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2.4.1</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用地面积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经市土地主管部门划定的用地范围内的土地面积。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2.4.2</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建设用地面积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经市土地主管部门划定的建设用地范围内的土地面积。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2.4.3</w:t>
            </w:r>
          </w:p>
        </w:tc>
        <w:tc>
          <w:tcPr>
            <w:tcW w:w="822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建筑物（包括墙体）所形成的楼地面面积。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2.4.4</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地上规定建筑面积指标</w:t>
            </w:r>
          </w:p>
          <w:p>
            <w:pPr>
              <w:topLinePunct/>
              <w:snapToGrid w:val="0"/>
              <w:spacing w:before="211" w:beforeLines="50"/>
              <w:rPr>
                <w:rFonts w:ascii="宋体" w:hAnsi="宋体"/>
                <w:b/>
                <w:snapToGrid w:val="0"/>
                <w:kern w:val="0"/>
                <w:sz w:val="24"/>
                <w:szCs w:val="24"/>
              </w:rPr>
            </w:pPr>
            <w:r>
              <w:rPr>
                <w:rFonts w:hint="eastAsia" w:ascii="宋体" w:hAnsi="宋体"/>
                <w:snapToGrid w:val="0"/>
                <w:color w:val="auto"/>
                <w:kern w:val="0"/>
                <w:sz w:val="24"/>
                <w:szCs w:val="24"/>
              </w:rPr>
              <w:t>市规划自然资源主管部门在《建设用地规划许可证》和《土地使用权出让合同书》中规定允许建设的地上建筑面积</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2.4.5</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地下规定建筑面积指标</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市规划、土地主管部门在《建设用地规划许可证》和《土地使用权出让合同书》中规定允许建设的地下建筑面积。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2.4.6</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w:t>
            </w:r>
            <w:r>
              <w:rPr>
                <w:rFonts w:ascii="宋体" w:hAnsi="宋体"/>
                <w:b/>
                <w:snapToGrid w:val="0"/>
                <w:kern w:val="0"/>
                <w:sz w:val="24"/>
                <w:szCs w:val="24"/>
              </w:rPr>
              <w:t>/下</w:t>
            </w:r>
            <w:r>
              <w:rPr>
                <w:rFonts w:hint="eastAsia" w:ascii="宋体" w:hAnsi="宋体"/>
                <w:b/>
                <w:snapToGrid w:val="0"/>
                <w:kern w:val="0"/>
                <w:sz w:val="24"/>
                <w:szCs w:val="24"/>
              </w:rPr>
              <w:t>规定建筑面积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在项目设计、实施阶段，经市规划、土地主管部门核定的建筑物地面以上</w:t>
            </w:r>
            <w:r>
              <w:rPr>
                <w:rFonts w:ascii="宋体" w:hAnsi="宋体"/>
                <w:snapToGrid w:val="0"/>
                <w:kern w:val="0"/>
                <w:sz w:val="24"/>
                <w:szCs w:val="24"/>
              </w:rPr>
              <w:t>/下</w:t>
            </w:r>
            <w:r>
              <w:rPr>
                <w:rFonts w:hint="eastAsia" w:ascii="宋体" w:hAnsi="宋体"/>
                <w:snapToGrid w:val="0"/>
                <w:kern w:val="0"/>
                <w:sz w:val="24"/>
                <w:szCs w:val="24"/>
              </w:rPr>
              <w:t>部分实际使用地上</w:t>
            </w:r>
            <w:r>
              <w:rPr>
                <w:rFonts w:ascii="宋体" w:hAnsi="宋体"/>
                <w:snapToGrid w:val="0"/>
                <w:kern w:val="0"/>
                <w:sz w:val="24"/>
                <w:szCs w:val="24"/>
              </w:rPr>
              <w:t>/下</w:t>
            </w:r>
            <w:r>
              <w:rPr>
                <w:rFonts w:hint="eastAsia" w:ascii="宋体" w:hAnsi="宋体"/>
                <w:snapToGrid w:val="0"/>
                <w:kern w:val="0"/>
                <w:sz w:val="24"/>
                <w:szCs w:val="24"/>
              </w:rPr>
              <w:t>规定建筑面积指标的建筑面积。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2.4.7</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w:t>
            </w:r>
            <w:r>
              <w:rPr>
                <w:rFonts w:ascii="宋体" w:hAnsi="宋体"/>
                <w:b/>
                <w:snapToGrid w:val="0"/>
                <w:kern w:val="0"/>
                <w:sz w:val="24"/>
                <w:szCs w:val="24"/>
              </w:rPr>
              <w:t>/下</w:t>
            </w:r>
            <w:r>
              <w:rPr>
                <w:rFonts w:hint="eastAsia" w:ascii="宋体" w:hAnsi="宋体"/>
                <w:b/>
                <w:snapToGrid w:val="0"/>
                <w:kern w:val="0"/>
                <w:sz w:val="24"/>
                <w:szCs w:val="24"/>
              </w:rPr>
              <w:t>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地面以上建筑室外或室内透空空间、凹槽、建筑层高、阳台面积等超过相应规定限值，应占用地上规定建筑面积指标的建筑面积。地面以下建筑层高超过相应规定限值，应占用地下规定建筑面积指标的建筑面积。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2.4.8</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w:t>
            </w:r>
            <w:r>
              <w:rPr>
                <w:rFonts w:ascii="宋体" w:hAnsi="宋体"/>
                <w:b/>
                <w:snapToGrid w:val="0"/>
                <w:kern w:val="0"/>
                <w:sz w:val="24"/>
                <w:szCs w:val="24"/>
              </w:rPr>
              <w:t>/下</w:t>
            </w:r>
            <w:r>
              <w:rPr>
                <w:rFonts w:hint="eastAsia" w:ascii="宋体" w:hAnsi="宋体"/>
                <w:b/>
                <w:snapToGrid w:val="0"/>
                <w:kern w:val="0"/>
                <w:sz w:val="24"/>
                <w:szCs w:val="24"/>
              </w:rPr>
              <w:t>核增建筑面积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市规划主管部门基于保证公众安全、方便公共活动、改善公共环境、鼓励配建机动车停车位等目的，经核定允许在地上</w:t>
            </w:r>
            <w:r>
              <w:rPr>
                <w:rFonts w:ascii="宋体" w:hAnsi="宋体"/>
                <w:snapToGrid w:val="0"/>
                <w:kern w:val="0"/>
                <w:sz w:val="24"/>
                <w:szCs w:val="24"/>
              </w:rPr>
              <w:t>/下</w:t>
            </w:r>
            <w:r>
              <w:rPr>
                <w:rFonts w:hint="eastAsia" w:ascii="宋体" w:hAnsi="宋体"/>
                <w:snapToGrid w:val="0"/>
                <w:kern w:val="0"/>
                <w:sz w:val="24"/>
                <w:szCs w:val="24"/>
              </w:rPr>
              <w:t>规定建筑面积指标以外增建的特定用途的地上</w:t>
            </w:r>
            <w:r>
              <w:rPr>
                <w:rFonts w:ascii="宋体" w:hAnsi="宋体"/>
                <w:snapToGrid w:val="0"/>
                <w:kern w:val="0"/>
                <w:sz w:val="24"/>
                <w:szCs w:val="24"/>
              </w:rPr>
              <w:t>/下</w:t>
            </w:r>
            <w:r>
              <w:rPr>
                <w:rFonts w:hint="eastAsia" w:ascii="宋体" w:hAnsi="宋体"/>
                <w:snapToGrid w:val="0"/>
                <w:kern w:val="0"/>
                <w:sz w:val="24"/>
                <w:szCs w:val="24"/>
              </w:rPr>
              <w:t>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2.4.9</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户内建筑面积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也称为套内建筑面积，是指建筑户门范围内由产权人独立占有和使用的建筑面积，包括户内使用面积、户内墙体面积和户内阳台面积。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2.4.10</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建筑物相邻楼层的地面至楼面或楼面至楼面的</w:t>
            </w:r>
            <w:r>
              <w:rPr>
                <w:rFonts w:hint="eastAsia" w:ascii="宋体" w:hAnsi="宋体"/>
                <w:bCs/>
                <w:snapToGrid w:val="0"/>
                <w:kern w:val="0"/>
                <w:sz w:val="24"/>
                <w:szCs w:val="24"/>
              </w:rPr>
              <w:t>结构面层之间</w:t>
            </w:r>
            <w:r>
              <w:rPr>
                <w:rFonts w:hint="eastAsia" w:ascii="宋体" w:hAnsi="宋体"/>
                <w:snapToGrid w:val="0"/>
                <w:kern w:val="0"/>
                <w:sz w:val="24"/>
                <w:szCs w:val="24"/>
              </w:rPr>
              <w:t>的垂直距离。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2.4.11</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建筑高度比</w:t>
            </w:r>
          </w:p>
          <w:p>
            <w:pPr>
              <w:topLinePunct/>
              <w:snapToGrid w:val="0"/>
              <w:spacing w:before="211" w:beforeLines="50"/>
              <w:rPr>
                <w:rFonts w:ascii="宋体" w:hAnsi="宋体"/>
                <w:b/>
                <w:snapToGrid w:val="0"/>
                <w:kern w:val="0"/>
                <w:sz w:val="24"/>
                <w:szCs w:val="24"/>
              </w:rPr>
            </w:pPr>
            <w:r>
              <w:rPr>
                <w:rFonts w:hint="eastAsia" w:ascii="宋体" w:hAnsi="宋体"/>
                <w:bCs/>
                <w:snapToGrid w:val="0"/>
                <w:kern w:val="0"/>
                <w:sz w:val="24"/>
                <w:szCs w:val="24"/>
              </w:rPr>
              <w:t>指用地内最高建筑与最低建筑的建筑高度（不含女儿墙）比值。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2.4.12</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梁底净高</w:t>
            </w:r>
          </w:p>
          <w:p>
            <w:pPr>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从地面或楼面面层</w:t>
            </w:r>
            <w:r>
              <w:rPr>
                <w:rFonts w:ascii="宋体" w:hAnsi="宋体"/>
                <w:bCs/>
                <w:snapToGrid w:val="0"/>
                <w:kern w:val="0"/>
                <w:sz w:val="24"/>
                <w:szCs w:val="24"/>
              </w:rPr>
              <w:t>(完成面)</w:t>
            </w:r>
            <w:r>
              <w:rPr>
                <w:rFonts w:hint="eastAsia" w:ascii="宋体" w:hAnsi="宋体"/>
                <w:snapToGrid w:val="0"/>
                <w:kern w:val="0"/>
                <w:sz w:val="24"/>
                <w:szCs w:val="24"/>
              </w:rPr>
              <w:t>至上方最大结构梁底面之间的垂直距离。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2.4.1</w:t>
            </w:r>
            <w:r>
              <w:rPr>
                <w:rFonts w:hint="eastAsia" w:ascii="宋体" w:hAnsi="宋体"/>
                <w:b/>
                <w:snapToGrid w:val="0"/>
                <w:kern w:val="0"/>
                <w:sz w:val="24"/>
                <w:szCs w:val="24"/>
              </w:rPr>
              <w:t>3</w:t>
            </w:r>
          </w:p>
        </w:tc>
        <w:tc>
          <w:tcPr>
            <w:tcW w:w="822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地下室顶板埋深</w:t>
            </w:r>
          </w:p>
          <w:p>
            <w:pPr>
              <w:topLinePunct/>
              <w:snapToGrid w:val="0"/>
              <w:spacing w:before="211" w:beforeLines="50"/>
              <w:rPr>
                <w:rFonts w:ascii="宋体" w:hAnsi="宋体"/>
                <w:bCs/>
                <w:snapToGrid w:val="0"/>
                <w:kern w:val="0"/>
                <w:sz w:val="24"/>
                <w:szCs w:val="24"/>
              </w:rPr>
            </w:pPr>
            <w:r>
              <w:rPr>
                <w:rFonts w:ascii="宋体" w:hAnsi="宋体"/>
                <w:snapToGrid w:val="0"/>
                <w:kern w:val="0"/>
                <w:sz w:val="24"/>
                <w:szCs w:val="24"/>
              </w:rPr>
              <w:t>地下</w:t>
            </w:r>
            <w:r>
              <w:rPr>
                <w:rFonts w:hint="eastAsia" w:ascii="宋体" w:hAnsi="宋体"/>
                <w:snapToGrid w:val="0"/>
                <w:kern w:val="0"/>
                <w:sz w:val="24"/>
                <w:szCs w:val="24"/>
              </w:rPr>
              <w:t>室结构顶板面到室外地面最低点的垂直高度。</w:t>
            </w:r>
          </w:p>
        </w:tc>
      </w:tr>
    </w:tbl>
    <w:p>
      <w:pPr>
        <w:topLinePunct/>
        <w:snapToGrid w:val="0"/>
        <w:spacing w:before="211" w:beforeLines="50"/>
        <w:rPr>
          <w:rFonts w:ascii="宋体" w:hAnsi="宋体"/>
          <w:b/>
          <w:snapToGrid w:val="0"/>
          <w:kern w:val="0"/>
          <w:sz w:val="32"/>
          <w:szCs w:val="32"/>
        </w:rPr>
      </w:pPr>
      <w:r>
        <w:rPr>
          <w:rFonts w:hint="eastAsia" w:ascii="宋体" w:hAnsi="宋体"/>
          <w:b/>
          <w:snapToGrid w:val="0"/>
          <w:kern w:val="0"/>
          <w:sz w:val="24"/>
          <w:szCs w:val="24"/>
        </w:rPr>
        <w:t xml:space="preserve">    </w:t>
      </w:r>
      <w:r>
        <w:rPr>
          <w:rFonts w:ascii="宋体" w:hAnsi="宋体"/>
          <w:b/>
          <w:snapToGrid w:val="0"/>
          <w:kern w:val="0"/>
          <w:sz w:val="24"/>
          <w:szCs w:val="24"/>
        </w:rPr>
        <w:t xml:space="preserve">  </w:t>
      </w:r>
      <w:r>
        <w:rPr>
          <w:rFonts w:hint="eastAsia" w:ascii="宋体" w:hAnsi="宋体"/>
          <w:b/>
          <w:snapToGrid w:val="0"/>
          <w:kern w:val="0"/>
          <w:sz w:val="24"/>
          <w:szCs w:val="24"/>
        </w:rPr>
        <w:t xml:space="preserve">    </w:t>
      </w:r>
      <w:r>
        <w:rPr>
          <w:rFonts w:ascii="宋体" w:hAnsi="宋体"/>
          <w:b/>
          <w:snapToGrid w:val="0"/>
          <w:kern w:val="0"/>
          <w:sz w:val="32"/>
          <w:szCs w:val="32"/>
        </w:rP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第3章</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建筑技术经济指标计算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3.1</w:t>
            </w:r>
          </w:p>
        </w:tc>
        <w:tc>
          <w:tcPr>
            <w:tcW w:w="8220"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8"/>
                <w:szCs w:val="28"/>
              </w:rPr>
              <w:t>建筑面积</w:t>
            </w:r>
          </w:p>
          <w:p>
            <w:pPr>
              <w:tabs>
                <w:tab w:val="left" w:pos="1170"/>
              </w:tabs>
              <w:topLinePunct/>
              <w:snapToGrid w:val="0"/>
              <w:spacing w:before="211" w:beforeLines="50"/>
              <w:rPr>
                <w:rStyle w:val="66"/>
                <w:rFonts w:ascii="宋体" w:hAnsi="宋体"/>
                <w:snapToGrid w:val="0"/>
                <w:kern w:val="0"/>
              </w:rPr>
            </w:pPr>
            <w:r>
              <w:rPr>
                <w:rFonts w:hint="eastAsia" w:ascii="宋体" w:hAnsi="宋体"/>
                <w:snapToGrid w:val="0"/>
                <w:kern w:val="0"/>
                <w:sz w:val="24"/>
                <w:szCs w:val="24"/>
              </w:rPr>
              <w:t>层高不小于</w:t>
            </w:r>
            <w:r>
              <w:rPr>
                <w:rFonts w:ascii="宋体" w:hAnsi="宋体"/>
                <w:snapToGrid w:val="0"/>
                <w:kern w:val="0"/>
                <w:sz w:val="24"/>
                <w:szCs w:val="24"/>
              </w:rPr>
              <w:t>2.2m</w:t>
            </w:r>
            <w:r>
              <w:rPr>
                <w:rFonts w:hint="eastAsia" w:ascii="宋体" w:hAnsi="宋体"/>
                <w:snapToGrid w:val="0"/>
                <w:kern w:val="0"/>
                <w:sz w:val="24"/>
                <w:szCs w:val="24"/>
              </w:rPr>
              <w:t>的建筑楼层均应计算建筑面积。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3.1.</w:t>
            </w:r>
            <w:r>
              <w:rPr>
                <w:rFonts w:hint="eastAsia" w:ascii="宋体" w:hAnsi="宋体"/>
                <w:b/>
                <w:snapToGrid w:val="0"/>
                <w:kern w:val="0"/>
                <w:sz w:val="24"/>
                <w:szCs w:val="24"/>
              </w:rPr>
              <w:t>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半地下室建筑面积核定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3.1.</w:t>
            </w:r>
            <w:r>
              <w:rPr>
                <w:rFonts w:hint="eastAsia" w:ascii="宋体" w:hAnsi="宋体"/>
                <w:b/>
                <w:snapToGrid w:val="0"/>
                <w:kern w:val="0"/>
                <w:sz w:val="24"/>
                <w:szCs w:val="24"/>
              </w:rPr>
              <w:t>1</w:t>
            </w:r>
            <w:r>
              <w:rPr>
                <w:rFonts w:ascii="宋体" w:hAnsi="宋体"/>
                <w:b/>
                <w:snapToGrid w:val="0"/>
                <w:kern w:val="0"/>
                <w:sz w:val="24"/>
                <w:szCs w:val="24"/>
              </w:rPr>
              <w:t>.1</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cs="宋体"/>
                <w:snapToGrid w:val="0"/>
                <w:kern w:val="0"/>
                <w:sz w:val="24"/>
                <w:szCs w:val="24"/>
              </w:rPr>
              <w:t>半地下室楼层</w:t>
            </w:r>
            <w:r>
              <w:rPr>
                <w:rFonts w:hint="eastAsia" w:ascii="宋体" w:hAnsi="宋体"/>
                <w:snapToGrid w:val="0"/>
                <w:kern w:val="0"/>
                <w:sz w:val="24"/>
                <w:szCs w:val="24"/>
              </w:rPr>
              <w:t>顶板露出室外地面高度大于</w:t>
            </w:r>
            <w:r>
              <w:rPr>
                <w:rFonts w:ascii="宋体" w:hAnsi="宋体"/>
                <w:snapToGrid w:val="0"/>
                <w:kern w:val="0"/>
                <w:sz w:val="24"/>
                <w:szCs w:val="24"/>
              </w:rPr>
              <w:t>1.5m</w:t>
            </w:r>
            <w:r>
              <w:rPr>
                <w:rFonts w:hint="eastAsia" w:ascii="宋体" w:hAnsi="宋体"/>
                <w:snapToGrid w:val="0"/>
                <w:kern w:val="0"/>
                <w:sz w:val="24"/>
                <w:szCs w:val="24"/>
              </w:rPr>
              <w:t>的区域均用于</w:t>
            </w:r>
            <w:r>
              <w:rPr>
                <w:rFonts w:ascii="宋体" w:hAnsi="宋体"/>
                <w:snapToGrid w:val="0"/>
                <w:kern w:val="0"/>
                <w:sz w:val="24"/>
                <w:szCs w:val="24"/>
              </w:rPr>
              <w:t>3.1.3所</w:t>
            </w:r>
            <w:r>
              <w:rPr>
                <w:rFonts w:hint="eastAsia" w:ascii="宋体" w:hAnsi="宋体"/>
                <w:snapToGrid w:val="0"/>
                <w:kern w:val="0"/>
                <w:sz w:val="24"/>
                <w:szCs w:val="24"/>
              </w:rPr>
              <w:t>述功能时，该层的建筑面积计入地下建筑面积，并按地下室相关要求控制。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3.1.1.2</w:t>
            </w:r>
          </w:p>
        </w:tc>
        <w:tc>
          <w:tcPr>
            <w:tcW w:w="8220"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半地下室楼层</w:t>
            </w:r>
            <w:r>
              <w:rPr>
                <w:rFonts w:hint="eastAsia" w:ascii="宋体" w:hAnsi="宋体"/>
                <w:snapToGrid w:val="0"/>
                <w:kern w:val="0"/>
                <w:sz w:val="24"/>
                <w:szCs w:val="24"/>
              </w:rPr>
              <w:t>顶板露出室外地面高度大于</w:t>
            </w:r>
            <w:r>
              <w:rPr>
                <w:rFonts w:ascii="宋体" w:hAnsi="宋体"/>
                <w:snapToGrid w:val="0"/>
                <w:kern w:val="0"/>
                <w:sz w:val="24"/>
                <w:szCs w:val="24"/>
              </w:rPr>
              <w:t>1.5m的区域用于非</w:t>
            </w:r>
            <w:r>
              <w:rPr>
                <w:rFonts w:hint="eastAsia" w:ascii="宋体" w:hAnsi="宋体"/>
                <w:snapToGrid w:val="0"/>
                <w:kern w:val="0"/>
                <w:sz w:val="24"/>
                <w:szCs w:val="24"/>
              </w:rPr>
              <w:t>3.1.3所述功能时，</w:t>
            </w:r>
            <w:r>
              <w:rPr>
                <w:rFonts w:hint="eastAsia" w:ascii="宋体" w:hAnsi="宋体" w:cs="宋体"/>
                <w:snapToGrid w:val="0"/>
                <w:kern w:val="0"/>
                <w:sz w:val="24"/>
                <w:szCs w:val="24"/>
              </w:rPr>
              <w:t>该层内：</w:t>
            </w:r>
            <w:r>
              <w:rPr>
                <w:rFonts w:hint="eastAsia" w:ascii="宋体" w:hAnsi="宋体"/>
                <w:snapToGrid w:val="0"/>
                <w:kern w:val="0"/>
                <w:sz w:val="24"/>
                <w:szCs w:val="24"/>
              </w:rPr>
              <w:t>用于非</w:t>
            </w:r>
            <w:r>
              <w:rPr>
                <w:rFonts w:ascii="宋体" w:hAnsi="宋体"/>
                <w:snapToGrid w:val="0"/>
                <w:kern w:val="0"/>
                <w:sz w:val="24"/>
                <w:szCs w:val="24"/>
              </w:rPr>
              <w:t>3.1.</w:t>
            </w:r>
            <w:r>
              <w:rPr>
                <w:rFonts w:hint="eastAsia" w:ascii="宋体" w:hAnsi="宋体"/>
                <w:snapToGrid w:val="0"/>
                <w:kern w:val="0"/>
                <w:sz w:val="24"/>
                <w:szCs w:val="24"/>
              </w:rPr>
              <w:t>3所述功能的建筑面积计入地上建筑面积，并参照地上建筑相应功能及其相对于室外地面所在楼层的相关要求控制；用于</w:t>
            </w:r>
            <w:r>
              <w:rPr>
                <w:rFonts w:ascii="宋体" w:hAnsi="宋体"/>
                <w:snapToGrid w:val="0"/>
                <w:kern w:val="0"/>
                <w:sz w:val="24"/>
                <w:szCs w:val="24"/>
              </w:rPr>
              <w:t>3.1.</w:t>
            </w:r>
            <w:r>
              <w:rPr>
                <w:rFonts w:hint="eastAsia" w:ascii="宋体" w:hAnsi="宋体"/>
                <w:snapToGrid w:val="0"/>
                <w:kern w:val="0"/>
                <w:sz w:val="24"/>
                <w:szCs w:val="24"/>
              </w:rPr>
              <w:t>3</w:t>
            </w:r>
            <w:r>
              <w:rPr>
                <w:rFonts w:ascii="宋体" w:hAnsi="宋体"/>
                <w:snapToGrid w:val="0"/>
                <w:kern w:val="0"/>
                <w:sz w:val="24"/>
                <w:szCs w:val="24"/>
              </w:rPr>
              <w:t>所</w:t>
            </w:r>
            <w:r>
              <w:rPr>
                <w:rFonts w:hint="eastAsia" w:ascii="宋体" w:hAnsi="宋体"/>
                <w:snapToGrid w:val="0"/>
                <w:kern w:val="0"/>
                <w:sz w:val="24"/>
                <w:szCs w:val="24"/>
              </w:rPr>
              <w:t>述功能的建筑面积计入地下建筑面积，并按地下室相关要求控制。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地上核增建筑面积核定</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建筑功能符合以下要求的地上建筑空间，建筑面积计入地上核增建筑面积。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城市公共通道</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建筑楼层（包括首层）内，为改善城市公共交通而设置的</w:t>
            </w:r>
            <w:r>
              <w:rPr>
                <w:rFonts w:ascii="宋体" w:hAnsi="宋体"/>
                <w:snapToGrid w:val="0"/>
                <w:kern w:val="0"/>
                <w:sz w:val="24"/>
                <w:szCs w:val="24"/>
              </w:rPr>
              <w:t>24小时</w:t>
            </w:r>
            <w:r>
              <w:rPr>
                <w:rFonts w:hint="eastAsia" w:ascii="宋体" w:hAnsi="宋体"/>
                <w:snapToGrid w:val="0"/>
                <w:kern w:val="0"/>
                <w:sz w:val="24"/>
                <w:szCs w:val="24"/>
              </w:rPr>
              <w:t>免费向所有市民</w:t>
            </w:r>
            <w:r>
              <w:rPr>
                <w:rFonts w:ascii="宋体" w:hAnsi="宋体"/>
                <w:snapToGrid w:val="0"/>
                <w:kern w:val="0"/>
                <w:sz w:val="24"/>
                <w:szCs w:val="24"/>
              </w:rPr>
              <w:t>开放</w:t>
            </w:r>
            <w:r>
              <w:rPr>
                <w:rFonts w:hint="eastAsia" w:ascii="宋体" w:hAnsi="宋体"/>
                <w:snapToGrid w:val="0"/>
                <w:kern w:val="0"/>
                <w:sz w:val="24"/>
                <w:szCs w:val="24"/>
              </w:rPr>
              <w:t>的城市公共通道</w:t>
            </w:r>
            <w:r>
              <w:rPr>
                <w:rFonts w:ascii="宋体" w:hAnsi="宋体"/>
                <w:snapToGrid w:val="0"/>
                <w:kern w:val="0"/>
                <w:sz w:val="24"/>
                <w:szCs w:val="24"/>
              </w:rPr>
              <w:t>，</w:t>
            </w:r>
            <w:r>
              <w:rPr>
                <w:rFonts w:hint="eastAsia" w:ascii="宋体" w:hAnsi="宋体"/>
                <w:snapToGrid w:val="0"/>
                <w:kern w:val="0"/>
                <w:sz w:val="24"/>
                <w:szCs w:val="24"/>
              </w:rPr>
              <w:t>其中车行通道有效宽度不小于</w:t>
            </w:r>
            <w:r>
              <w:rPr>
                <w:rFonts w:ascii="宋体" w:hAnsi="宋体"/>
                <w:snapToGrid w:val="0"/>
                <w:kern w:val="0"/>
                <w:sz w:val="24"/>
                <w:szCs w:val="24"/>
              </w:rPr>
              <w:t>4m</w:t>
            </w:r>
            <w:r>
              <w:rPr>
                <w:rFonts w:hint="eastAsia" w:ascii="宋体" w:hAnsi="宋体"/>
                <w:snapToGrid w:val="0"/>
                <w:kern w:val="0"/>
                <w:sz w:val="24"/>
                <w:szCs w:val="24"/>
              </w:rPr>
              <w:t>，净高不小于</w:t>
            </w:r>
            <w:r>
              <w:rPr>
                <w:rFonts w:ascii="宋体" w:hAnsi="宋体"/>
                <w:snapToGrid w:val="0"/>
                <w:kern w:val="0"/>
                <w:sz w:val="24"/>
                <w:szCs w:val="24"/>
              </w:rPr>
              <w:t>5m</w:t>
            </w:r>
            <w:r>
              <w:rPr>
                <w:rFonts w:hint="eastAsia" w:ascii="宋体" w:hAnsi="宋体"/>
                <w:snapToGrid w:val="0"/>
                <w:kern w:val="0"/>
                <w:sz w:val="24"/>
                <w:szCs w:val="24"/>
              </w:rPr>
              <w:t>；人行通道净宽不小于3.5</w:t>
            </w:r>
            <w:r>
              <w:rPr>
                <w:rFonts w:ascii="宋体" w:hAnsi="宋体"/>
                <w:snapToGrid w:val="0"/>
                <w:kern w:val="0"/>
                <w:sz w:val="24"/>
                <w:szCs w:val="24"/>
              </w:rPr>
              <w:t>m</w:t>
            </w:r>
            <w:r>
              <w:rPr>
                <w:rFonts w:hint="eastAsia" w:ascii="宋体" w:hAnsi="宋体"/>
                <w:snapToGrid w:val="0"/>
                <w:kern w:val="0"/>
                <w:sz w:val="24"/>
                <w:szCs w:val="24"/>
              </w:rPr>
              <w:t>，梁底净高不小于3.6</w:t>
            </w:r>
            <w:r>
              <w:rPr>
                <w:rFonts w:ascii="宋体" w:hAnsi="宋体"/>
                <w:snapToGrid w:val="0"/>
                <w:kern w:val="0"/>
                <w:sz w:val="24"/>
                <w:szCs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架空公共空间</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建筑首层架空或其他楼层与城市公共通道连通的部分架空，作为</w:t>
            </w:r>
            <w:r>
              <w:rPr>
                <w:rFonts w:ascii="宋体" w:hAnsi="宋体"/>
                <w:snapToGrid w:val="0"/>
                <w:kern w:val="0"/>
                <w:sz w:val="24"/>
                <w:szCs w:val="24"/>
              </w:rPr>
              <w:t>24小时</w:t>
            </w:r>
            <w:r>
              <w:rPr>
                <w:rFonts w:hint="eastAsia" w:ascii="宋体" w:hAnsi="宋体"/>
                <w:snapToGrid w:val="0"/>
                <w:kern w:val="0"/>
                <w:sz w:val="24"/>
                <w:szCs w:val="24"/>
              </w:rPr>
              <w:t>免费向所有市民</w:t>
            </w:r>
            <w:r>
              <w:rPr>
                <w:rFonts w:ascii="宋体" w:hAnsi="宋体"/>
                <w:snapToGrid w:val="0"/>
                <w:kern w:val="0"/>
                <w:sz w:val="24"/>
                <w:szCs w:val="24"/>
              </w:rPr>
              <w:t>开放</w:t>
            </w:r>
            <w:r>
              <w:rPr>
                <w:rFonts w:hint="eastAsia" w:ascii="宋体" w:hAnsi="宋体"/>
                <w:snapToGrid w:val="0"/>
                <w:kern w:val="0"/>
                <w:sz w:val="24"/>
                <w:szCs w:val="24"/>
              </w:rPr>
              <w:t>的公共空间</w:t>
            </w:r>
            <w:r>
              <w:rPr>
                <w:rFonts w:ascii="宋体" w:hAnsi="宋体"/>
                <w:snapToGrid w:val="0"/>
                <w:kern w:val="0"/>
                <w:sz w:val="24"/>
                <w:szCs w:val="24"/>
              </w:rPr>
              <w:t>，</w:t>
            </w:r>
            <w:r>
              <w:rPr>
                <w:rFonts w:hint="eastAsia" w:ascii="宋体" w:hAnsi="宋体"/>
                <w:snapToGrid w:val="0"/>
                <w:kern w:val="0"/>
                <w:sz w:val="24"/>
                <w:szCs w:val="24"/>
              </w:rPr>
              <w:t>梁底净高不小于3.6</w:t>
            </w:r>
            <w:r>
              <w:rPr>
                <w:rFonts w:ascii="宋体" w:hAnsi="宋体"/>
                <w:snapToGrid w:val="0"/>
                <w:kern w:val="0"/>
                <w:sz w:val="24"/>
                <w:szCs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骑楼下方空间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沿街或沿城市公共通道一侧，按城市规划要求设置、同时满足以下条件的骑楼下方空间：</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⑴骑楼净宽不小于</w:t>
            </w:r>
            <w:r>
              <w:rPr>
                <w:rFonts w:ascii="宋体" w:hAnsi="宋体"/>
                <w:snapToGrid w:val="0"/>
                <w:kern w:val="0"/>
                <w:sz w:val="24"/>
                <w:szCs w:val="24"/>
              </w:rPr>
              <w:t>2.4m，梁底净高不小于3.6m</w:t>
            </w:r>
            <w:r>
              <w:rPr>
                <w:rFonts w:hint="eastAsia" w:ascii="宋体" w:hAnsi="宋体"/>
                <w:snapToGrid w:val="0"/>
                <w:kern w:val="0"/>
                <w:sz w:val="24"/>
                <w:szCs w:val="24"/>
              </w:rPr>
              <w:t>，且净空范围内无突出的门、窗、招牌、台阶等。</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骑楼地坪标高与其周边的城市人行道一致，且地面铺装符合城市人行道地面标准。</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骑楼上盖至地面的垂直空间范围内无任何形式的结构连梁或连板。</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⑷骑楼沿街侧可按需设置结构柱。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架空停车场</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⑴建筑首层或塔楼底层架空（整层或局部），作为公共或共用停车场。</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⑵除上述楼层外的其他楼层架空，作为公共或共用停车场，其层高不超过</w:t>
            </w:r>
            <w:r>
              <w:rPr>
                <w:rFonts w:ascii="宋体" w:hAnsi="宋体"/>
                <w:snapToGrid w:val="0"/>
                <w:kern w:val="0"/>
                <w:sz w:val="24"/>
                <w:szCs w:val="24"/>
              </w:rPr>
              <w:t>3.9m</w:t>
            </w:r>
            <w:r>
              <w:rPr>
                <w:rFonts w:hint="eastAsia" w:ascii="宋体" w:hAnsi="宋体"/>
                <w:snapToGrid w:val="0"/>
                <w:kern w:val="0"/>
                <w:sz w:val="24"/>
                <w:szCs w:val="24"/>
              </w:rPr>
              <w:t>，且单个</w:t>
            </w:r>
            <w:r>
              <w:rPr>
                <w:rFonts w:ascii="宋体" w:hAnsi="宋体"/>
                <w:snapToGrid w:val="0"/>
                <w:kern w:val="0"/>
                <w:sz w:val="24"/>
                <w:szCs w:val="24"/>
              </w:rPr>
              <w:t>停车位建筑面积</w:t>
            </w:r>
            <w:r>
              <w:rPr>
                <w:rFonts w:hint="eastAsia" w:ascii="宋体" w:hAnsi="宋体"/>
                <w:snapToGrid w:val="0"/>
                <w:kern w:val="0"/>
                <w:sz w:val="24"/>
                <w:szCs w:val="24"/>
              </w:rPr>
              <w:t>符合表3.1.2.4⑵的要求：</w:t>
            </w:r>
          </w:p>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fldChar w:fldCharType="begin"/>
            </w:r>
            <w:r>
              <w:rPr>
                <w:rFonts w:ascii="宋体" w:hAnsi="宋体"/>
                <w:snapToGrid w:val="0"/>
                <w:kern w:val="0"/>
                <w:sz w:val="24"/>
                <w:szCs w:val="24"/>
              </w:rPr>
              <w:instrText xml:space="preserve"> </w:instrText>
            </w:r>
            <w:r>
              <w:rPr>
                <w:rFonts w:hint="eastAsia" w:ascii="宋体" w:hAnsi="宋体"/>
                <w:snapToGrid w:val="0"/>
                <w:kern w:val="0"/>
                <w:sz w:val="24"/>
                <w:szCs w:val="24"/>
              </w:rPr>
              <w:instrText xml:space="preserve">= 3 \* GB2</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hint="eastAsia" w:ascii="宋体" w:hAnsi="宋体"/>
                <w:snapToGrid w:val="0"/>
                <w:kern w:val="0"/>
                <w:sz w:val="24"/>
                <w:szCs w:val="24"/>
              </w:rPr>
              <w:t>⑶</w:t>
            </w:r>
            <w:r>
              <w:rPr>
                <w:rFonts w:ascii="宋体" w:hAnsi="宋体"/>
                <w:snapToGrid w:val="0"/>
                <w:kern w:val="0"/>
                <w:sz w:val="24"/>
                <w:szCs w:val="24"/>
              </w:rPr>
              <w:fldChar w:fldCharType="end"/>
            </w:r>
            <w:r>
              <w:rPr>
                <w:rFonts w:hint="eastAsia" w:ascii="宋体" w:hAnsi="宋体"/>
                <w:snapToGrid w:val="0"/>
                <w:kern w:val="0"/>
                <w:sz w:val="24"/>
                <w:szCs w:val="24"/>
              </w:rPr>
              <w:t>架空停车场专用的围合的电梯井、门厅、过道、楼梯间等建筑空间。</w:t>
            </w:r>
          </w:p>
          <w:p>
            <w:pPr>
              <w:topLinePunct/>
              <w:snapToGrid w:val="0"/>
              <w:spacing w:before="211" w:beforeLines="50"/>
              <w:ind w:left="1050" w:leftChars="500"/>
              <w:jc w:val="center"/>
              <w:rPr>
                <w:rFonts w:ascii="宋体" w:hAnsi="宋体"/>
                <w:snapToGrid w:val="0"/>
                <w:kern w:val="0"/>
              </w:rPr>
            </w:pPr>
            <w:r>
              <w:rPr>
                <w:rFonts w:hint="eastAsia" w:ascii="宋体" w:hAnsi="宋体"/>
                <w:snapToGrid w:val="0"/>
                <w:kern w:val="0"/>
              </w:rPr>
              <w:t>表3.1.2.4⑵</w:t>
            </w:r>
            <w:r>
              <w:rPr>
                <w:rFonts w:ascii="宋体" w:hAnsi="宋体" w:cs="宋体"/>
                <w:snapToGrid w:val="0"/>
                <w:kern w:val="0"/>
              </w:rPr>
              <w:t xml:space="preserve">  </w:t>
            </w:r>
            <w:r>
              <w:rPr>
                <w:rFonts w:hint="eastAsia" w:ascii="宋体" w:hAnsi="宋体" w:cs="宋体"/>
                <w:snapToGrid w:val="0"/>
                <w:kern w:val="0"/>
              </w:rPr>
              <w:t>架空停车场</w:t>
            </w:r>
            <w:r>
              <w:rPr>
                <w:rFonts w:hint="eastAsia" w:ascii="宋体" w:hAnsi="宋体"/>
                <w:snapToGrid w:val="0"/>
                <w:kern w:val="0"/>
              </w:rPr>
              <w:t>停车位建筑面积（按层计算）</w:t>
            </w:r>
          </w:p>
          <w:tbl>
            <w:tblPr>
              <w:tblStyle w:val="19"/>
              <w:tblW w:w="7948" w:type="dxa"/>
              <w:jc w:val="right"/>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3345"/>
              <w:gridCol w:w="924"/>
              <w:gridCol w:w="1378"/>
              <w:gridCol w:w="1378"/>
              <w:gridCol w:w="92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jc w:val="right"/>
              </w:trPr>
              <w:tc>
                <w:tcPr>
                  <w:tcW w:w="3345" w:type="dxa"/>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停车位数量n（辆）</w:t>
                  </w:r>
                </w:p>
              </w:tc>
              <w:tc>
                <w:tcPr>
                  <w:tcW w:w="924"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n＜100</w:t>
                  </w:r>
                </w:p>
              </w:tc>
              <w:tc>
                <w:tcPr>
                  <w:tcW w:w="1378"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100≤n＜300</w:t>
                  </w:r>
                </w:p>
              </w:tc>
              <w:tc>
                <w:tcPr>
                  <w:tcW w:w="1378"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300≤n＜500</w:t>
                  </w:r>
                </w:p>
              </w:tc>
              <w:tc>
                <w:tcPr>
                  <w:tcW w:w="923"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n≥</w:t>
                  </w:r>
                  <w:r>
                    <w:rPr>
                      <w:rFonts w:ascii="仿宋" w:hAnsi="仿宋" w:eastAsia="仿宋"/>
                      <w:snapToGrid w:val="0"/>
                      <w:kern w:val="0"/>
                    </w:rPr>
                    <w:t>500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jc w:val="right"/>
              </w:trPr>
              <w:tc>
                <w:tcPr>
                  <w:tcW w:w="3345" w:type="dxa"/>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停车位建筑面积（</w:t>
                  </w:r>
                  <w:r>
                    <w:rPr>
                      <w:rFonts w:hint="eastAsia" w:ascii="宋体" w:hAnsi="宋体" w:cs="宋体"/>
                      <w:snapToGrid w:val="0"/>
                      <w:kern w:val="0"/>
                    </w:rPr>
                    <w:t>㎡</w:t>
                  </w:r>
                  <w:r>
                    <w:rPr>
                      <w:rFonts w:ascii="宋体" w:hAnsi="宋体"/>
                      <w:snapToGrid w:val="0"/>
                      <w:kern w:val="0"/>
                    </w:rPr>
                    <w:t>/辆</w:t>
                  </w:r>
                  <w:r>
                    <w:rPr>
                      <w:rFonts w:hint="eastAsia" w:ascii="宋体" w:hAnsi="宋体"/>
                      <w:snapToGrid w:val="0"/>
                      <w:kern w:val="0"/>
                    </w:rPr>
                    <w:t>）</w:t>
                  </w:r>
                </w:p>
              </w:tc>
              <w:tc>
                <w:tcPr>
                  <w:tcW w:w="924"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≤52</w:t>
                  </w:r>
                </w:p>
              </w:tc>
              <w:tc>
                <w:tcPr>
                  <w:tcW w:w="1378"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w:t>
                  </w:r>
                  <w:r>
                    <w:rPr>
                      <w:rFonts w:ascii="仿宋" w:hAnsi="仿宋" w:eastAsia="仿宋"/>
                      <w:snapToGrid w:val="0"/>
                      <w:kern w:val="0"/>
                    </w:rPr>
                    <w:t>47</w:t>
                  </w:r>
                </w:p>
              </w:tc>
              <w:tc>
                <w:tcPr>
                  <w:tcW w:w="1378"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w:t>
                  </w:r>
                  <w:r>
                    <w:rPr>
                      <w:rFonts w:ascii="仿宋" w:hAnsi="仿宋" w:eastAsia="仿宋"/>
                      <w:snapToGrid w:val="0"/>
                      <w:kern w:val="0"/>
                    </w:rPr>
                    <w:t>42</w:t>
                  </w:r>
                </w:p>
              </w:tc>
              <w:tc>
                <w:tcPr>
                  <w:tcW w:w="923" w:type="dxa"/>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≤37</w:t>
                  </w:r>
                </w:p>
              </w:tc>
            </w:tr>
          </w:tbl>
          <w:p>
            <w:pPr>
              <w:tabs>
                <w:tab w:val="left" w:pos="1170"/>
              </w:tabs>
              <w:topLinePunct/>
              <w:snapToGrid w:val="0"/>
              <w:spacing w:before="211" w:beforeLines="50"/>
              <w:rPr>
                <w:rFonts w:ascii="宋体" w:hAnsi="宋体"/>
                <w:snapToGrid w:val="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消防避难空间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民用建筑及新型产业建筑的</w:t>
            </w:r>
            <w:r>
              <w:rPr>
                <w:rFonts w:hint="eastAsia" w:ascii="宋体" w:hAnsi="宋体"/>
                <w:snapToGrid w:val="0"/>
                <w:kern w:val="0"/>
                <w:sz w:val="24"/>
                <w:szCs w:val="24"/>
              </w:rPr>
              <w:t>楼层内，按消防规范要求的最大间隔层数（或最大间隔高度）设置的</w:t>
            </w:r>
            <w:r>
              <w:rPr>
                <w:rFonts w:hint="eastAsia" w:ascii="宋体" w:hAnsi="宋体" w:cs="宋体"/>
                <w:snapToGrid w:val="0"/>
                <w:kern w:val="0"/>
                <w:sz w:val="24"/>
                <w:szCs w:val="24"/>
              </w:rPr>
              <w:t>层高不大于6.0</w:t>
            </w:r>
            <w:r>
              <w:rPr>
                <w:rFonts w:ascii="宋体" w:hAnsi="宋体" w:cs="宋体"/>
                <w:snapToGrid w:val="0"/>
                <w:kern w:val="0"/>
                <w:sz w:val="24"/>
                <w:szCs w:val="24"/>
              </w:rPr>
              <w:t>m</w:t>
            </w:r>
            <w:r>
              <w:rPr>
                <w:rFonts w:hint="eastAsia" w:ascii="宋体" w:hAnsi="宋体" w:cs="宋体"/>
                <w:snapToGrid w:val="0"/>
                <w:kern w:val="0"/>
                <w:sz w:val="24"/>
                <w:szCs w:val="24"/>
              </w:rPr>
              <w:t>的</w:t>
            </w:r>
            <w:r>
              <w:rPr>
                <w:rFonts w:hint="eastAsia" w:ascii="宋体" w:hAnsi="宋体"/>
                <w:snapToGrid w:val="0"/>
                <w:kern w:val="0"/>
                <w:sz w:val="24"/>
                <w:szCs w:val="24"/>
              </w:rPr>
              <w:t>避难层中，专用于消防避难的建筑面积。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3.1.2.6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架空绿化休闲</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⑴民用建筑及新型产业</w:t>
            </w:r>
            <w:r>
              <w:rPr>
                <w:rFonts w:hint="eastAsia" w:ascii="宋体" w:hAnsi="宋体"/>
                <w:snapToGrid w:val="0"/>
                <w:kern w:val="0"/>
                <w:sz w:val="24"/>
                <w:szCs w:val="24"/>
              </w:rPr>
              <w:t>建筑首层或塔楼底层</w:t>
            </w:r>
            <w:r>
              <w:rPr>
                <w:rFonts w:hint="eastAsia" w:ascii="宋体" w:hAnsi="宋体" w:cs="宋体"/>
                <w:snapToGrid w:val="0"/>
                <w:kern w:val="0"/>
                <w:sz w:val="24"/>
                <w:szCs w:val="24"/>
              </w:rPr>
              <w:t>架空（整层或局部）、</w:t>
            </w:r>
            <w:r>
              <w:rPr>
                <w:rFonts w:hint="eastAsia" w:ascii="宋体" w:hAnsi="宋体"/>
                <w:snapToGrid w:val="0"/>
                <w:kern w:val="0"/>
                <w:sz w:val="24"/>
                <w:szCs w:val="24"/>
              </w:rPr>
              <w:t>其他楼层整层架空，作为公共绿化或公众休闲活动场地，梁底净高不小于</w:t>
            </w:r>
            <w:r>
              <w:rPr>
                <w:rFonts w:ascii="宋体" w:hAnsi="宋体"/>
                <w:snapToGrid w:val="0"/>
                <w:kern w:val="0"/>
                <w:sz w:val="24"/>
                <w:szCs w:val="24"/>
              </w:rPr>
              <w:t>3.6m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住宅、宿舍建筑内，除建筑首层或塔楼底层以外的其他</w:t>
            </w:r>
            <w:r>
              <w:rPr>
                <w:rFonts w:ascii="宋体" w:hAnsi="宋体" w:cs="宋体"/>
                <w:snapToGrid w:val="0"/>
                <w:kern w:val="0"/>
                <w:sz w:val="24"/>
                <w:szCs w:val="24"/>
              </w:rPr>
              <w:t>楼层</w:t>
            </w:r>
            <w:r>
              <w:rPr>
                <w:rFonts w:hint="eastAsia" w:ascii="宋体" w:hAnsi="宋体" w:cs="宋体"/>
                <w:snapToGrid w:val="0"/>
                <w:kern w:val="0"/>
                <w:sz w:val="24"/>
                <w:szCs w:val="24"/>
              </w:rPr>
              <w:t>局部</w:t>
            </w:r>
            <w:r>
              <w:rPr>
                <w:rFonts w:hint="eastAsia" w:ascii="宋体" w:hAnsi="宋体"/>
                <w:snapToGrid w:val="0"/>
                <w:kern w:val="0"/>
                <w:sz w:val="24"/>
                <w:szCs w:val="24"/>
              </w:rPr>
              <w:t>架空</w:t>
            </w:r>
            <w:r>
              <w:rPr>
                <w:rFonts w:hint="eastAsia" w:ascii="宋体" w:hAnsi="宋体" w:cs="宋体"/>
                <w:snapToGrid w:val="0"/>
                <w:kern w:val="0"/>
                <w:sz w:val="24"/>
                <w:szCs w:val="24"/>
              </w:rPr>
              <w:t>，</w:t>
            </w:r>
            <w:r>
              <w:rPr>
                <w:rFonts w:hint="eastAsia" w:ascii="宋体" w:hAnsi="宋体"/>
                <w:snapToGrid w:val="0"/>
                <w:kern w:val="0"/>
                <w:sz w:val="24"/>
                <w:szCs w:val="24"/>
              </w:rPr>
              <w:t>作为公共绿化或公众休闲活动场地，同时满足以下条件：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①每层</w:t>
            </w:r>
            <w:r>
              <w:rPr>
                <w:rFonts w:hint="eastAsia" w:ascii="宋体" w:hAnsi="宋体" w:cs="宋体"/>
                <w:snapToGrid w:val="0"/>
                <w:kern w:val="0"/>
                <w:sz w:val="24"/>
                <w:szCs w:val="24"/>
              </w:rPr>
              <w:t>每个交通单元内的户数不少于</w:t>
            </w:r>
            <w:r>
              <w:rPr>
                <w:rFonts w:ascii="宋体" w:hAnsi="宋体" w:cs="宋体"/>
                <w:snapToGrid w:val="0"/>
                <w:kern w:val="0"/>
                <w:sz w:val="24"/>
                <w:szCs w:val="24"/>
              </w:rPr>
              <w:t>6户</w:t>
            </w:r>
            <w:r>
              <w:rPr>
                <w:rFonts w:hint="eastAsia" w:ascii="宋体" w:hAnsi="宋体" w:cs="宋体"/>
                <w:snapToGrid w:val="0"/>
                <w:kern w:val="0"/>
                <w:sz w:val="24"/>
                <w:szCs w:val="24"/>
              </w:rPr>
              <w:t>。</w:t>
            </w:r>
          </w:p>
          <w:p>
            <w:pPr>
              <w:tabs>
                <w:tab w:val="left" w:pos="1170"/>
              </w:tabs>
              <w:topLinePunct/>
              <w:snapToGrid w:val="0"/>
              <w:rPr>
                <w:rFonts w:ascii="宋体" w:hAnsi="宋体"/>
                <w:snapToGrid w:val="0"/>
                <w:kern w:val="0"/>
                <w:sz w:val="24"/>
                <w:szCs w:val="24"/>
              </w:rPr>
            </w:pPr>
            <w:r>
              <w:rPr>
                <w:rFonts w:hint="eastAsia" w:ascii="宋体" w:hAnsi="宋体"/>
                <w:snapToGrid w:val="0"/>
                <w:kern w:val="0"/>
                <w:sz w:val="24"/>
                <w:szCs w:val="24"/>
              </w:rPr>
              <w:t>②架空空间在楼层内集中设置，每个交通单元不超过一处，且与公共交通空间直接毗邻。</w:t>
            </w:r>
          </w:p>
          <w:p>
            <w:pPr>
              <w:tabs>
                <w:tab w:val="left" w:pos="1170"/>
              </w:tabs>
              <w:topLinePunct/>
              <w:snapToGrid w:val="0"/>
              <w:rPr>
                <w:rFonts w:ascii="宋体" w:hAnsi="宋体"/>
                <w:snapToGrid w:val="0"/>
                <w:kern w:val="0"/>
                <w:sz w:val="24"/>
                <w:szCs w:val="24"/>
              </w:rPr>
            </w:pPr>
            <w:r>
              <w:rPr>
                <w:rFonts w:hint="eastAsia" w:ascii="宋体" w:hAnsi="宋体"/>
                <w:snapToGrid w:val="0"/>
                <w:kern w:val="0"/>
                <w:sz w:val="24"/>
                <w:szCs w:val="24"/>
              </w:rPr>
              <w:t>③</w:t>
            </w:r>
            <w:r>
              <w:rPr>
                <w:rFonts w:hint="eastAsia" w:ascii="宋体" w:hAnsi="宋体"/>
                <w:snapToGrid w:val="0"/>
                <w:spacing w:val="-6"/>
                <w:kern w:val="0"/>
                <w:sz w:val="24"/>
                <w:szCs w:val="24"/>
              </w:rPr>
              <w:t>架空高度不少于3个标准层，且架空范围内无水平方向的结构连梁或连板</w:t>
            </w:r>
            <w:r>
              <w:rPr>
                <w:rFonts w:ascii="宋体" w:hAnsi="宋体"/>
                <w:snapToGrid w:val="0"/>
                <w:spacing w:val="-6"/>
                <w:kern w:val="0"/>
                <w:sz w:val="24"/>
                <w:szCs w:val="24"/>
              </w:rPr>
              <w:t>。</w:t>
            </w:r>
          </w:p>
          <w:p>
            <w:pPr>
              <w:tabs>
                <w:tab w:val="left" w:pos="1170"/>
              </w:tabs>
              <w:topLinePunct/>
              <w:snapToGrid w:val="0"/>
              <w:rPr>
                <w:rFonts w:ascii="宋体" w:hAnsi="宋体"/>
                <w:snapToGrid w:val="0"/>
                <w:kern w:val="0"/>
                <w:sz w:val="24"/>
                <w:szCs w:val="24"/>
              </w:rPr>
            </w:pPr>
            <w:r>
              <w:rPr>
                <w:rFonts w:hint="eastAsia" w:ascii="宋体" w:hAnsi="宋体"/>
                <w:snapToGrid w:val="0"/>
                <w:kern w:val="0"/>
                <w:sz w:val="24"/>
                <w:szCs w:val="24"/>
              </w:rPr>
              <w:t>④架空空间进深不小于3m、面宽不小于6m，且对外开敞面的边长不小于架空空间水平周长的1/3。</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⑶除上款以外其它民用建筑及新型产业建筑，除建筑首层或塔楼底层以外的其他楼层局部架空，作为公共绿化或公众休闲活动场地，同时满足以下条件：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架空空间进深不小于6m、面宽不小于9m，且对外开敞面的边长不小于架空空间水平周长的1/4，梁底净高不小于</w:t>
            </w:r>
            <w:r>
              <w:rPr>
                <w:rFonts w:ascii="宋体" w:hAnsi="宋体"/>
                <w:snapToGrid w:val="0"/>
                <w:kern w:val="0"/>
                <w:sz w:val="24"/>
                <w:szCs w:val="24"/>
              </w:rPr>
              <w:t>3.6m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w:t>
            </w:r>
            <w:r>
              <w:rPr>
                <w:rFonts w:hint="eastAsia" w:ascii="宋体" w:hAnsi="宋体" w:cs="宋体"/>
                <w:snapToGrid w:val="0"/>
                <w:kern w:val="0"/>
                <w:sz w:val="24"/>
                <w:szCs w:val="24"/>
              </w:rPr>
              <w:t>民用建筑及新型产业建筑的</w:t>
            </w:r>
            <w:r>
              <w:rPr>
                <w:rFonts w:hint="eastAsia" w:ascii="宋体" w:hAnsi="宋体"/>
                <w:snapToGrid w:val="0"/>
                <w:kern w:val="0"/>
                <w:sz w:val="24"/>
                <w:szCs w:val="24"/>
              </w:rPr>
              <w:t>楼层内，与3.1.2.5所述消防避难空间结合设置，架空作为公共绿化或公众休闲活动场地。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除建筑首层或塔楼底层以外的其他楼层中，计地上核增建筑面积的消防避难及架空绿化休闲空间的总建筑面积，建筑高度100m以下不得超过所在栋（座）总规定建筑面积的5%、建筑高度100m—250 m之间不得超过所在栋（座）总规定建筑面积的7%、建筑高度250 m以上不得超过所在栋（座）总规定建筑面积的8%。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3.1.2.7</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风雨连廊</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color w:val="auto"/>
                <w:kern w:val="0"/>
                <w:sz w:val="24"/>
                <w:szCs w:val="24"/>
              </w:rPr>
              <w:t>建筑首层或塔楼底层连通各栋（座）间无围护结构的共用连廊</w:t>
            </w:r>
            <w:r>
              <w:rPr>
                <w:rFonts w:ascii="宋体" w:hAnsi="宋体"/>
                <w:snapToGrid w:val="0"/>
                <w:color w:val="auto"/>
                <w:kern w:val="0"/>
                <w:sz w:val="24"/>
                <w:szCs w:val="24"/>
              </w:rPr>
              <w:t>，</w:t>
            </w:r>
            <w:r>
              <w:rPr>
                <w:rFonts w:hint="eastAsia" w:ascii="宋体" w:hAnsi="宋体"/>
                <w:snapToGrid w:val="0"/>
                <w:color w:val="auto"/>
                <w:kern w:val="0"/>
                <w:sz w:val="24"/>
                <w:szCs w:val="24"/>
              </w:rPr>
              <w:t>净宽不小于1.5</w:t>
            </w:r>
            <w:r>
              <w:rPr>
                <w:rFonts w:ascii="宋体" w:hAnsi="宋体"/>
                <w:snapToGrid w:val="0"/>
                <w:color w:val="auto"/>
                <w:kern w:val="0"/>
                <w:sz w:val="24"/>
                <w:szCs w:val="24"/>
              </w:rPr>
              <w:t>m</w:t>
            </w:r>
            <w:r>
              <w:rPr>
                <w:rFonts w:hint="eastAsia" w:ascii="宋体" w:hAnsi="宋体"/>
                <w:snapToGrid w:val="0"/>
                <w:color w:val="auto"/>
                <w:kern w:val="0"/>
                <w:sz w:val="24"/>
                <w:szCs w:val="24"/>
              </w:rPr>
              <w:t>，梁底净高不小于3.0</w:t>
            </w:r>
            <w:r>
              <w:rPr>
                <w:rFonts w:ascii="宋体" w:hAnsi="宋体"/>
                <w:snapToGrid w:val="0"/>
                <w:color w:val="auto"/>
                <w:kern w:val="0"/>
                <w:sz w:val="24"/>
                <w:szCs w:val="24"/>
              </w:rPr>
              <w:t>m</w:t>
            </w:r>
            <w:r>
              <w:rPr>
                <w:rFonts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地下核增建筑面积核定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建筑功能符合以下要求的地下建筑空间，建筑面积计入地下核增建筑面积。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3.1.3.1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城市公共通道</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地下空间内为改善城市公共交通而设置的</w:t>
            </w:r>
            <w:r>
              <w:rPr>
                <w:rFonts w:ascii="宋体" w:hAnsi="宋体"/>
                <w:snapToGrid w:val="0"/>
                <w:kern w:val="0"/>
                <w:sz w:val="24"/>
                <w:szCs w:val="24"/>
              </w:rPr>
              <w:t>24小时</w:t>
            </w:r>
            <w:r>
              <w:rPr>
                <w:rFonts w:hint="eastAsia" w:ascii="宋体" w:hAnsi="宋体"/>
                <w:snapToGrid w:val="0"/>
                <w:kern w:val="0"/>
                <w:sz w:val="24"/>
                <w:szCs w:val="24"/>
              </w:rPr>
              <w:t>免费向所有市民</w:t>
            </w:r>
            <w:r>
              <w:rPr>
                <w:rFonts w:ascii="宋体" w:hAnsi="宋体"/>
                <w:snapToGrid w:val="0"/>
                <w:kern w:val="0"/>
                <w:sz w:val="24"/>
                <w:szCs w:val="24"/>
              </w:rPr>
              <w:t>开放</w:t>
            </w:r>
            <w:r>
              <w:rPr>
                <w:rFonts w:hint="eastAsia" w:ascii="宋体" w:hAnsi="宋体"/>
                <w:snapToGrid w:val="0"/>
                <w:kern w:val="0"/>
                <w:sz w:val="24"/>
                <w:szCs w:val="24"/>
              </w:rPr>
              <w:t>的城市公共通道</w:t>
            </w:r>
            <w:r>
              <w:rPr>
                <w:rFonts w:ascii="宋体" w:hAnsi="宋体"/>
                <w:snapToGrid w:val="0"/>
                <w:kern w:val="0"/>
                <w:sz w:val="24"/>
                <w:szCs w:val="24"/>
              </w:rPr>
              <w:t>，</w:t>
            </w:r>
            <w:r>
              <w:rPr>
                <w:rFonts w:hint="eastAsia" w:ascii="宋体" w:hAnsi="宋体"/>
                <w:snapToGrid w:val="0"/>
                <w:kern w:val="0"/>
                <w:sz w:val="24"/>
                <w:szCs w:val="24"/>
              </w:rPr>
              <w:t>净宽不小于6</w:t>
            </w:r>
            <w:r>
              <w:rPr>
                <w:rFonts w:ascii="宋体" w:hAnsi="宋体"/>
                <w:snapToGrid w:val="0"/>
                <w:kern w:val="0"/>
                <w:sz w:val="24"/>
                <w:szCs w:val="24"/>
              </w:rPr>
              <w:t>m</w:t>
            </w:r>
            <w:r>
              <w:rPr>
                <w:rFonts w:hint="eastAsia" w:ascii="宋体" w:hAnsi="宋体"/>
                <w:snapToGrid w:val="0"/>
                <w:kern w:val="0"/>
                <w:sz w:val="24"/>
                <w:szCs w:val="24"/>
              </w:rPr>
              <w:t>，梁底净高不小于3</w:t>
            </w:r>
            <w:r>
              <w:rPr>
                <w:rFonts w:ascii="宋体" w:hAnsi="宋体"/>
                <w:snapToGrid w:val="0"/>
                <w:kern w:val="0"/>
                <w:sz w:val="24"/>
                <w:szCs w:val="24"/>
              </w:rPr>
              <w:t>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3.1.3.2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附属公用设施用房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⑴用于</w:t>
            </w:r>
            <w:r>
              <w:rPr>
                <w:rFonts w:hint="eastAsia" w:ascii="宋体" w:hAnsi="宋体"/>
                <w:snapToGrid w:val="0"/>
                <w:kern w:val="0"/>
                <w:sz w:val="24"/>
                <w:szCs w:val="24"/>
              </w:rPr>
              <w:t>人防、公用设备用房（水泵房、发电机房、变配电房、通信机房、锅炉房、空调机房、制冷机房等）、公用或共用停车库等。</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⑵用于</w:t>
            </w:r>
            <w:r>
              <w:rPr>
                <w:rFonts w:hint="eastAsia" w:ascii="宋体" w:hAnsi="宋体"/>
                <w:snapToGrid w:val="0"/>
                <w:kern w:val="0"/>
                <w:sz w:val="24"/>
                <w:szCs w:val="24"/>
              </w:rPr>
              <w:t>防灾、防护工程，以及为其独立使用的材料存储室等。</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⑶用于到达上述空间所必需的地下交通空间，具体包括楼（电）梯间、门厅等。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3.1.3.3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架空公共空间</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spacing w:val="-4"/>
                <w:kern w:val="0"/>
                <w:sz w:val="24"/>
                <w:szCs w:val="24"/>
              </w:rPr>
              <w:t>地下室楼层内与城市公共通道及室外空间直接连通的部分架空，作为</w:t>
            </w:r>
            <w:r>
              <w:rPr>
                <w:rFonts w:ascii="宋体" w:hAnsi="宋体"/>
                <w:snapToGrid w:val="0"/>
                <w:spacing w:val="-4"/>
                <w:kern w:val="0"/>
                <w:sz w:val="24"/>
                <w:szCs w:val="24"/>
              </w:rPr>
              <w:t>24小时</w:t>
            </w:r>
            <w:r>
              <w:rPr>
                <w:rFonts w:hint="eastAsia" w:ascii="宋体" w:hAnsi="宋体"/>
                <w:snapToGrid w:val="0"/>
                <w:spacing w:val="-4"/>
                <w:kern w:val="0"/>
                <w:sz w:val="24"/>
                <w:szCs w:val="24"/>
              </w:rPr>
              <w:t>免费向所有市民</w:t>
            </w:r>
            <w:r>
              <w:rPr>
                <w:rFonts w:ascii="宋体" w:hAnsi="宋体"/>
                <w:snapToGrid w:val="0"/>
                <w:spacing w:val="-4"/>
                <w:kern w:val="0"/>
                <w:sz w:val="24"/>
                <w:szCs w:val="24"/>
              </w:rPr>
              <w:t>开放</w:t>
            </w:r>
            <w:r>
              <w:rPr>
                <w:rFonts w:hint="eastAsia" w:ascii="宋体" w:hAnsi="宋体"/>
                <w:snapToGrid w:val="0"/>
                <w:spacing w:val="-4"/>
                <w:kern w:val="0"/>
                <w:sz w:val="24"/>
                <w:szCs w:val="24"/>
              </w:rPr>
              <w:t>的公共空间，梁底净高不小于3.6</w:t>
            </w:r>
            <w:r>
              <w:rPr>
                <w:rFonts w:ascii="宋体" w:hAnsi="宋体"/>
                <w:snapToGrid w:val="0"/>
                <w:spacing w:val="-4"/>
                <w:kern w:val="0"/>
                <w:sz w:val="24"/>
                <w:szCs w:val="24"/>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3.1.3.4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架空绿化休闲</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color w:val="auto"/>
                <w:kern w:val="0"/>
                <w:sz w:val="24"/>
                <w:szCs w:val="24"/>
              </w:rPr>
              <w:t>民用建筑及新型产业建筑地下室楼层内与室外空间直接连通的部分架空，作为公共绿化或公众休闲活动场地，梁底净高不小于</w:t>
            </w:r>
            <w:r>
              <w:rPr>
                <w:rFonts w:ascii="宋体" w:hAnsi="宋体"/>
                <w:snapToGrid w:val="0"/>
                <w:color w:val="auto"/>
                <w:kern w:val="0"/>
                <w:sz w:val="24"/>
                <w:szCs w:val="24"/>
              </w:rPr>
              <w:t>3.6m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3.1.3.5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供地下核增空间出首层地面的公共交通、风井等必要辅助空间，且露天独立设置或与其它核增建筑空间合并设置。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地上规定建筑面积核定</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建筑功能属于以下情形的地上建筑空间，建筑面积计入地上规定建筑面积。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3.1.4.</w:t>
            </w:r>
            <w:r>
              <w:rPr>
                <w:rFonts w:hint="eastAsia" w:ascii="宋体" w:hAnsi="宋体"/>
                <w:b/>
                <w:snapToGrid w:val="0"/>
                <w:kern w:val="0"/>
                <w:sz w:val="24"/>
                <w:szCs w:val="24"/>
              </w:rPr>
              <w:t>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不符合</w:t>
            </w:r>
            <w:r>
              <w:rPr>
                <w:rFonts w:ascii="宋体" w:hAnsi="宋体"/>
                <w:snapToGrid w:val="0"/>
                <w:kern w:val="0"/>
                <w:sz w:val="24"/>
                <w:szCs w:val="24"/>
              </w:rPr>
              <w:t>3.1.</w:t>
            </w:r>
            <w:r>
              <w:rPr>
                <w:rFonts w:hint="eastAsia" w:ascii="宋体" w:hAnsi="宋体"/>
                <w:snapToGrid w:val="0"/>
                <w:kern w:val="0"/>
                <w:sz w:val="24"/>
                <w:szCs w:val="24"/>
              </w:rPr>
              <w:t>2规定情形的其他地上建筑面积。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3.1.4.</w:t>
            </w:r>
            <w:r>
              <w:rPr>
                <w:rFonts w:hint="eastAsia"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计入地上核增建筑面积的楼层内，设备房以及非停车场（库）专用的围合的电梯井、门厅、过道、楼梯间等建筑空间。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w:t>
            </w:r>
            <w:r>
              <w:rPr>
                <w:rFonts w:ascii="宋体" w:hAnsi="宋体"/>
                <w:b/>
                <w:snapToGrid w:val="0"/>
                <w:kern w:val="0"/>
                <w:sz w:val="24"/>
                <w:szCs w:val="24"/>
              </w:rPr>
              <w:t>.</w:t>
            </w:r>
            <w:r>
              <w:rPr>
                <w:rFonts w:hint="eastAsia" w:ascii="宋体" w:hAnsi="宋体"/>
                <w:b/>
                <w:snapToGrid w:val="0"/>
                <w:kern w:val="0"/>
                <w:sz w:val="24"/>
                <w:szCs w:val="24"/>
              </w:rPr>
              <w:t>1</w:t>
            </w:r>
            <w:r>
              <w:rPr>
                <w:rFonts w:ascii="宋体" w:hAnsi="宋体"/>
                <w:b/>
                <w:snapToGrid w:val="0"/>
                <w:kern w:val="0"/>
                <w:sz w:val="24"/>
                <w:szCs w:val="24"/>
              </w:rPr>
              <w:t>.</w:t>
            </w:r>
            <w:r>
              <w:rPr>
                <w:rFonts w:hint="eastAsia" w:ascii="宋体" w:hAnsi="宋体"/>
                <w:b/>
                <w:snapToGrid w:val="0"/>
                <w:kern w:val="0"/>
                <w:sz w:val="24"/>
                <w:szCs w:val="24"/>
              </w:rPr>
              <w:t>4</w:t>
            </w:r>
            <w:r>
              <w:rPr>
                <w:rFonts w:ascii="宋体" w:hAnsi="宋体"/>
                <w:b/>
                <w:snapToGrid w:val="0"/>
                <w:kern w:val="0"/>
                <w:sz w:val="24"/>
                <w:szCs w:val="24"/>
              </w:rPr>
              <w:t>.</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在</w:t>
            </w:r>
            <w:r>
              <w:rPr>
                <w:rFonts w:ascii="宋体" w:hAnsi="宋体"/>
                <w:snapToGrid w:val="0"/>
                <w:kern w:val="0"/>
                <w:sz w:val="24"/>
                <w:szCs w:val="24"/>
              </w:rPr>
              <w:t>3.1.2.5</w:t>
            </w:r>
            <w:r>
              <w:rPr>
                <w:rFonts w:hint="eastAsia" w:ascii="宋体" w:hAnsi="宋体"/>
                <w:snapToGrid w:val="0"/>
                <w:kern w:val="0"/>
                <w:sz w:val="24"/>
                <w:szCs w:val="24"/>
              </w:rPr>
              <w:t>规定允许计入地上核增建筑面积的避难层之外，另行增设的避难层，层内建筑面积全部计入地上规定建筑面积。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地下规定建筑面积</w:t>
            </w:r>
            <w:r>
              <w:rPr>
                <w:rFonts w:hint="eastAsia" w:ascii="宋体" w:hAnsi="宋体"/>
                <w:b/>
                <w:snapToGrid w:val="0"/>
                <w:kern w:val="0"/>
                <w:sz w:val="24"/>
                <w:szCs w:val="24"/>
              </w:rPr>
              <w:t>核定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建筑功能属于以下情形的地下建筑空间，建筑面积计入地下规定建筑面积。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3.1.5.1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不符合</w:t>
            </w:r>
            <w:r>
              <w:rPr>
                <w:rFonts w:ascii="宋体" w:hAnsi="宋体"/>
                <w:snapToGrid w:val="0"/>
                <w:kern w:val="0"/>
                <w:sz w:val="24"/>
                <w:szCs w:val="24"/>
              </w:rPr>
              <w:t>3.1.3</w:t>
            </w:r>
            <w:r>
              <w:rPr>
                <w:rFonts w:hint="eastAsia" w:ascii="宋体" w:hAnsi="宋体"/>
                <w:snapToGrid w:val="0"/>
                <w:kern w:val="0"/>
                <w:sz w:val="24"/>
                <w:szCs w:val="24"/>
              </w:rPr>
              <w:t>规定情形的其他地下建筑面积。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3.1.5.2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住宅中为两户及以下户型使用的地下室建筑面积。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地上</w:t>
            </w:r>
            <w:r>
              <w:rPr>
                <w:rFonts w:ascii="宋体" w:hAnsi="宋体"/>
                <w:b/>
                <w:snapToGrid w:val="0"/>
                <w:kern w:val="0"/>
                <w:sz w:val="24"/>
                <w:szCs w:val="24"/>
              </w:rPr>
              <w:t>/下</w:t>
            </w:r>
            <w:r>
              <w:rPr>
                <w:rFonts w:hint="eastAsia" w:ascii="宋体" w:hAnsi="宋体"/>
                <w:b/>
                <w:snapToGrid w:val="0"/>
                <w:kern w:val="0"/>
                <w:sz w:val="24"/>
                <w:szCs w:val="24"/>
              </w:rPr>
              <w:t>核减建筑面积核定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建筑功能属于以下情形的建筑空间，建筑面积计入地上</w:t>
            </w:r>
            <w:r>
              <w:rPr>
                <w:rFonts w:ascii="宋体" w:hAnsi="宋体"/>
                <w:snapToGrid w:val="0"/>
                <w:kern w:val="0"/>
                <w:sz w:val="24"/>
                <w:szCs w:val="24"/>
              </w:rPr>
              <w:t>/下</w:t>
            </w:r>
            <w:r>
              <w:rPr>
                <w:rFonts w:hint="eastAsia" w:ascii="宋体" w:hAnsi="宋体"/>
                <w:snapToGrid w:val="0"/>
                <w:kern w:val="0"/>
                <w:sz w:val="24"/>
                <w:szCs w:val="24"/>
              </w:rPr>
              <w:t>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尺度超过规定限值的非功能性凹槽计入地上核减建筑面积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住宅、宿舍建筑的非功能性凹槽有以下情形的，其按层计算的投影面积全部计入地上核减建筑面积：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⑴凹槽进深超过</w:t>
            </w:r>
            <w:r>
              <w:rPr>
                <w:rFonts w:ascii="宋体" w:hAnsi="宋体"/>
                <w:snapToGrid w:val="0"/>
                <w:kern w:val="0"/>
                <w:sz w:val="24"/>
                <w:szCs w:val="24"/>
              </w:rPr>
              <w:t>1.5m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⑵凹槽进深不超过</w:t>
            </w:r>
            <w:r>
              <w:rPr>
                <w:rFonts w:ascii="宋体" w:hAnsi="宋体"/>
                <w:snapToGrid w:val="0"/>
                <w:kern w:val="0"/>
                <w:sz w:val="24"/>
                <w:szCs w:val="24"/>
              </w:rPr>
              <w:t>1.5m，</w:t>
            </w:r>
            <w:r>
              <w:rPr>
                <w:rFonts w:hint="eastAsia" w:ascii="宋体" w:hAnsi="宋体"/>
                <w:snapToGrid w:val="0"/>
                <w:kern w:val="0"/>
                <w:sz w:val="24"/>
                <w:szCs w:val="24"/>
              </w:rPr>
              <w:t>但面宽与进深之比小于</w:t>
            </w:r>
            <w:r>
              <w:rPr>
                <w:rFonts w:ascii="宋体" w:hAnsi="宋体"/>
                <w:snapToGrid w:val="0"/>
                <w:kern w:val="0"/>
                <w:sz w:val="24"/>
                <w:szCs w:val="24"/>
              </w:rPr>
              <w:t>2</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⑶凹槽内</w:t>
            </w:r>
            <w:r>
              <w:rPr>
                <w:rFonts w:hint="eastAsia" w:ascii="宋体" w:hAnsi="宋体" w:cs="Arial Unicode MS"/>
                <w:snapToGrid w:val="0"/>
                <w:kern w:val="0"/>
                <w:sz w:val="24"/>
                <w:szCs w:val="24"/>
              </w:rPr>
              <w:t>设置的阳台或两户及以下使用的外走廊，其</w:t>
            </w:r>
            <w:r>
              <w:rPr>
                <w:rFonts w:hint="eastAsia" w:ascii="宋体" w:hAnsi="宋体"/>
                <w:snapToGrid w:val="0"/>
                <w:kern w:val="0"/>
                <w:sz w:val="24"/>
                <w:szCs w:val="24"/>
              </w:rPr>
              <w:t>进深与凹槽进深之和超过</w:t>
            </w:r>
            <w:r>
              <w:rPr>
                <w:rFonts w:ascii="宋体" w:hAnsi="宋体"/>
                <w:snapToGrid w:val="0"/>
                <w:kern w:val="0"/>
                <w:sz w:val="24"/>
                <w:szCs w:val="24"/>
              </w:rPr>
              <w:t>2.4m。</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凹槽进深是指计建筑面积的建筑外墙（窗）的最大凹入深度；凹槽的投影面积，以凹槽内的建筑外墙（窗）或阳台计建筑面积线外缘至凹槽外顶点</w:t>
            </w:r>
            <w:r>
              <w:rPr>
                <w:rFonts w:hint="eastAsia" w:ascii="宋体" w:hAnsi="宋体" w:cs="Arial"/>
                <w:snapToGrid w:val="0"/>
                <w:kern w:val="0"/>
                <w:sz w:val="24"/>
                <w:szCs w:val="24"/>
              </w:rPr>
              <w:t>（含外墙上附着的阳台、凸窗实体外墙顶点）的</w:t>
            </w:r>
            <w:r>
              <w:rPr>
                <w:rFonts w:hint="eastAsia" w:ascii="宋体" w:hAnsi="宋体"/>
                <w:snapToGrid w:val="0"/>
                <w:kern w:val="0"/>
                <w:sz w:val="24"/>
                <w:szCs w:val="24"/>
              </w:rPr>
              <w:t>连线计算。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超过规定限值或未按规定设置的内天井及室外透空空间计入地上核减建筑面积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未按相关规定设置的内天井以及有以下情形的室外透空空间，其按层计算的投影面积全部计入地上核减建筑面积：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⑴厂房、仓库建筑及超高层的办公、新型产业建筑外围设置的任何室外透空空间。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⑵住宅、宿舍</w:t>
            </w:r>
            <w:r>
              <w:rPr>
                <w:rFonts w:hint="eastAsia" w:ascii="宋体" w:hAnsi="宋体" w:cs="Times New Roman"/>
                <w:snapToGrid w:val="0"/>
                <w:kern w:val="0"/>
                <w:sz w:val="24"/>
                <w:szCs w:val="24"/>
              </w:rPr>
              <w:t>、商业、物流建筑及非超高层的办公、新型产业建筑，在</w:t>
            </w:r>
            <w:r>
              <w:rPr>
                <w:rFonts w:hint="eastAsia" w:ascii="宋体" w:hAnsi="宋体"/>
                <w:snapToGrid w:val="0"/>
                <w:kern w:val="0"/>
                <w:sz w:val="24"/>
                <w:szCs w:val="24"/>
              </w:rPr>
              <w:t>户内房间与房间之间设置的室外透空空间。</w:t>
            </w:r>
          </w:p>
          <w:p>
            <w:pPr>
              <w:tabs>
                <w:tab w:val="left" w:pos="1170"/>
              </w:tabs>
              <w:topLinePunct/>
              <w:snapToGrid w:val="0"/>
              <w:spacing w:before="211" w:beforeLines="50"/>
              <w:rPr>
                <w:rFonts w:ascii="宋体" w:hAnsi="宋体"/>
                <w:snapToGrid w:val="0"/>
                <w:color w:val="FF0000"/>
                <w:kern w:val="0"/>
                <w:sz w:val="24"/>
                <w:szCs w:val="24"/>
              </w:rPr>
            </w:pPr>
            <w:r>
              <w:rPr>
                <w:rFonts w:hint="eastAsia" w:ascii="宋体" w:hAnsi="宋体"/>
                <w:snapToGrid w:val="0"/>
                <w:kern w:val="0"/>
                <w:sz w:val="24"/>
                <w:szCs w:val="24"/>
              </w:rPr>
              <w:t>⑶非超高层的住宅、宿舍建筑，在户与户之间、户与核心筒之间设置的非三户及以上且非隔层设置的采光通风唯一来源的室外透空空间，其按层计算的投影面积超过相应规定限值。</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⑷超高层的住宅、宿舍建筑，</w:t>
            </w:r>
            <w:r>
              <w:rPr>
                <w:rFonts w:hint="eastAsia" w:ascii="宋体" w:hAnsi="宋体" w:cs="Times New Roman"/>
                <w:snapToGrid w:val="0"/>
                <w:kern w:val="0"/>
                <w:sz w:val="24"/>
                <w:szCs w:val="24"/>
              </w:rPr>
              <w:t>在</w:t>
            </w:r>
            <w:r>
              <w:rPr>
                <w:rFonts w:hint="eastAsia" w:ascii="宋体" w:hAnsi="宋体"/>
                <w:snapToGrid w:val="0"/>
                <w:kern w:val="0"/>
                <w:sz w:val="24"/>
                <w:szCs w:val="24"/>
              </w:rPr>
              <w:t>户与户之间、户与核心筒之间设置的非三户及以上采光通风唯一来源的室外透空空间，其按层计算的投影面积超过相应规定限值。</w:t>
            </w:r>
          </w:p>
          <w:p>
            <w:pPr>
              <w:tabs>
                <w:tab w:val="left" w:pos="1170"/>
              </w:tabs>
              <w:topLinePunct/>
              <w:snapToGrid w:val="0"/>
              <w:spacing w:before="211" w:beforeLines="50"/>
              <w:rPr>
                <w:rFonts w:ascii="宋体" w:hAnsi="宋体"/>
                <w:snapToGrid w:val="0"/>
                <w:spacing w:val="-6"/>
                <w:kern w:val="0"/>
                <w:sz w:val="24"/>
                <w:szCs w:val="24"/>
              </w:rPr>
            </w:pPr>
            <w:r>
              <w:rPr>
                <w:rFonts w:hint="eastAsia" w:ascii="宋体" w:hAnsi="宋体" w:cs="Times New Roman"/>
                <w:snapToGrid w:val="0"/>
                <w:spacing w:val="-6"/>
                <w:kern w:val="0"/>
                <w:sz w:val="24"/>
                <w:szCs w:val="24"/>
              </w:rPr>
              <w:t>⑸商业、物流建筑及非超高层的办公</w:t>
            </w:r>
            <w:r>
              <w:rPr>
                <w:rFonts w:hint="eastAsia" w:ascii="宋体" w:hAnsi="宋体"/>
                <w:snapToGrid w:val="0"/>
                <w:spacing w:val="-6"/>
                <w:kern w:val="0"/>
                <w:sz w:val="24"/>
                <w:szCs w:val="24"/>
              </w:rPr>
              <w:t>、</w:t>
            </w:r>
            <w:r>
              <w:rPr>
                <w:rFonts w:hint="eastAsia" w:ascii="宋体" w:hAnsi="宋体" w:cs="Times New Roman"/>
                <w:snapToGrid w:val="0"/>
                <w:spacing w:val="-6"/>
                <w:kern w:val="0"/>
                <w:sz w:val="24"/>
                <w:szCs w:val="24"/>
              </w:rPr>
              <w:t>新型产业</w:t>
            </w:r>
            <w:r>
              <w:rPr>
                <w:rFonts w:hint="eastAsia" w:ascii="宋体" w:hAnsi="宋体"/>
                <w:snapToGrid w:val="0"/>
                <w:spacing w:val="-6"/>
                <w:kern w:val="0"/>
                <w:sz w:val="24"/>
                <w:szCs w:val="24"/>
              </w:rPr>
              <w:t>建筑，</w:t>
            </w:r>
            <w:r>
              <w:rPr>
                <w:rFonts w:hint="eastAsia" w:ascii="宋体" w:hAnsi="宋体" w:cs="Times New Roman"/>
                <w:snapToGrid w:val="0"/>
                <w:spacing w:val="-6"/>
                <w:kern w:val="0"/>
                <w:sz w:val="24"/>
                <w:szCs w:val="24"/>
              </w:rPr>
              <w:t>在</w:t>
            </w:r>
            <w:r>
              <w:rPr>
                <w:rFonts w:hint="eastAsia" w:ascii="宋体" w:hAnsi="宋体"/>
                <w:snapToGrid w:val="0"/>
                <w:spacing w:val="-6"/>
                <w:kern w:val="0"/>
                <w:sz w:val="24"/>
                <w:szCs w:val="24"/>
              </w:rPr>
              <w:t>户与户之间、户与核心筒之间设置的室外透空空间，其按层计算的投影面积超过相应规定限值。</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室外透空空间按层计算的投影面积，以室外透空空间内的建筑外墙（窗）或阳台计算建筑面积线的外缘至结构连梁、连板、装饰性构件等的外缘计算。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3.1.6.3</w:t>
            </w:r>
          </w:p>
        </w:tc>
        <w:tc>
          <w:tcPr>
            <w:tcW w:w="8220" w:type="dxa"/>
            <w:vAlign w:val="top"/>
          </w:tcPr>
          <w:p>
            <w:pPr>
              <w:tabs>
                <w:tab w:val="left" w:pos="1170"/>
              </w:tabs>
              <w:topLinePunct/>
              <w:snapToGrid w:val="0"/>
              <w:spacing w:before="211" w:beforeLines="50"/>
              <w:rPr>
                <w:rFonts w:ascii="宋体" w:hAnsi="宋体"/>
                <w:b/>
                <w:snapToGrid w:val="0"/>
                <w:color w:val="auto"/>
                <w:kern w:val="0"/>
                <w:sz w:val="24"/>
                <w:szCs w:val="24"/>
              </w:rPr>
            </w:pPr>
            <w:r>
              <w:rPr>
                <w:rFonts w:hint="eastAsia" w:ascii="宋体" w:hAnsi="宋体"/>
                <w:b/>
                <w:snapToGrid w:val="0"/>
                <w:color w:val="auto"/>
                <w:kern w:val="0"/>
                <w:sz w:val="24"/>
                <w:szCs w:val="24"/>
              </w:rPr>
              <w:t>超过规定限值或未按规定设置的室内透空空间计入地上核减建筑面积</w:t>
            </w:r>
          </w:p>
          <w:p>
            <w:pPr>
              <w:pStyle w:val="68"/>
              <w:tabs>
                <w:tab w:val="left" w:pos="1170"/>
              </w:tabs>
              <w:topLinePunct/>
              <w:snapToGrid w:val="0"/>
              <w:spacing w:before="211" w:beforeLines="50"/>
              <w:ind w:firstLine="0" w:firstLineChars="0"/>
              <w:rPr>
                <w:rFonts w:ascii="宋体" w:hAnsi="宋体"/>
                <w:snapToGrid w:val="0"/>
                <w:color w:val="auto"/>
                <w:kern w:val="0"/>
                <w:sz w:val="24"/>
                <w:szCs w:val="24"/>
              </w:rPr>
            </w:pPr>
            <w:r>
              <w:rPr>
                <w:rFonts w:hint="eastAsia" w:ascii="宋体" w:hAnsi="宋体" w:cs="宋体"/>
                <w:snapToGrid w:val="0"/>
                <w:color w:val="auto"/>
                <w:kern w:val="0"/>
                <w:sz w:val="24"/>
                <w:szCs w:val="24"/>
              </w:rPr>
              <w:t>(</w:t>
            </w:r>
            <w:r>
              <w:rPr>
                <w:rFonts w:ascii="宋体" w:hAnsi="宋体" w:cs="宋体"/>
                <w:snapToGrid w:val="0"/>
                <w:color w:val="auto"/>
                <w:kern w:val="0"/>
                <w:sz w:val="24"/>
                <w:szCs w:val="24"/>
              </w:rPr>
              <w:t>1)</w:t>
            </w:r>
            <w:r>
              <w:rPr>
                <w:rFonts w:hint="eastAsia" w:ascii="宋体" w:hAnsi="宋体" w:cs="宋体"/>
                <w:snapToGrid w:val="0"/>
                <w:color w:val="auto"/>
                <w:kern w:val="0"/>
                <w:sz w:val="24"/>
                <w:szCs w:val="24"/>
              </w:rPr>
              <w:t>错层式住宅、复式</w:t>
            </w:r>
            <w:r>
              <w:rPr>
                <w:rFonts w:hint="eastAsia" w:ascii="宋体" w:hAnsi="宋体"/>
                <w:snapToGrid w:val="0"/>
                <w:color w:val="auto"/>
                <w:kern w:val="0"/>
                <w:sz w:val="24"/>
                <w:szCs w:val="24"/>
              </w:rPr>
              <w:t>住宅（套内</w:t>
            </w:r>
            <w:r>
              <w:rPr>
                <w:rFonts w:hint="eastAsia" w:ascii="宋体" w:hAnsi="宋体" w:cs="宋体"/>
                <w:snapToGrid w:val="0"/>
                <w:color w:val="auto"/>
                <w:kern w:val="0"/>
                <w:sz w:val="24"/>
                <w:szCs w:val="24"/>
              </w:rPr>
              <w:t>建筑面积＞</w:t>
            </w:r>
            <w:r>
              <w:rPr>
                <w:rFonts w:ascii="宋体" w:hAnsi="宋体" w:cs="宋体"/>
                <w:snapToGrid w:val="0"/>
                <w:color w:val="auto"/>
                <w:kern w:val="0"/>
                <w:sz w:val="24"/>
                <w:szCs w:val="24"/>
              </w:rPr>
              <w:t>90</w:t>
            </w:r>
            <w:r>
              <w:rPr>
                <w:rFonts w:hint="eastAsia" w:ascii="宋体" w:hAnsi="宋体"/>
                <w:snapToGrid w:val="0"/>
                <w:color w:val="auto"/>
                <w:kern w:val="0"/>
                <w:sz w:val="24"/>
                <w:szCs w:val="24"/>
              </w:rPr>
              <w:t>㎡）户内，以及办公、商业、新型产业、物流建筑内设置的室内透空空间，其按层计算的总投影面积超过相应规定限值时，需按下式计算地上核减建筑面积：</w:t>
            </w:r>
          </w:p>
          <w:p>
            <w:pPr>
              <w:tabs>
                <w:tab w:val="left" w:pos="1170"/>
              </w:tabs>
              <w:topLinePunct/>
              <w:snapToGrid w:val="0"/>
              <w:spacing w:before="211" w:beforeLines="50"/>
              <w:rPr>
                <w:rFonts w:ascii="宋体" w:hAnsi="宋体"/>
                <w:b/>
                <w:snapToGrid w:val="0"/>
                <w:color w:val="auto"/>
                <w:kern w:val="0"/>
                <w:sz w:val="24"/>
                <w:szCs w:val="24"/>
              </w:rPr>
            </w:pPr>
            <w:r>
              <w:rPr>
                <w:rFonts w:hint="eastAsia" w:ascii="宋体" w:hAnsi="宋体"/>
                <w:b/>
                <w:snapToGrid w:val="0"/>
                <w:color w:val="auto"/>
                <w:kern w:val="0"/>
                <w:sz w:val="24"/>
                <w:szCs w:val="24"/>
              </w:rPr>
              <w:t>核减建筑面积＝室内透空空间按层计算的总投影面积－室内透空面积限值</w:t>
            </w:r>
          </w:p>
          <w:p>
            <w:pPr>
              <w:tabs>
                <w:tab w:val="left" w:pos="1170"/>
              </w:tabs>
              <w:topLinePunct/>
              <w:snapToGrid w:val="0"/>
              <w:jc w:val="right"/>
              <w:rPr>
                <w:rFonts w:ascii="宋体" w:hAnsi="宋体"/>
                <w:b/>
                <w:snapToGrid w:val="0"/>
                <w:color w:val="auto"/>
                <w:kern w:val="0"/>
                <w:sz w:val="24"/>
                <w:szCs w:val="24"/>
              </w:rPr>
            </w:pPr>
            <w:r>
              <w:rPr>
                <w:rFonts w:hint="eastAsia" w:ascii="宋体" w:hAnsi="宋体"/>
                <w:b/>
                <w:snapToGrid w:val="0"/>
                <w:color w:val="auto"/>
                <w:kern w:val="0"/>
                <w:sz w:val="24"/>
                <w:szCs w:val="24"/>
              </w:rPr>
              <w:t>——公式</w:t>
            </w:r>
            <w:r>
              <w:rPr>
                <w:rFonts w:ascii="宋体" w:hAnsi="宋体"/>
                <w:b/>
                <w:snapToGrid w:val="0"/>
                <w:color w:val="auto"/>
                <w:kern w:val="0"/>
                <w:sz w:val="24"/>
                <w:szCs w:val="24"/>
              </w:rPr>
              <w:t>1</w:t>
            </w:r>
          </w:p>
          <w:p>
            <w:pPr>
              <w:tabs>
                <w:tab w:val="left" w:pos="1170"/>
              </w:tabs>
              <w:topLinePunct/>
              <w:snapToGrid w:val="0"/>
              <w:spacing w:before="211" w:beforeLines="50"/>
              <w:jc w:val="left"/>
              <w:rPr>
                <w:rFonts w:ascii="宋体" w:hAnsi="宋体"/>
                <w:snapToGrid w:val="0"/>
                <w:kern w:val="0"/>
                <w:sz w:val="24"/>
                <w:szCs w:val="24"/>
              </w:rPr>
            </w:pPr>
            <w:r>
              <w:rPr>
                <w:rFonts w:hint="eastAsia" w:ascii="宋体" w:hAnsi="宋体" w:cs="宋体"/>
                <w:snapToGrid w:val="0"/>
                <w:kern w:val="0"/>
                <w:sz w:val="24"/>
                <w:szCs w:val="24"/>
              </w:rPr>
              <w:t>⑵上述</w:t>
            </w:r>
            <w:r>
              <w:rPr>
                <w:rFonts w:hint="eastAsia" w:ascii="宋体" w:hAnsi="宋体"/>
                <w:snapToGrid w:val="0"/>
                <w:kern w:val="0"/>
                <w:sz w:val="24"/>
                <w:szCs w:val="24"/>
              </w:rPr>
              <w:t>室内透空空间内如有任何形式的结构连梁或连板，该室内透空空间透空部分的投影面积（不含透空空间内已计建筑面积的部分）全部计入地上核减建筑面积。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color w:val="auto"/>
                <w:kern w:val="0"/>
                <w:sz w:val="24"/>
                <w:szCs w:val="24"/>
              </w:rPr>
              <w:t>(</w:t>
            </w:r>
            <w:r>
              <w:rPr>
                <w:rFonts w:hint="eastAsia" w:ascii="宋体" w:hAnsi="宋体" w:cs="宋体"/>
                <w:snapToGrid w:val="0"/>
                <w:color w:val="auto"/>
                <w:kern w:val="0"/>
                <w:sz w:val="24"/>
                <w:szCs w:val="24"/>
                <w:lang w:val="en-US" w:eastAsia="zh-CN"/>
              </w:rPr>
              <w:t>3</w:t>
            </w:r>
            <w:r>
              <w:rPr>
                <w:rFonts w:ascii="宋体" w:hAnsi="宋体" w:cs="宋体"/>
                <w:snapToGrid w:val="0"/>
                <w:color w:val="auto"/>
                <w:kern w:val="0"/>
                <w:sz w:val="24"/>
                <w:szCs w:val="24"/>
              </w:rPr>
              <w:t>)</w:t>
            </w:r>
            <w:r>
              <w:rPr>
                <w:rFonts w:hint="eastAsia" w:ascii="宋体" w:hAnsi="宋体" w:cs="宋体"/>
                <w:snapToGrid w:val="0"/>
                <w:color w:val="auto"/>
                <w:kern w:val="0"/>
                <w:sz w:val="24"/>
                <w:szCs w:val="24"/>
              </w:rPr>
              <w:t>复式</w:t>
            </w:r>
            <w:r>
              <w:rPr>
                <w:rFonts w:hint="eastAsia" w:ascii="宋体" w:hAnsi="宋体"/>
                <w:snapToGrid w:val="0"/>
                <w:color w:val="auto"/>
                <w:kern w:val="0"/>
                <w:sz w:val="24"/>
                <w:szCs w:val="24"/>
              </w:rPr>
              <w:t>住宅（套内</w:t>
            </w:r>
            <w:r>
              <w:rPr>
                <w:rFonts w:hint="eastAsia" w:ascii="宋体" w:hAnsi="宋体" w:cs="宋体"/>
                <w:snapToGrid w:val="0"/>
                <w:color w:val="auto"/>
                <w:kern w:val="0"/>
                <w:sz w:val="24"/>
                <w:szCs w:val="24"/>
              </w:rPr>
              <w:t>建筑面积≤</w:t>
            </w:r>
            <w:r>
              <w:rPr>
                <w:rFonts w:ascii="宋体" w:hAnsi="宋体" w:cs="宋体"/>
                <w:snapToGrid w:val="0"/>
                <w:color w:val="auto"/>
                <w:kern w:val="0"/>
                <w:sz w:val="24"/>
                <w:szCs w:val="24"/>
              </w:rPr>
              <w:t>90</w:t>
            </w:r>
            <w:r>
              <w:rPr>
                <w:rFonts w:hint="eastAsia" w:ascii="宋体" w:hAnsi="宋体"/>
                <w:snapToGrid w:val="0"/>
                <w:color w:val="auto"/>
                <w:kern w:val="0"/>
                <w:sz w:val="24"/>
                <w:szCs w:val="24"/>
              </w:rPr>
              <w:t>㎡）、宿舍</w:t>
            </w:r>
            <w:r>
              <w:rPr>
                <w:rFonts w:hint="eastAsia" w:ascii="宋体" w:hAnsi="宋体"/>
                <w:snapToGrid w:val="0"/>
                <w:color w:val="auto"/>
                <w:kern w:val="0"/>
                <w:sz w:val="24"/>
                <w:szCs w:val="24"/>
                <w:lang w:val="en-US" w:eastAsia="zh-CN"/>
              </w:rPr>
              <w:t>建筑</w:t>
            </w:r>
            <w:r>
              <w:rPr>
                <w:rFonts w:hint="eastAsia" w:ascii="宋体" w:hAnsi="宋体"/>
                <w:snapToGrid w:val="0"/>
                <w:color w:val="auto"/>
                <w:kern w:val="0"/>
                <w:sz w:val="24"/>
                <w:szCs w:val="24"/>
              </w:rPr>
              <w:t>户内，以及厂房、仓库建筑内设置的所有室内透空空间，其按层计算的总投影面积全部计入地上核减建筑面积。</w:t>
            </w:r>
            <w:r>
              <w:rPr>
                <w:rFonts w:hint="eastAsia" w:ascii="宋体" w:hAnsi="宋体"/>
                <w:snapToGrid w:val="0"/>
                <w:kern w:val="0"/>
                <w:sz w:val="24"/>
                <w:szCs w:val="24"/>
              </w:rPr>
              <w:t>室内透空空间按层计算的总投影面积为地上各层（包括一层）楼板挖空部分投影面积之和。</w:t>
            </w:r>
          </w:p>
          <w:p>
            <w:pPr>
              <w:topLinePunct/>
              <w:snapToGrid w:val="0"/>
              <w:spacing w:before="211" w:beforeLines="50"/>
              <w:rPr>
                <w:rFonts w:ascii="宋体" w:hAnsi="宋体"/>
                <w:snapToGrid w:val="0"/>
                <w:kern w:val="0"/>
                <w:sz w:val="24"/>
                <w:szCs w:val="24"/>
              </w:rPr>
            </w:pPr>
            <w:r>
              <w:rPr>
                <w:rFonts w:ascii="宋体" w:hAnsi="宋体" w:cs="宋体"/>
                <w:snapToGrid w:val="0"/>
                <w:kern w:val="0"/>
                <w:sz w:val="24"/>
                <w:szCs w:val="24"/>
              </w:rPr>
              <w:fldChar w:fldCharType="begin"/>
            </w:r>
            <w:r>
              <w:rPr>
                <w:rFonts w:ascii="宋体" w:hAnsi="宋体" w:cs="宋体"/>
                <w:snapToGrid w:val="0"/>
                <w:kern w:val="0"/>
                <w:sz w:val="24"/>
                <w:szCs w:val="24"/>
              </w:rPr>
              <w:instrText xml:space="preserve"> </w:instrText>
            </w:r>
            <w:r>
              <w:rPr>
                <w:rFonts w:hint="eastAsia" w:ascii="宋体" w:hAnsi="宋体" w:cs="宋体"/>
                <w:snapToGrid w:val="0"/>
                <w:kern w:val="0"/>
                <w:sz w:val="24"/>
                <w:szCs w:val="24"/>
              </w:rPr>
              <w:instrText xml:space="preserve">= 4 \* GB2</w:instrText>
            </w:r>
            <w:r>
              <w:rPr>
                <w:rFonts w:ascii="宋体" w:hAnsi="宋体" w:cs="宋体"/>
                <w:snapToGrid w:val="0"/>
                <w:kern w:val="0"/>
                <w:sz w:val="24"/>
                <w:szCs w:val="24"/>
              </w:rPr>
              <w:instrText xml:space="preserve"> </w:instrText>
            </w:r>
            <w:r>
              <w:rPr>
                <w:rFonts w:ascii="宋体" w:hAnsi="宋体" w:cs="宋体"/>
                <w:snapToGrid w:val="0"/>
                <w:kern w:val="0"/>
                <w:sz w:val="24"/>
                <w:szCs w:val="24"/>
              </w:rPr>
              <w:fldChar w:fldCharType="separate"/>
            </w:r>
            <w:r>
              <w:rPr>
                <w:rFonts w:hint="eastAsia" w:ascii="宋体" w:hAnsi="宋体" w:cs="宋体"/>
                <w:snapToGrid w:val="0"/>
                <w:kern w:val="0"/>
                <w:sz w:val="24"/>
                <w:szCs w:val="24"/>
              </w:rPr>
              <w:t>⑷</w:t>
            </w:r>
            <w:r>
              <w:rPr>
                <w:rFonts w:ascii="宋体" w:hAnsi="宋体" w:cs="宋体"/>
                <w:snapToGrid w:val="0"/>
                <w:kern w:val="0"/>
                <w:sz w:val="24"/>
                <w:szCs w:val="24"/>
              </w:rPr>
              <w:fldChar w:fldCharType="end"/>
            </w:r>
            <w:r>
              <w:rPr>
                <w:rFonts w:hint="eastAsia" w:ascii="宋体" w:hAnsi="宋体"/>
                <w:snapToGrid w:val="0"/>
                <w:kern w:val="0"/>
                <w:sz w:val="24"/>
                <w:szCs w:val="24"/>
              </w:rPr>
              <w:t>整层作为中庭、大堂、会议厅，当其层高超过规定限值，也可视为室内透空空间，按照以下公式折算透空面积：</w:t>
            </w:r>
          </w:p>
          <w:p>
            <w:pPr>
              <w:numPr>
                <w:ilvl w:val="0"/>
                <w:numId w:val="0"/>
              </w:numPr>
              <w:tabs>
                <w:tab w:val="left" w:pos="1170"/>
              </w:tabs>
              <w:topLinePunct/>
              <w:snapToGrid w:val="0"/>
              <w:spacing w:before="211" w:beforeLines="50"/>
              <w:ind w:left="0" w:leftChars="0" w:firstLine="0" w:firstLineChars="0"/>
              <w:jc w:val="left"/>
              <w:rPr>
                <w:rFonts w:ascii="宋体" w:hAnsi="宋体"/>
                <w:snapToGrid w:val="0"/>
                <w:kern w:val="0"/>
                <w:sz w:val="24"/>
                <w:szCs w:val="24"/>
              </w:rPr>
            </w:pPr>
            <w:r>
              <w:rPr>
                <w:rFonts w:hint="eastAsia" w:ascii="宋体" w:hAnsi="宋体"/>
                <w:b/>
                <w:snapToGrid w:val="0"/>
                <w:kern w:val="0"/>
                <w:sz w:val="24"/>
                <w:szCs w:val="24"/>
              </w:rPr>
              <w:t>室内透空面积=整层水平投影面积×（实际层高-首层层高限值）/该层层高限值</w:t>
            </w:r>
            <w:r>
              <w:rPr>
                <w:rFonts w:hint="eastAsia" w:ascii="宋体" w:hAnsi="宋体"/>
                <w:snapToGrid w:val="0"/>
                <w:kern w:val="0"/>
                <w:sz w:val="24"/>
                <w:szCs w:val="24"/>
              </w:rPr>
              <w:t>（备注：层高限值依据透空区域各建筑功能确定）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建筑层高超过规定限值计入地上</w:t>
            </w:r>
            <w:r>
              <w:rPr>
                <w:rFonts w:ascii="宋体" w:hAnsi="宋体"/>
                <w:b/>
                <w:snapToGrid w:val="0"/>
                <w:kern w:val="0"/>
                <w:sz w:val="24"/>
                <w:szCs w:val="24"/>
              </w:rPr>
              <w:t>/下</w:t>
            </w:r>
            <w:r>
              <w:rPr>
                <w:rFonts w:hint="eastAsia" w:ascii="宋体" w:hAnsi="宋体"/>
                <w:b/>
                <w:snapToGrid w:val="0"/>
                <w:kern w:val="0"/>
                <w:sz w:val="24"/>
                <w:szCs w:val="24"/>
              </w:rPr>
              <w:t>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建筑层高（包括屋面构架、幕墙、女儿墙等屋顶构件围合空间的层高）超过相应规定限值时，需按下式计算地上</w:t>
            </w:r>
            <w:r>
              <w:rPr>
                <w:rFonts w:ascii="宋体" w:hAnsi="宋体"/>
                <w:snapToGrid w:val="0"/>
                <w:kern w:val="0"/>
                <w:sz w:val="24"/>
                <w:szCs w:val="24"/>
              </w:rPr>
              <w:t>/下</w:t>
            </w:r>
            <w:r>
              <w:rPr>
                <w:rFonts w:hint="eastAsia" w:ascii="宋体" w:hAnsi="宋体"/>
                <w:snapToGrid w:val="0"/>
                <w:kern w:val="0"/>
                <w:sz w:val="24"/>
                <w:szCs w:val="24"/>
              </w:rPr>
              <w:t>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spacing w:val="-6"/>
                <w:kern w:val="0"/>
                <w:sz w:val="24"/>
                <w:szCs w:val="24"/>
              </w:rPr>
              <w:t>核减建筑面积＝</w:t>
            </w:r>
            <w:r>
              <w:rPr>
                <w:rFonts w:ascii="宋体" w:hAnsi="宋体"/>
                <w:b/>
                <w:snapToGrid w:val="0"/>
                <w:spacing w:val="-6"/>
                <w:kern w:val="0"/>
                <w:sz w:val="24"/>
                <w:szCs w:val="24"/>
              </w:rPr>
              <w:t>[(超高空间</w:t>
            </w:r>
            <w:r>
              <w:rPr>
                <w:rFonts w:hint="eastAsia" w:ascii="宋体" w:hAnsi="宋体"/>
                <w:b/>
                <w:snapToGrid w:val="0"/>
                <w:spacing w:val="-6"/>
                <w:kern w:val="0"/>
                <w:sz w:val="24"/>
                <w:szCs w:val="24"/>
              </w:rPr>
              <w:t>层高</w:t>
            </w:r>
            <w:r>
              <w:rPr>
                <w:rFonts w:ascii="宋体" w:hAnsi="宋体"/>
                <w:b/>
                <w:snapToGrid w:val="0"/>
                <w:spacing w:val="-6"/>
                <w:kern w:val="0"/>
                <w:sz w:val="24"/>
                <w:szCs w:val="24"/>
              </w:rPr>
              <w:t>-层高限值)/层高标准值]×超高空间投影面积</w:t>
            </w:r>
          </w:p>
          <w:p>
            <w:pPr>
              <w:tabs>
                <w:tab w:val="left" w:pos="1170"/>
              </w:tabs>
              <w:topLinePunct/>
              <w:snapToGrid w:val="0"/>
              <w:jc w:val="right"/>
              <w:rPr>
                <w:rFonts w:ascii="宋体" w:hAnsi="宋体"/>
                <w:snapToGrid w:val="0"/>
                <w:kern w:val="0"/>
                <w:sz w:val="24"/>
                <w:szCs w:val="24"/>
              </w:rPr>
            </w:pPr>
            <w:r>
              <w:rPr>
                <w:rFonts w:hint="eastAsia" w:ascii="宋体" w:hAnsi="宋体"/>
                <w:b/>
                <w:snapToGrid w:val="0"/>
                <w:kern w:val="0"/>
                <w:sz w:val="24"/>
                <w:szCs w:val="24"/>
              </w:rPr>
              <w:t>——公式</w:t>
            </w:r>
            <w:r>
              <w:rPr>
                <w:rFonts w:ascii="宋体" w:hAnsi="宋体"/>
                <w:b/>
                <w:snapToGrid w:val="0"/>
                <w:kern w:val="0"/>
                <w:sz w:val="24"/>
                <w:szCs w:val="24"/>
              </w:rPr>
              <w:t>2</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⑴超高空间投影面积以建筑物墙中线计算。</w:t>
            </w:r>
          </w:p>
          <w:p>
            <w:pPr>
              <w:tabs>
                <w:tab w:val="left" w:pos="1170"/>
              </w:tabs>
              <w:topLinePunct/>
              <w:snapToGrid w:val="0"/>
              <w:spacing w:before="211" w:beforeLines="50"/>
              <w:rPr>
                <w:rFonts w:ascii="宋体" w:hAnsi="宋体"/>
                <w:snapToGrid w:val="0"/>
                <w:color w:val="FF000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建筑面积应分别对应地上或地下规定建筑面积指标中核减。</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⑶当超高空间内层高不一致时，超高空间层高取其中最大层高值。</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⑷除避难层、结构转换层以及上下不同功能区（包括酒店客房层与非客房层）之间设置的公共管线转换层外，层高小于</w:t>
            </w:r>
            <w:r>
              <w:rPr>
                <w:rFonts w:ascii="宋体" w:hAnsi="宋体"/>
                <w:snapToGrid w:val="0"/>
                <w:kern w:val="0"/>
                <w:sz w:val="24"/>
                <w:szCs w:val="24"/>
              </w:rPr>
              <w:t>2.2m</w:t>
            </w:r>
            <w:r>
              <w:rPr>
                <w:rFonts w:hint="eastAsia" w:ascii="宋体" w:hAnsi="宋体"/>
                <w:snapToGrid w:val="0"/>
                <w:kern w:val="0"/>
                <w:sz w:val="24"/>
                <w:szCs w:val="24"/>
              </w:rPr>
              <w:t>的空间与相邻下层合计为一层。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当同一楼层内有层高限值不同的建筑功能时，各建筑功能空间的层高限值按其不同的功能区间分别计算。同一栋建筑的六层以下裙楼内，当同一楼层内某一建筑功能建筑面积占该层总建筑面积比例超过80%时，其它建筑功能空间（不含居住建筑）的层高限值可统一按其层高限值计算。</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⑹建筑首层或</w:t>
            </w:r>
            <w:r>
              <w:rPr>
                <w:rFonts w:ascii="宋体" w:hAnsi="宋体"/>
                <w:snapToGrid w:val="0"/>
                <w:kern w:val="0"/>
                <w:sz w:val="24"/>
                <w:szCs w:val="24"/>
              </w:rPr>
              <w:t>裙楼屋顶</w:t>
            </w:r>
            <w:r>
              <w:rPr>
                <w:rFonts w:hint="eastAsia" w:ascii="宋体" w:hAnsi="宋体"/>
                <w:snapToGrid w:val="0"/>
                <w:kern w:val="0"/>
                <w:sz w:val="24"/>
                <w:szCs w:val="24"/>
              </w:rPr>
              <w:t>层</w:t>
            </w:r>
            <w:r>
              <w:rPr>
                <w:rFonts w:ascii="宋体" w:hAnsi="宋体"/>
                <w:snapToGrid w:val="0"/>
                <w:kern w:val="0"/>
                <w:sz w:val="24"/>
                <w:szCs w:val="24"/>
              </w:rPr>
              <w:t>用于</w:t>
            </w:r>
            <w:r>
              <w:rPr>
                <w:rFonts w:hint="eastAsia" w:ascii="宋体" w:hAnsi="宋体"/>
                <w:snapToGrid w:val="0"/>
                <w:kern w:val="0"/>
                <w:sz w:val="24"/>
                <w:szCs w:val="24"/>
              </w:rPr>
              <w:t>公共</w:t>
            </w:r>
            <w:r>
              <w:rPr>
                <w:rFonts w:ascii="宋体" w:hAnsi="宋体"/>
                <w:snapToGrid w:val="0"/>
                <w:kern w:val="0"/>
                <w:sz w:val="24"/>
                <w:szCs w:val="24"/>
              </w:rPr>
              <w:t>绿化种植</w:t>
            </w:r>
            <w:r>
              <w:rPr>
                <w:rFonts w:hint="eastAsia" w:ascii="宋体" w:hAnsi="宋体"/>
                <w:snapToGrid w:val="0"/>
                <w:kern w:val="0"/>
                <w:sz w:val="24"/>
                <w:szCs w:val="24"/>
              </w:rPr>
              <w:t>（含管线敷设）</w:t>
            </w:r>
            <w:r>
              <w:rPr>
                <w:rFonts w:ascii="宋体" w:hAnsi="宋体"/>
                <w:snapToGrid w:val="0"/>
                <w:kern w:val="0"/>
                <w:sz w:val="24"/>
                <w:szCs w:val="24"/>
              </w:rPr>
              <w:t>的覆土层厚度不超过1.</w:t>
            </w:r>
            <w:r>
              <w:rPr>
                <w:rFonts w:hint="eastAsia" w:ascii="宋体" w:hAnsi="宋体"/>
                <w:snapToGrid w:val="0"/>
                <w:kern w:val="0"/>
                <w:sz w:val="24"/>
                <w:szCs w:val="24"/>
              </w:rPr>
              <w:t>5</w:t>
            </w:r>
            <w:r>
              <w:rPr>
                <w:rFonts w:ascii="宋体" w:hAnsi="宋体"/>
                <w:snapToGrid w:val="0"/>
                <w:kern w:val="0"/>
                <w:sz w:val="24"/>
                <w:szCs w:val="24"/>
              </w:rPr>
              <w:t>米</w:t>
            </w:r>
            <w:r>
              <w:rPr>
                <w:rFonts w:hint="eastAsia" w:ascii="宋体" w:hAnsi="宋体"/>
                <w:snapToGrid w:val="0"/>
                <w:kern w:val="0"/>
                <w:sz w:val="24"/>
                <w:szCs w:val="24"/>
              </w:rPr>
              <w:t>，且建筑首层或塔楼底层室内地面完成面高出相邻室外覆土层表面不超过0.3</w:t>
            </w:r>
            <w:r>
              <w:rPr>
                <w:rFonts w:ascii="宋体" w:hAnsi="宋体"/>
                <w:snapToGrid w:val="0"/>
                <w:kern w:val="0"/>
                <w:sz w:val="24"/>
                <w:szCs w:val="24"/>
              </w:rPr>
              <w:t>m</w:t>
            </w:r>
            <w:r>
              <w:rPr>
                <w:rFonts w:hint="eastAsia" w:ascii="宋体" w:hAnsi="宋体"/>
                <w:snapToGrid w:val="0"/>
                <w:kern w:val="0"/>
                <w:sz w:val="24"/>
                <w:szCs w:val="24"/>
              </w:rPr>
              <w:t>时，建筑首层或塔楼底层层高可由室内地面完成面起</w:t>
            </w:r>
            <w:r>
              <w:rPr>
                <w:rFonts w:ascii="宋体" w:hAnsi="宋体"/>
                <w:snapToGrid w:val="0"/>
                <w:kern w:val="0"/>
                <w:sz w:val="24"/>
                <w:szCs w:val="24"/>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超过规定限值或未按规定设置的阳台计入地上核减建筑面积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⑴住宅户内符合相应规定的空间，以及宿舍、办公、商业、新型产业建筑内设置的计一半面积的阳台，其总投影面积超过相应规定限值时，还需按下式另行计算地上核减建筑面积：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核减建筑面积＝</w:t>
            </w:r>
            <w:r>
              <w:rPr>
                <w:rFonts w:ascii="宋体" w:hAnsi="宋体"/>
                <w:b/>
                <w:snapToGrid w:val="0"/>
                <w:kern w:val="0"/>
                <w:sz w:val="24"/>
                <w:szCs w:val="24"/>
              </w:rPr>
              <w:t>(阳台总投影面积-阳台面积限值)／2</w:t>
            </w:r>
            <w:r>
              <w:rPr>
                <w:rFonts w:hint="eastAsia" w:ascii="宋体" w:hAnsi="宋体"/>
                <w:b/>
                <w:snapToGrid w:val="0"/>
                <w:kern w:val="0"/>
                <w:sz w:val="24"/>
                <w:szCs w:val="24"/>
              </w:rPr>
              <w:t xml:space="preserve">          ——公式</w:t>
            </w:r>
            <w:r>
              <w:rPr>
                <w:rFonts w:ascii="宋体" w:hAnsi="宋体"/>
                <w:b/>
                <w:snapToGrid w:val="0"/>
                <w:kern w:val="0"/>
                <w:sz w:val="24"/>
                <w:szCs w:val="24"/>
              </w:rPr>
              <w:t>3</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计一半面积</w:t>
            </w:r>
            <w:r>
              <w:rPr>
                <w:rFonts w:hint="eastAsia" w:ascii="宋体" w:hAnsi="宋体" w:cs="宋体"/>
                <w:snapToGrid w:val="0"/>
                <w:kern w:val="0"/>
                <w:sz w:val="24"/>
                <w:szCs w:val="24"/>
              </w:rPr>
              <w:t>的阳台有以下情形者，</w:t>
            </w:r>
            <w:r>
              <w:rPr>
                <w:rFonts w:hint="eastAsia" w:ascii="宋体" w:hAnsi="宋体"/>
                <w:snapToGrid w:val="0"/>
                <w:kern w:val="0"/>
                <w:sz w:val="24"/>
                <w:szCs w:val="24"/>
              </w:rPr>
              <w:t>还需按其规定建筑面积的1倍另行</w:t>
            </w:r>
            <w:r>
              <w:rPr>
                <w:rFonts w:ascii="宋体" w:hAnsi="宋体"/>
                <w:snapToGrid w:val="0"/>
                <w:kern w:val="0"/>
                <w:sz w:val="24"/>
                <w:szCs w:val="24"/>
              </w:rPr>
              <w:t>计算</w:t>
            </w:r>
            <w:r>
              <w:rPr>
                <w:rFonts w:hint="eastAsia" w:ascii="宋体" w:hAnsi="宋体"/>
                <w:snapToGrid w:val="0"/>
                <w:kern w:val="0"/>
                <w:sz w:val="24"/>
                <w:szCs w:val="24"/>
              </w:rPr>
              <w:t>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①位于住宅户内不符合相应规定的空间内。</w:t>
            </w:r>
          </w:p>
          <w:p>
            <w:pPr>
              <w:tabs>
                <w:tab w:val="left" w:pos="1170"/>
              </w:tabs>
              <w:topLinePunct/>
              <w:snapToGrid w:val="0"/>
              <w:rPr>
                <w:rFonts w:ascii="宋体" w:hAnsi="宋体"/>
                <w:snapToGrid w:val="0"/>
                <w:kern w:val="0"/>
                <w:sz w:val="24"/>
                <w:szCs w:val="24"/>
              </w:rPr>
            </w:pPr>
            <w:r>
              <w:rPr>
                <w:rFonts w:hint="eastAsia" w:ascii="宋体" w:hAnsi="宋体"/>
                <w:snapToGrid w:val="0"/>
                <w:kern w:val="0"/>
                <w:sz w:val="24"/>
                <w:szCs w:val="24"/>
              </w:rPr>
              <w:t>②属于住宅、宿舍建筑内无必要交通功能的公共阳台。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③位于厂房、仓库及物流建筑内。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3.1.6.6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多层高阳台（外走廊）的上部空间计入地上核减建筑面积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建筑户内的多层高阳台，</w:t>
            </w:r>
            <w:r>
              <w:rPr>
                <w:rFonts w:hint="eastAsia" w:ascii="宋体" w:hAnsi="宋体"/>
                <w:snapToGrid w:val="0"/>
                <w:kern w:val="0"/>
                <w:sz w:val="24"/>
                <w:szCs w:val="24"/>
              </w:rPr>
              <w:t>住宅、宿舍建筑内两户及以下使用的多层高外走廊及</w:t>
            </w:r>
            <w:r>
              <w:rPr>
                <w:rFonts w:hint="eastAsia" w:ascii="宋体" w:hAnsi="宋体" w:cs="宋体"/>
                <w:snapToGrid w:val="0"/>
                <w:kern w:val="0"/>
                <w:sz w:val="24"/>
                <w:szCs w:val="24"/>
              </w:rPr>
              <w:t>无必要交通功能的多层高</w:t>
            </w:r>
            <w:r>
              <w:rPr>
                <w:rFonts w:hint="eastAsia" w:ascii="宋体" w:hAnsi="宋体"/>
                <w:snapToGrid w:val="0"/>
                <w:kern w:val="0"/>
                <w:sz w:val="24"/>
                <w:szCs w:val="24"/>
              </w:rPr>
              <w:t>公共阳台，其上部空间还需按下式计算地上核减建筑面积：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核减建筑面积＝</w:t>
            </w:r>
            <w:r>
              <w:rPr>
                <w:rFonts w:ascii="宋体" w:hAnsi="宋体"/>
                <w:b/>
                <w:snapToGrid w:val="0"/>
                <w:kern w:val="0"/>
                <w:sz w:val="24"/>
                <w:szCs w:val="24"/>
              </w:rPr>
              <w:t xml:space="preserve">[(阳台层高/ </w:t>
            </w:r>
            <w:r>
              <w:rPr>
                <w:rFonts w:hint="eastAsia" w:ascii="宋体" w:hAnsi="宋体"/>
                <w:b/>
                <w:snapToGrid w:val="0"/>
                <w:kern w:val="0"/>
                <w:sz w:val="24"/>
                <w:szCs w:val="24"/>
              </w:rPr>
              <w:t>标准层层高</w:t>
            </w:r>
            <w:r>
              <w:rPr>
                <w:rFonts w:ascii="宋体" w:hAnsi="宋体"/>
                <w:b/>
                <w:snapToGrid w:val="0"/>
                <w:kern w:val="0"/>
                <w:sz w:val="24"/>
                <w:szCs w:val="24"/>
              </w:rPr>
              <w:t>)-1]×阳台投影面积</w:t>
            </w:r>
            <w:r>
              <w:rPr>
                <w:rFonts w:hint="eastAsia" w:ascii="宋体" w:hAnsi="宋体"/>
                <w:b/>
                <w:snapToGrid w:val="0"/>
                <w:kern w:val="0"/>
                <w:sz w:val="24"/>
                <w:szCs w:val="24"/>
              </w:rPr>
              <w:t xml:space="preserve">  ——公式</w:t>
            </w:r>
            <w:r>
              <w:rPr>
                <w:rFonts w:ascii="宋体" w:hAnsi="宋体"/>
                <w:b/>
                <w:snapToGrid w:val="0"/>
                <w:kern w:val="0"/>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3.2</w:t>
            </w:r>
          </w:p>
        </w:tc>
        <w:tc>
          <w:tcPr>
            <w:tcW w:w="8220"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b/>
                <w:snapToGrid w:val="0"/>
                <w:kern w:val="0"/>
                <w:sz w:val="28"/>
                <w:szCs w:val="28"/>
              </w:rPr>
              <w:t>容积率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abs>
                <w:tab w:val="left" w:pos="1170"/>
              </w:tabs>
              <w:topLinePunct/>
              <w:snapToGrid w:val="0"/>
              <w:spacing w:before="211" w:beforeLines="50"/>
              <w:rPr>
                <w:rFonts w:ascii="宋体" w:hAnsi="宋体"/>
                <w:b/>
                <w:snapToGrid w:val="0"/>
                <w:kern w:val="0"/>
                <w:sz w:val="24"/>
                <w:szCs w:val="24"/>
              </w:rPr>
            </w:pPr>
            <w:r>
              <w:rPr>
                <w:rFonts w:ascii="宋体" w:hAnsi="宋体"/>
                <w:snapToGrid w:val="0"/>
                <w:kern w:val="0"/>
                <w:sz w:val="24"/>
                <w:szCs w:val="24"/>
              </w:rPr>
              <w:t>3.2.1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容积率计算</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⑴容积率＝计容积率建筑面积/建设用地面积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⑵规定容积率＝计规定容积率建筑面积/建设用地面积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规定容积率是指市规划、土地主管部门在《建设用地规划许可证》和《土地使用权出让合同书》中规定的容积率。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abs>
                <w:tab w:val="left" w:pos="1170"/>
              </w:tabs>
              <w:topLinePunct/>
              <w:snapToGrid w:val="0"/>
              <w:spacing w:before="211" w:beforeLines="50"/>
              <w:rPr>
                <w:rFonts w:ascii="宋体" w:hAnsi="宋体"/>
                <w:strike/>
                <w:snapToGrid w:val="0"/>
                <w:kern w:val="0"/>
                <w:sz w:val="24"/>
                <w:szCs w:val="24"/>
              </w:rPr>
            </w:pPr>
            <w:r>
              <w:rPr>
                <w:rFonts w:ascii="宋体" w:hAnsi="宋体"/>
                <w:snapToGrid w:val="0"/>
                <w:kern w:val="0"/>
                <w:sz w:val="24"/>
                <w:szCs w:val="24"/>
              </w:rPr>
              <w:t>3.2.2</w:t>
            </w:r>
          </w:p>
        </w:tc>
        <w:tc>
          <w:tcPr>
            <w:tcW w:w="8220" w:type="dxa"/>
          </w:tcPr>
          <w:p>
            <w:pPr>
              <w:tabs>
                <w:tab w:val="left" w:pos="1170"/>
              </w:tabs>
              <w:topLinePunct/>
              <w:snapToGrid w:val="0"/>
              <w:spacing w:before="211" w:beforeLines="50"/>
              <w:rPr>
                <w:rFonts w:ascii="宋体" w:hAnsi="宋体"/>
                <w:strike/>
                <w:snapToGrid w:val="0"/>
                <w:kern w:val="0"/>
                <w:sz w:val="24"/>
                <w:szCs w:val="24"/>
              </w:rPr>
            </w:pPr>
            <w:r>
              <w:rPr>
                <w:rFonts w:ascii="宋体" w:hAnsi="宋体"/>
                <w:snapToGrid w:val="0"/>
                <w:kern w:val="0"/>
                <w:sz w:val="24"/>
                <w:szCs w:val="24"/>
              </w:rPr>
              <w:t>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⑴总建筑面积＝计容积率建筑面积＋不计容积率建筑面积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⑵计容积率建筑面积＝</w:t>
            </w:r>
            <w:r>
              <w:rPr>
                <w:rFonts w:ascii="宋体" w:hAnsi="宋体"/>
                <w:snapToGrid w:val="0"/>
                <w:kern w:val="0"/>
                <w:sz w:val="24"/>
                <w:szCs w:val="24"/>
              </w:rPr>
              <w:t>地上</w:t>
            </w:r>
            <w:r>
              <w:rPr>
                <w:rFonts w:hint="eastAsia" w:ascii="宋体" w:hAnsi="宋体"/>
                <w:snapToGrid w:val="0"/>
                <w:kern w:val="0"/>
                <w:sz w:val="24"/>
                <w:szCs w:val="24"/>
              </w:rPr>
              <w:t>/下</w:t>
            </w:r>
            <w:r>
              <w:rPr>
                <w:rFonts w:ascii="宋体" w:hAnsi="宋体"/>
                <w:snapToGrid w:val="0"/>
                <w:kern w:val="0"/>
                <w:sz w:val="24"/>
                <w:szCs w:val="24"/>
              </w:rPr>
              <w:t>规定建筑面积＋地上</w:t>
            </w:r>
            <w:r>
              <w:rPr>
                <w:rFonts w:hint="eastAsia" w:ascii="宋体" w:hAnsi="宋体"/>
                <w:snapToGrid w:val="0"/>
                <w:kern w:val="0"/>
                <w:sz w:val="24"/>
                <w:szCs w:val="24"/>
              </w:rPr>
              <w:t>/下</w:t>
            </w:r>
            <w:r>
              <w:rPr>
                <w:rFonts w:ascii="宋体" w:hAnsi="宋体"/>
                <w:snapToGrid w:val="0"/>
                <w:kern w:val="0"/>
                <w:sz w:val="24"/>
                <w:szCs w:val="24"/>
              </w:rPr>
              <w:t>核减建筑面积＋地上核增建筑面积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⑶计规定容积率建筑面积＝地上/下规定建筑面积＋地上/下核减建筑面积</w:t>
            </w:r>
          </w:p>
          <w:p>
            <w:pPr>
              <w:tabs>
                <w:tab w:val="left" w:pos="1170"/>
              </w:tabs>
              <w:topLinePunct/>
              <w:snapToGrid w:val="0"/>
              <w:spacing w:before="211" w:beforeLines="50"/>
              <w:rPr>
                <w:rFonts w:ascii="宋体" w:hAnsi="宋体"/>
                <w:snapToGrid w:val="0"/>
                <w:color w:val="FF0000"/>
                <w:kern w:val="0"/>
                <w:sz w:val="24"/>
                <w:szCs w:val="24"/>
              </w:rPr>
            </w:pPr>
            <w:r>
              <w:rPr>
                <w:rFonts w:hint="eastAsia" w:ascii="宋体" w:hAnsi="宋体"/>
                <w:snapToGrid w:val="0"/>
                <w:kern w:val="0"/>
                <w:sz w:val="24"/>
                <w:szCs w:val="24"/>
              </w:rPr>
              <w:t>⑷不计容积率建筑面积＝地下核增建筑面积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建筑覆盖率计算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1</w:t>
            </w:r>
            <w:r>
              <w:rPr>
                <w:rFonts w:ascii="宋体" w:hAnsi="宋体"/>
                <w:b/>
                <w:snapToGrid w:val="0"/>
                <w:kern w:val="0"/>
                <w:sz w:val="24"/>
                <w:szCs w:val="24"/>
              </w:rPr>
              <w:t>.1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当《建设用地规划许可证》中对建筑覆盖率无分级控制要求时：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建筑覆盖率＝建筑基底面积</w:t>
            </w:r>
            <w:r>
              <w:rPr>
                <w:rFonts w:ascii="宋体" w:hAnsi="宋体"/>
                <w:snapToGrid w:val="0"/>
                <w:kern w:val="0"/>
                <w:sz w:val="24"/>
                <w:szCs w:val="24"/>
              </w:rPr>
              <w:t>/建设用地面积</w:t>
            </w:r>
            <w:r>
              <w:rPr>
                <w:rFonts w:hint="eastAsia" w:ascii="宋体" w:hAnsi="宋体"/>
                <w:snapToGrid w:val="0"/>
                <w:kern w:val="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1</w:t>
            </w:r>
            <w:r>
              <w:rPr>
                <w:rFonts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当《建设用地规划许可证》中对建筑覆盖率有分级控制要求时：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⑴一级建筑覆盖率＝建筑基底面积</w:t>
            </w:r>
            <w:r>
              <w:rPr>
                <w:rFonts w:ascii="宋体" w:hAnsi="宋体"/>
                <w:snapToGrid w:val="0"/>
                <w:kern w:val="0"/>
                <w:sz w:val="24"/>
                <w:szCs w:val="24"/>
              </w:rPr>
              <w:t>/建设用地面积</w:t>
            </w:r>
            <w:r>
              <w:rPr>
                <w:rFonts w:hint="eastAsia" w:ascii="宋体" w:hAnsi="宋体"/>
                <w:snapToGrid w:val="0"/>
                <w:kern w:val="0"/>
                <w:sz w:val="24"/>
                <w:szCs w:val="24"/>
              </w:rPr>
              <w:t>×100%</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⑵二级建筑覆盖率＝塔楼建筑基底面积</w:t>
            </w:r>
            <w:r>
              <w:rPr>
                <w:rFonts w:ascii="宋体" w:hAnsi="宋体"/>
                <w:snapToGrid w:val="0"/>
                <w:kern w:val="0"/>
                <w:sz w:val="24"/>
                <w:szCs w:val="24"/>
              </w:rPr>
              <w:t>/建设用地面积</w:t>
            </w:r>
            <w:r>
              <w:rPr>
                <w:rFonts w:hint="eastAsia" w:ascii="宋体" w:hAnsi="宋体"/>
                <w:snapToGrid w:val="0"/>
                <w:kern w:val="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建筑基底面积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2</w:t>
            </w:r>
            <w:r>
              <w:rPr>
                <w:rFonts w:ascii="宋体" w:hAnsi="宋体"/>
                <w:b/>
                <w:snapToGrid w:val="0"/>
                <w:kern w:val="0"/>
                <w:sz w:val="24"/>
                <w:szCs w:val="24"/>
              </w:rPr>
              <w:t>.1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平地建筑基底面积为建筑首层结构外围水平投影面积；坡地建筑基底面积为半地下室露出地面部分与建筑首层直接接触地面部分的结构外围水平投影面积之和。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2</w:t>
            </w:r>
            <w:r>
              <w:rPr>
                <w:rFonts w:ascii="宋体" w:hAnsi="宋体"/>
                <w:b/>
                <w:snapToGrid w:val="0"/>
                <w:kern w:val="0"/>
                <w:sz w:val="24"/>
                <w:szCs w:val="24"/>
              </w:rPr>
              <w:t>.</w:t>
            </w:r>
            <w:r>
              <w:rPr>
                <w:rFonts w:hint="eastAsia"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地下车库的引道，其无上盖部分不计入建筑基底面积。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2</w:t>
            </w:r>
            <w:r>
              <w:rPr>
                <w:rFonts w:ascii="宋体" w:hAnsi="宋体"/>
                <w:b/>
                <w:snapToGrid w:val="0"/>
                <w:kern w:val="0"/>
                <w:sz w:val="24"/>
                <w:szCs w:val="24"/>
              </w:rPr>
              <w:t>.</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无柱架空连廊底面与其水平投影范围内室外地面之间的最小净高差大于</w:t>
            </w:r>
            <w:r>
              <w:rPr>
                <w:rFonts w:ascii="宋体" w:hAnsi="宋体"/>
                <w:snapToGrid w:val="0"/>
                <w:kern w:val="0"/>
                <w:sz w:val="24"/>
                <w:szCs w:val="24"/>
              </w:rPr>
              <w:t>6m</w:t>
            </w:r>
            <w:r>
              <w:rPr>
                <w:rFonts w:hint="eastAsia" w:ascii="宋体" w:hAnsi="宋体"/>
                <w:snapToGrid w:val="0"/>
                <w:kern w:val="0"/>
                <w:sz w:val="24"/>
                <w:szCs w:val="24"/>
              </w:rPr>
              <w:t>时，其结构外围水平投影面积可不计入建筑基底面积。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3.3.2.4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半地下层停车库顶板上方或首层停车库（层高不超过4m）顶板上方，提供作露天公共绿化或公众休闲活动场地的部分，其水平投影面积可不纳入计建筑覆盖率的建筑基底面积计算。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3.3.</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塔楼建筑基底面积</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计算二级建筑覆盖率时，塔楼建筑基底面积为高层或超高层建筑高度超过</w:t>
            </w:r>
            <w:r>
              <w:rPr>
                <w:rFonts w:ascii="宋体" w:hAnsi="宋体"/>
                <w:snapToGrid w:val="0"/>
                <w:kern w:val="0"/>
                <w:sz w:val="24"/>
                <w:szCs w:val="24"/>
              </w:rPr>
              <w:t>24m以上部分的自然</w:t>
            </w:r>
            <w:r>
              <w:rPr>
                <w:rFonts w:hint="eastAsia" w:ascii="宋体" w:hAnsi="宋体"/>
                <w:snapToGrid w:val="0"/>
                <w:kern w:val="0"/>
                <w:sz w:val="24"/>
                <w:szCs w:val="24"/>
              </w:rPr>
              <w:t>层建筑外墙或结构外围的水平投影面积。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透水率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3.4.1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透水率计算</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透水率＝透水面积</w:t>
            </w:r>
            <w:r>
              <w:rPr>
                <w:rFonts w:ascii="宋体" w:hAnsi="宋体"/>
                <w:snapToGrid w:val="0"/>
                <w:kern w:val="0"/>
                <w:sz w:val="24"/>
                <w:szCs w:val="24"/>
              </w:rPr>
              <w:t>/建设用地面积</w:t>
            </w:r>
            <w:r>
              <w:rPr>
                <w:rFonts w:hint="eastAsia" w:ascii="宋体" w:hAnsi="宋体"/>
                <w:snapToGrid w:val="0"/>
                <w:kern w:val="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3.4.2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透水面积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透水面积是透水地面水平投影面积。</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透水地面是指建设用地范围内，上、下方均无建、构筑物（不含阳台、雨篷等悬空建筑）覆盖，自然雨水可直接渗入地下自然岩土层的地面。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8"/>
                <w:szCs w:val="28"/>
              </w:rPr>
              <w:t>3.5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绿化覆盖率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3.5.1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绿化覆盖率计算</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绿化覆盖率＝（绿地面积＋折算绿地面积）</w:t>
            </w:r>
            <w:r>
              <w:rPr>
                <w:rFonts w:ascii="宋体" w:hAnsi="宋体"/>
                <w:snapToGrid w:val="0"/>
                <w:kern w:val="0"/>
                <w:sz w:val="24"/>
                <w:szCs w:val="24"/>
              </w:rPr>
              <w:t>/建设用地面积</w:t>
            </w:r>
            <w:r>
              <w:rPr>
                <w:rFonts w:hint="eastAsia" w:ascii="宋体" w:hAnsi="宋体"/>
                <w:snapToGrid w:val="0"/>
                <w:kern w:val="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3.5.</w:t>
            </w:r>
            <w:r>
              <w:rPr>
                <w:rFonts w:hint="eastAsia"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绿地面积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绿地面积包括绿地种植覆土的水平投影面积，以及绿地范围内符合规定要求的部分硬质景观和水体景观的水平投影面积。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绿地包括地面绿地和屋顶绿地。宽度不小于</w:t>
            </w:r>
            <w:r>
              <w:rPr>
                <w:rFonts w:ascii="宋体" w:hAnsi="宋体"/>
                <w:snapToGrid w:val="0"/>
                <w:kern w:val="0"/>
                <w:sz w:val="24"/>
                <w:szCs w:val="24"/>
              </w:rPr>
              <w:t>8m且</w:t>
            </w:r>
            <w:r>
              <w:rPr>
                <w:rFonts w:hint="eastAsia" w:ascii="宋体" w:hAnsi="宋体"/>
                <w:snapToGrid w:val="0"/>
                <w:kern w:val="0"/>
                <w:sz w:val="24"/>
                <w:szCs w:val="24"/>
              </w:rPr>
              <w:t>绿地</w:t>
            </w:r>
            <w:r>
              <w:rPr>
                <w:rFonts w:ascii="宋体" w:hAnsi="宋体"/>
                <w:snapToGrid w:val="0"/>
                <w:kern w:val="0"/>
                <w:sz w:val="24"/>
                <w:szCs w:val="24"/>
              </w:rPr>
              <w:t>面积不小于400㎡</w:t>
            </w:r>
            <w:r>
              <w:rPr>
                <w:rFonts w:hint="eastAsia" w:ascii="宋体" w:hAnsi="宋体"/>
                <w:snapToGrid w:val="0"/>
                <w:kern w:val="0"/>
                <w:sz w:val="24"/>
                <w:szCs w:val="24"/>
              </w:rPr>
              <w:t>的绿地内，宽度小于</w:t>
            </w:r>
            <w:r>
              <w:rPr>
                <w:rFonts w:ascii="宋体" w:hAnsi="宋体"/>
                <w:snapToGrid w:val="0"/>
                <w:kern w:val="0"/>
                <w:sz w:val="24"/>
                <w:szCs w:val="24"/>
              </w:rPr>
              <w:t>2.5m的</w:t>
            </w:r>
            <w:r>
              <w:rPr>
                <w:rFonts w:hint="eastAsia" w:ascii="宋体" w:hAnsi="宋体"/>
                <w:snapToGrid w:val="0"/>
                <w:kern w:val="0"/>
                <w:sz w:val="24"/>
                <w:szCs w:val="24"/>
              </w:rPr>
              <w:t>人行步</w:t>
            </w:r>
            <w:r>
              <w:rPr>
                <w:rFonts w:ascii="宋体" w:hAnsi="宋体"/>
                <w:snapToGrid w:val="0"/>
                <w:kern w:val="0"/>
                <w:sz w:val="24"/>
                <w:szCs w:val="24"/>
              </w:rPr>
              <w:t>道</w:t>
            </w:r>
            <w:r>
              <w:rPr>
                <w:rFonts w:hint="eastAsia" w:ascii="宋体" w:hAnsi="宋体"/>
                <w:snapToGrid w:val="0"/>
                <w:kern w:val="0"/>
                <w:sz w:val="24"/>
                <w:szCs w:val="24"/>
              </w:rPr>
              <w:t>可视为绿地，其水平投影面积可</w:t>
            </w:r>
            <w:r>
              <w:rPr>
                <w:rFonts w:ascii="宋体" w:hAnsi="宋体"/>
                <w:snapToGrid w:val="0"/>
                <w:kern w:val="0"/>
                <w:sz w:val="24"/>
                <w:szCs w:val="24"/>
              </w:rPr>
              <w:t>计入</w:t>
            </w:r>
            <w:r>
              <w:rPr>
                <w:rFonts w:hint="eastAsia" w:ascii="宋体" w:hAnsi="宋体"/>
                <w:snapToGrid w:val="0"/>
                <w:kern w:val="0"/>
                <w:sz w:val="24"/>
                <w:szCs w:val="24"/>
              </w:rPr>
              <w:t>绿地面积。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地面绿地</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地面绿地是指上、下方均无建、构筑物（不含阳台、雨篷等悬空建筑）遮挡，地面覆盖种植土</w:t>
            </w:r>
            <w:r>
              <w:rPr>
                <w:rFonts w:ascii="宋体" w:hAnsi="宋体"/>
                <w:snapToGrid w:val="0"/>
                <w:kern w:val="0"/>
                <w:sz w:val="24"/>
                <w:szCs w:val="24"/>
              </w:rPr>
              <w:t>，适于栽植</w:t>
            </w:r>
            <w:r>
              <w:rPr>
                <w:rFonts w:hint="eastAsia" w:ascii="宋体" w:hAnsi="宋体"/>
                <w:snapToGrid w:val="0"/>
                <w:kern w:val="0"/>
                <w:sz w:val="24"/>
                <w:szCs w:val="24"/>
              </w:rPr>
              <w:t>包括</w:t>
            </w:r>
            <w:r>
              <w:rPr>
                <w:rFonts w:hint="eastAsia" w:ascii="宋体" w:hAnsi="宋体"/>
                <w:bCs/>
                <w:snapToGrid w:val="0"/>
                <w:kern w:val="0"/>
                <w:sz w:val="24"/>
                <w:szCs w:val="24"/>
              </w:rPr>
              <w:t>深根性乔木在内</w:t>
            </w:r>
            <w:r>
              <w:rPr>
                <w:rFonts w:hint="eastAsia" w:ascii="宋体" w:hAnsi="宋体"/>
                <w:snapToGrid w:val="0"/>
                <w:kern w:val="0"/>
                <w:sz w:val="24"/>
                <w:szCs w:val="24"/>
              </w:rPr>
              <w:t>的各类植物的用地。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3.5.2.2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屋顶绿地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屋顶绿地是指方便行人出入，且同时满足以下条件的地下室或半地下室的屋顶绿化：</w:t>
            </w:r>
          </w:p>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⑴</w:t>
            </w:r>
            <w:r>
              <w:rPr>
                <w:rFonts w:hint="eastAsia" w:ascii="宋体" w:hAnsi="宋体"/>
                <w:snapToGrid w:val="0"/>
                <w:kern w:val="0"/>
                <w:sz w:val="24"/>
                <w:szCs w:val="24"/>
              </w:rPr>
              <w:t>上方无建、构筑物（不含阳台、雨篷等悬空建筑）遮挡。</w:t>
            </w:r>
          </w:p>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⑵</w:t>
            </w:r>
            <w:r>
              <w:rPr>
                <w:rFonts w:ascii="宋体" w:hAnsi="宋体"/>
                <w:snapToGrid w:val="0"/>
                <w:kern w:val="0"/>
                <w:sz w:val="24"/>
                <w:szCs w:val="24"/>
              </w:rPr>
              <w:t>地下</w:t>
            </w:r>
            <w:r>
              <w:rPr>
                <w:rFonts w:hint="eastAsia" w:ascii="宋体" w:hAnsi="宋体"/>
                <w:snapToGrid w:val="0"/>
                <w:kern w:val="0"/>
                <w:sz w:val="24"/>
                <w:szCs w:val="24"/>
              </w:rPr>
              <w:t>室</w:t>
            </w:r>
            <w:r>
              <w:rPr>
                <w:rFonts w:ascii="宋体" w:hAnsi="宋体"/>
                <w:snapToGrid w:val="0"/>
                <w:kern w:val="0"/>
                <w:sz w:val="24"/>
                <w:szCs w:val="24"/>
              </w:rPr>
              <w:t>顶板埋深</w:t>
            </w:r>
            <w:r>
              <w:rPr>
                <w:rFonts w:hint="eastAsia" w:ascii="宋体" w:hAnsi="宋体"/>
                <w:snapToGrid w:val="0"/>
                <w:kern w:val="0"/>
                <w:sz w:val="24"/>
                <w:szCs w:val="24"/>
              </w:rPr>
              <w:t>及其上方</w:t>
            </w:r>
            <w:r>
              <w:rPr>
                <w:rFonts w:hint="eastAsia" w:ascii="宋体" w:hAnsi="宋体"/>
                <w:bCs/>
                <w:snapToGrid w:val="0"/>
                <w:kern w:val="0"/>
                <w:sz w:val="24"/>
                <w:szCs w:val="24"/>
              </w:rPr>
              <w:t>种植覆土厚度均</w:t>
            </w:r>
            <w:r>
              <w:rPr>
                <w:rFonts w:hint="eastAsia" w:ascii="宋体" w:hAnsi="宋体"/>
                <w:snapToGrid w:val="0"/>
                <w:kern w:val="0"/>
                <w:sz w:val="24"/>
                <w:szCs w:val="24"/>
              </w:rPr>
              <w:t>不少于3m。</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⑶地下室或半地下室外墙垂直投影线周边3m范围内（水平方向）均为透水地面。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3.5.2.3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硬质景观和水体景观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⑴绿地范围内的硬质景观（如铺装及亭、台、榭等园林小品），其水平投影面积不超过周边绿地种植覆土水平投影面积3</w:t>
            </w:r>
            <w:r>
              <w:rPr>
                <w:rFonts w:ascii="宋体" w:hAnsi="宋体"/>
                <w:snapToGrid w:val="0"/>
                <w:kern w:val="0"/>
                <w:sz w:val="24"/>
                <w:szCs w:val="24"/>
              </w:rPr>
              <w:t>0%</w:t>
            </w:r>
            <w:r>
              <w:rPr>
                <w:rFonts w:hint="eastAsia" w:ascii="宋体" w:hAnsi="宋体"/>
                <w:snapToGrid w:val="0"/>
                <w:kern w:val="0"/>
                <w:sz w:val="24"/>
                <w:szCs w:val="24"/>
              </w:rPr>
              <w:t>的部分，可计入绿地面积</w:t>
            </w:r>
            <w:r>
              <w:rPr>
                <w:rFonts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⑵绿地范围内的水体景观（不包含生产水池、游泳池），其水平投影面积不超过周边绿地种植覆土水平投影面积3</w:t>
            </w:r>
            <w:r>
              <w:rPr>
                <w:rFonts w:ascii="宋体" w:hAnsi="宋体"/>
                <w:snapToGrid w:val="0"/>
                <w:kern w:val="0"/>
                <w:sz w:val="24"/>
                <w:szCs w:val="24"/>
              </w:rPr>
              <w:t>0%</w:t>
            </w:r>
            <w:r>
              <w:rPr>
                <w:rFonts w:hint="eastAsia" w:ascii="宋体" w:hAnsi="宋体"/>
                <w:snapToGrid w:val="0"/>
                <w:kern w:val="0"/>
                <w:sz w:val="24"/>
                <w:szCs w:val="24"/>
              </w:rPr>
              <w:t>的部分，可计入绿地面积</w:t>
            </w:r>
            <w:r>
              <w:rPr>
                <w:rFonts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折算绿地面积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折算绿地面积＝绿化面积×折算系数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绿化面积是指屋顶绿化或架空绿化种植覆土的水平投影面积。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折算系数是指绿化面积折算成绿地面积的相应系数。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3.5.3.1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屋顶绿化和架空绿化</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屋顶绿化包括地下室或半地下室的屋顶绿化（3.5.2.2所述屋顶绿地除外），以及地上建筑的屋顶绿化。</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架空绿化包括建筑首层、塔楼底层及其他楼层的架空绿化。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3.5.3.2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折算系数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依据种植覆土厚度，绿化面积的相应折算系数见下表：</w:t>
            </w:r>
          </w:p>
        </w:tc>
      </w:tr>
    </w:tbl>
    <w:p>
      <w:pPr>
        <w:spacing w:before="211" w:beforeLines="50"/>
        <w:ind w:left="1050" w:leftChars="500"/>
        <w:jc w:val="center"/>
        <w:rPr>
          <w:rFonts w:ascii="宋体" w:hAnsi="宋体"/>
          <w:snapToGrid w:val="0"/>
          <w:kern w:val="0"/>
        </w:rPr>
      </w:pPr>
      <w:r>
        <w:rPr>
          <w:rFonts w:hint="eastAsia" w:ascii="宋体" w:hAnsi="宋体"/>
          <w:snapToGrid w:val="0"/>
          <w:kern w:val="0"/>
        </w:rPr>
        <w:t>表3.5.3.2  折算系数</w:t>
      </w:r>
    </w:p>
    <w:tbl>
      <w:tblPr>
        <w:tblStyle w:val="19"/>
        <w:tblW w:w="9486" w:type="dxa"/>
        <w:tblInd w:w="-359"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992"/>
        <w:gridCol w:w="1374"/>
        <w:gridCol w:w="1392"/>
        <w:gridCol w:w="1163"/>
        <w:gridCol w:w="1163"/>
        <w:gridCol w:w="1163"/>
        <w:gridCol w:w="679"/>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60" w:type="dxa"/>
            <w:shd w:val="clear" w:color="auto" w:fill="auto"/>
            <w:vAlign w:val="center"/>
          </w:tcPr>
          <w:p>
            <w:pPr>
              <w:jc w:val="center"/>
              <w:rPr>
                <w:rFonts w:ascii="宋体" w:hAnsi="宋体"/>
                <w:snapToGrid w:val="0"/>
                <w:kern w:val="0"/>
              </w:rPr>
            </w:pPr>
            <w:r>
              <w:rPr>
                <w:rFonts w:hint="eastAsia" w:ascii="宋体" w:hAnsi="宋体"/>
                <w:bCs/>
                <w:snapToGrid w:val="0"/>
                <w:kern w:val="0"/>
              </w:rPr>
              <w:t>覆土厚度d(m)</w:t>
            </w:r>
          </w:p>
        </w:tc>
        <w:tc>
          <w:tcPr>
            <w:tcW w:w="992" w:type="dxa"/>
            <w:shd w:val="clear" w:color="auto" w:fill="auto"/>
            <w:vAlign w:val="center"/>
          </w:tcPr>
          <w:p>
            <w:pPr>
              <w:jc w:val="center"/>
              <w:rPr>
                <w:rFonts w:ascii="仿宋" w:hAnsi="仿宋" w:eastAsia="仿宋"/>
                <w:bCs/>
                <w:snapToGrid w:val="0"/>
                <w:kern w:val="0"/>
              </w:rPr>
            </w:pPr>
            <w:r>
              <w:rPr>
                <w:rFonts w:hint="eastAsia" w:ascii="仿宋" w:hAnsi="仿宋" w:eastAsia="仿宋"/>
                <w:bCs/>
                <w:snapToGrid w:val="0"/>
                <w:kern w:val="0"/>
              </w:rPr>
              <w:t>d＜</w:t>
            </w:r>
            <w:r>
              <w:rPr>
                <w:rFonts w:ascii="仿宋" w:hAnsi="仿宋" w:eastAsia="仿宋"/>
                <w:bCs/>
                <w:snapToGrid w:val="0"/>
                <w:kern w:val="0"/>
              </w:rPr>
              <w:t>0.</w:t>
            </w:r>
            <w:r>
              <w:rPr>
                <w:rFonts w:hint="eastAsia" w:ascii="仿宋" w:hAnsi="仿宋" w:eastAsia="仿宋"/>
                <w:bCs/>
                <w:snapToGrid w:val="0"/>
                <w:kern w:val="0"/>
              </w:rPr>
              <w:t>1</w:t>
            </w:r>
          </w:p>
        </w:tc>
        <w:tc>
          <w:tcPr>
            <w:tcW w:w="1374" w:type="dxa"/>
            <w:vAlign w:val="center"/>
          </w:tcPr>
          <w:p>
            <w:pPr>
              <w:jc w:val="center"/>
              <w:rPr>
                <w:rFonts w:ascii="仿宋" w:hAnsi="仿宋" w:eastAsia="仿宋"/>
                <w:bCs/>
                <w:snapToGrid w:val="0"/>
                <w:kern w:val="0"/>
              </w:rPr>
            </w:pPr>
            <w:r>
              <w:rPr>
                <w:rFonts w:ascii="仿宋" w:hAnsi="仿宋" w:eastAsia="仿宋"/>
                <w:bCs/>
                <w:snapToGrid w:val="0"/>
                <w:kern w:val="0"/>
              </w:rPr>
              <w:t>0.</w:t>
            </w:r>
            <w:r>
              <w:rPr>
                <w:rFonts w:hint="eastAsia" w:ascii="仿宋" w:hAnsi="仿宋" w:eastAsia="仿宋"/>
                <w:bCs/>
                <w:snapToGrid w:val="0"/>
                <w:kern w:val="0"/>
              </w:rPr>
              <w:t>1≤d＜</w:t>
            </w:r>
            <w:r>
              <w:rPr>
                <w:rFonts w:ascii="仿宋" w:hAnsi="仿宋" w:eastAsia="仿宋"/>
                <w:bCs/>
                <w:snapToGrid w:val="0"/>
                <w:kern w:val="0"/>
              </w:rPr>
              <w:t>0.</w:t>
            </w:r>
            <w:r>
              <w:rPr>
                <w:rFonts w:hint="eastAsia" w:ascii="仿宋" w:hAnsi="仿宋" w:eastAsia="仿宋"/>
                <w:bCs/>
                <w:snapToGrid w:val="0"/>
                <w:kern w:val="0"/>
              </w:rPr>
              <w:t>3</w:t>
            </w:r>
          </w:p>
        </w:tc>
        <w:tc>
          <w:tcPr>
            <w:tcW w:w="1392" w:type="dxa"/>
            <w:shd w:val="clear" w:color="auto" w:fill="auto"/>
            <w:vAlign w:val="center"/>
          </w:tcPr>
          <w:p>
            <w:pPr>
              <w:jc w:val="center"/>
              <w:rPr>
                <w:rFonts w:ascii="仿宋" w:hAnsi="仿宋" w:eastAsia="仿宋"/>
                <w:snapToGrid w:val="0"/>
                <w:kern w:val="0"/>
              </w:rPr>
            </w:pPr>
            <w:r>
              <w:rPr>
                <w:rFonts w:ascii="仿宋" w:hAnsi="仿宋" w:eastAsia="仿宋"/>
                <w:bCs/>
                <w:snapToGrid w:val="0"/>
                <w:kern w:val="0"/>
              </w:rPr>
              <w:t>0.</w:t>
            </w:r>
            <w:r>
              <w:rPr>
                <w:rFonts w:hint="eastAsia" w:ascii="仿宋" w:hAnsi="仿宋" w:eastAsia="仿宋"/>
                <w:bCs/>
                <w:snapToGrid w:val="0"/>
                <w:kern w:val="0"/>
              </w:rPr>
              <w:t>3≤d＜</w:t>
            </w:r>
            <w:r>
              <w:rPr>
                <w:rFonts w:ascii="仿宋" w:hAnsi="仿宋" w:eastAsia="仿宋"/>
                <w:bCs/>
                <w:snapToGrid w:val="0"/>
                <w:kern w:val="0"/>
              </w:rPr>
              <w:t>0.</w:t>
            </w:r>
            <w:r>
              <w:rPr>
                <w:rFonts w:hint="eastAsia" w:ascii="仿宋" w:hAnsi="仿宋" w:eastAsia="仿宋"/>
                <w:bCs/>
                <w:snapToGrid w:val="0"/>
                <w:kern w:val="0"/>
              </w:rPr>
              <w:t>5</w:t>
            </w:r>
          </w:p>
        </w:tc>
        <w:tc>
          <w:tcPr>
            <w:tcW w:w="1163" w:type="dxa"/>
            <w:shd w:val="clear" w:color="auto" w:fill="auto"/>
            <w:vAlign w:val="center"/>
          </w:tcPr>
          <w:p>
            <w:pPr>
              <w:jc w:val="center"/>
              <w:rPr>
                <w:rFonts w:ascii="仿宋" w:hAnsi="仿宋" w:eastAsia="仿宋"/>
                <w:snapToGrid w:val="0"/>
                <w:kern w:val="0"/>
              </w:rPr>
            </w:pPr>
            <w:r>
              <w:rPr>
                <w:rFonts w:hint="eastAsia" w:ascii="仿宋" w:hAnsi="仿宋" w:eastAsia="仿宋"/>
                <w:bCs/>
                <w:snapToGrid w:val="0"/>
                <w:kern w:val="0"/>
              </w:rPr>
              <w:t>0.5≤d＜1</w:t>
            </w:r>
          </w:p>
        </w:tc>
        <w:tc>
          <w:tcPr>
            <w:tcW w:w="1163" w:type="dxa"/>
            <w:shd w:val="clear" w:color="auto" w:fill="auto"/>
            <w:vAlign w:val="center"/>
          </w:tcPr>
          <w:p>
            <w:pPr>
              <w:jc w:val="center"/>
              <w:rPr>
                <w:rFonts w:ascii="仿宋" w:hAnsi="仿宋" w:eastAsia="仿宋"/>
                <w:snapToGrid w:val="0"/>
                <w:kern w:val="0"/>
              </w:rPr>
            </w:pPr>
            <w:r>
              <w:rPr>
                <w:rFonts w:ascii="仿宋" w:hAnsi="仿宋" w:eastAsia="仿宋"/>
                <w:bCs/>
                <w:snapToGrid w:val="0"/>
                <w:kern w:val="0"/>
              </w:rPr>
              <w:t>1</w:t>
            </w:r>
            <w:r>
              <w:rPr>
                <w:rFonts w:hint="eastAsia" w:ascii="仿宋" w:hAnsi="仿宋" w:eastAsia="仿宋"/>
                <w:bCs/>
                <w:snapToGrid w:val="0"/>
                <w:kern w:val="0"/>
              </w:rPr>
              <w:t>≤d＜</w:t>
            </w:r>
            <w:r>
              <w:rPr>
                <w:rFonts w:ascii="仿宋" w:hAnsi="仿宋" w:eastAsia="仿宋"/>
                <w:bCs/>
                <w:snapToGrid w:val="0"/>
                <w:kern w:val="0"/>
              </w:rPr>
              <w:t>1.</w:t>
            </w:r>
            <w:r>
              <w:rPr>
                <w:rFonts w:hint="eastAsia" w:ascii="仿宋" w:hAnsi="仿宋" w:eastAsia="仿宋"/>
                <w:bCs/>
                <w:snapToGrid w:val="0"/>
                <w:kern w:val="0"/>
              </w:rPr>
              <w:t>5</w:t>
            </w:r>
          </w:p>
        </w:tc>
        <w:tc>
          <w:tcPr>
            <w:tcW w:w="1163" w:type="dxa"/>
            <w:vAlign w:val="center"/>
          </w:tcPr>
          <w:p>
            <w:pPr>
              <w:jc w:val="center"/>
              <w:rPr>
                <w:rFonts w:ascii="仿宋" w:hAnsi="仿宋" w:eastAsia="仿宋"/>
                <w:bCs/>
                <w:snapToGrid w:val="0"/>
                <w:kern w:val="0"/>
              </w:rPr>
            </w:pPr>
            <w:r>
              <w:rPr>
                <w:rFonts w:ascii="仿宋" w:hAnsi="仿宋" w:eastAsia="仿宋"/>
                <w:bCs/>
                <w:snapToGrid w:val="0"/>
                <w:kern w:val="0"/>
              </w:rPr>
              <w:t>1.</w:t>
            </w:r>
            <w:r>
              <w:rPr>
                <w:rFonts w:hint="eastAsia" w:ascii="仿宋" w:hAnsi="仿宋" w:eastAsia="仿宋"/>
                <w:bCs/>
                <w:snapToGrid w:val="0"/>
                <w:kern w:val="0"/>
              </w:rPr>
              <w:t>5≤d＜3</w:t>
            </w:r>
          </w:p>
        </w:tc>
        <w:tc>
          <w:tcPr>
            <w:tcW w:w="679" w:type="dxa"/>
            <w:vAlign w:val="center"/>
          </w:tcPr>
          <w:p>
            <w:pPr>
              <w:jc w:val="center"/>
              <w:rPr>
                <w:rFonts w:ascii="仿宋" w:hAnsi="仿宋" w:eastAsia="仿宋"/>
                <w:bCs/>
                <w:snapToGrid w:val="0"/>
                <w:kern w:val="0"/>
              </w:rPr>
            </w:pPr>
            <w:r>
              <w:rPr>
                <w:rFonts w:hint="eastAsia" w:ascii="仿宋" w:hAnsi="仿宋" w:eastAsia="仿宋"/>
                <w:bCs/>
                <w:snapToGrid w:val="0"/>
                <w:kern w:val="0"/>
              </w:rPr>
              <w:t>d≥3</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560" w:type="dxa"/>
            <w:shd w:val="clear" w:color="auto" w:fill="auto"/>
            <w:vAlign w:val="center"/>
          </w:tcPr>
          <w:p>
            <w:pPr>
              <w:jc w:val="center"/>
              <w:rPr>
                <w:rFonts w:ascii="宋体" w:hAnsi="宋体"/>
                <w:bCs/>
                <w:snapToGrid w:val="0"/>
                <w:kern w:val="0"/>
              </w:rPr>
            </w:pPr>
            <w:r>
              <w:rPr>
                <w:rFonts w:ascii="宋体" w:hAnsi="宋体"/>
                <w:bCs/>
                <w:snapToGrid w:val="0"/>
                <w:kern w:val="0"/>
              </w:rPr>
              <w:t>折算系数</w:t>
            </w:r>
          </w:p>
        </w:tc>
        <w:tc>
          <w:tcPr>
            <w:tcW w:w="992" w:type="dxa"/>
            <w:shd w:val="clear" w:color="auto" w:fill="auto"/>
            <w:vAlign w:val="center"/>
          </w:tcPr>
          <w:p>
            <w:pPr>
              <w:jc w:val="center"/>
              <w:rPr>
                <w:rFonts w:ascii="仿宋" w:hAnsi="仿宋" w:eastAsia="仿宋"/>
                <w:bCs/>
                <w:snapToGrid w:val="0"/>
                <w:kern w:val="0"/>
              </w:rPr>
            </w:pPr>
            <w:r>
              <w:rPr>
                <w:rFonts w:hint="eastAsia" w:ascii="仿宋" w:hAnsi="仿宋" w:eastAsia="仿宋"/>
                <w:bCs/>
                <w:snapToGrid w:val="0"/>
                <w:kern w:val="0"/>
              </w:rPr>
              <w:t>0.0</w:t>
            </w:r>
          </w:p>
        </w:tc>
        <w:tc>
          <w:tcPr>
            <w:tcW w:w="1374" w:type="dxa"/>
          </w:tcPr>
          <w:p>
            <w:pPr>
              <w:jc w:val="center"/>
              <w:rPr>
                <w:rFonts w:ascii="仿宋" w:hAnsi="仿宋" w:eastAsia="仿宋"/>
                <w:bCs/>
                <w:snapToGrid w:val="0"/>
                <w:kern w:val="0"/>
              </w:rPr>
            </w:pPr>
            <w:r>
              <w:rPr>
                <w:rFonts w:hint="eastAsia" w:ascii="仿宋" w:hAnsi="仿宋" w:eastAsia="仿宋"/>
                <w:bCs/>
                <w:snapToGrid w:val="0"/>
                <w:kern w:val="0"/>
              </w:rPr>
              <w:t>0.1</w:t>
            </w:r>
          </w:p>
        </w:tc>
        <w:tc>
          <w:tcPr>
            <w:tcW w:w="1392" w:type="dxa"/>
            <w:shd w:val="clear" w:color="auto" w:fill="auto"/>
            <w:vAlign w:val="center"/>
          </w:tcPr>
          <w:p>
            <w:pPr>
              <w:jc w:val="center"/>
              <w:rPr>
                <w:rFonts w:ascii="仿宋" w:hAnsi="仿宋" w:eastAsia="仿宋"/>
                <w:snapToGrid w:val="0"/>
                <w:kern w:val="0"/>
              </w:rPr>
            </w:pPr>
            <w:r>
              <w:rPr>
                <w:rFonts w:hint="eastAsia" w:ascii="仿宋" w:hAnsi="仿宋" w:eastAsia="仿宋"/>
                <w:bCs/>
                <w:snapToGrid w:val="0"/>
                <w:kern w:val="0"/>
              </w:rPr>
              <w:t>0.3</w:t>
            </w:r>
          </w:p>
        </w:tc>
        <w:tc>
          <w:tcPr>
            <w:tcW w:w="1163" w:type="dxa"/>
            <w:shd w:val="clear" w:color="auto" w:fill="auto"/>
            <w:vAlign w:val="center"/>
          </w:tcPr>
          <w:p>
            <w:pPr>
              <w:jc w:val="center"/>
              <w:rPr>
                <w:rFonts w:ascii="仿宋" w:hAnsi="仿宋" w:eastAsia="仿宋"/>
                <w:snapToGrid w:val="0"/>
                <w:kern w:val="0"/>
              </w:rPr>
            </w:pPr>
            <w:r>
              <w:rPr>
                <w:rFonts w:hint="eastAsia" w:ascii="仿宋" w:hAnsi="仿宋" w:eastAsia="仿宋"/>
                <w:bCs/>
                <w:snapToGrid w:val="0"/>
                <w:kern w:val="0"/>
              </w:rPr>
              <w:t>0.5</w:t>
            </w:r>
          </w:p>
        </w:tc>
        <w:tc>
          <w:tcPr>
            <w:tcW w:w="1163" w:type="dxa"/>
            <w:shd w:val="clear" w:color="auto" w:fill="auto"/>
            <w:vAlign w:val="center"/>
          </w:tcPr>
          <w:p>
            <w:pPr>
              <w:jc w:val="center"/>
              <w:rPr>
                <w:rFonts w:ascii="仿宋" w:hAnsi="仿宋" w:eastAsia="仿宋"/>
                <w:snapToGrid w:val="0"/>
                <w:kern w:val="0"/>
              </w:rPr>
            </w:pPr>
            <w:r>
              <w:rPr>
                <w:rFonts w:ascii="仿宋" w:hAnsi="仿宋" w:eastAsia="仿宋"/>
                <w:bCs/>
                <w:snapToGrid w:val="0"/>
                <w:kern w:val="0"/>
              </w:rPr>
              <w:t>0.6</w:t>
            </w:r>
          </w:p>
        </w:tc>
        <w:tc>
          <w:tcPr>
            <w:tcW w:w="1163" w:type="dxa"/>
            <w:vAlign w:val="center"/>
          </w:tcPr>
          <w:p>
            <w:pPr>
              <w:jc w:val="center"/>
              <w:rPr>
                <w:rFonts w:ascii="仿宋" w:hAnsi="仿宋" w:eastAsia="仿宋"/>
                <w:bCs/>
                <w:snapToGrid w:val="0"/>
                <w:kern w:val="0"/>
              </w:rPr>
            </w:pPr>
            <w:r>
              <w:rPr>
                <w:rFonts w:ascii="仿宋" w:hAnsi="仿宋" w:eastAsia="仿宋"/>
                <w:bCs/>
                <w:snapToGrid w:val="0"/>
                <w:kern w:val="0"/>
              </w:rPr>
              <w:t>0.8</w:t>
            </w:r>
          </w:p>
        </w:tc>
        <w:tc>
          <w:tcPr>
            <w:tcW w:w="679" w:type="dxa"/>
            <w:vAlign w:val="center"/>
          </w:tcPr>
          <w:p>
            <w:pPr>
              <w:jc w:val="center"/>
              <w:rPr>
                <w:rFonts w:ascii="仿宋" w:hAnsi="仿宋" w:eastAsia="仿宋"/>
                <w:bCs/>
                <w:snapToGrid w:val="0"/>
                <w:kern w:val="0"/>
              </w:rPr>
            </w:pPr>
            <w:r>
              <w:rPr>
                <w:rFonts w:hint="eastAsia" w:ascii="仿宋" w:hAnsi="仿宋" w:eastAsia="仿宋"/>
                <w:bCs/>
                <w:snapToGrid w:val="0"/>
                <w:kern w:val="0"/>
              </w:rPr>
              <w:t>0.9</w:t>
            </w:r>
          </w:p>
        </w:tc>
      </w:tr>
    </w:tbl>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3.6</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建筑高度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特殊控制区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位于机场、电台、电信、微波通信、气象台、卫星地面站、军事要塞工程等周围，且处在各种技术作业控制区范围内。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位于国家或地方公布的各级历史文化名城、历史文化保护区、文物保护单位和风景名胜区等保护规划区内。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坡屋顶、特殊造型屋顶以及位于特殊控制区范围内的建筑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建筑高度按建筑物室外地面至建筑物最高点的垂直高度计算。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位于非特殊控制区范围内的平屋顶建筑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建筑高度一般按建筑物室外地面至建筑物最高点的垂直高度计算，但满足以下条件的屋顶突出物可不计入建筑高度：</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⑴局部突出屋面，水平投影面积之和占屋顶平面水平投影面积不超过</w:t>
            </w:r>
            <w:r>
              <w:rPr>
                <w:rFonts w:ascii="宋体" w:hAnsi="宋体"/>
                <w:snapToGrid w:val="0"/>
                <w:kern w:val="0"/>
                <w:sz w:val="24"/>
                <w:szCs w:val="24"/>
              </w:rPr>
              <w:t>1/4且高度不超过12m</w:t>
            </w:r>
            <w:r>
              <w:rPr>
                <w:rFonts w:hint="eastAsia" w:ascii="宋体" w:hAnsi="宋体"/>
                <w:snapToGrid w:val="0"/>
                <w:kern w:val="0"/>
                <w:sz w:val="24"/>
                <w:szCs w:val="24"/>
              </w:rPr>
              <w:t>的楼梯间、电梯机房、水箱间等辅助用房。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⑵突出屋面的通风道、烟囱、通信设施等及空调冷却塔等设备。</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⑶高度不超过限值</w:t>
            </w:r>
            <w:r>
              <w:rPr>
                <w:rFonts w:ascii="宋体" w:hAnsi="宋体"/>
                <w:snapToGrid w:val="0"/>
                <w:kern w:val="0"/>
                <w:sz w:val="24"/>
                <w:szCs w:val="24"/>
              </w:rPr>
              <w:t>的</w:t>
            </w:r>
            <w:r>
              <w:rPr>
                <w:rFonts w:hint="eastAsia" w:ascii="宋体" w:hAnsi="宋体"/>
                <w:snapToGrid w:val="0"/>
                <w:kern w:val="0"/>
                <w:sz w:val="24"/>
                <w:szCs w:val="24"/>
              </w:rPr>
              <w:t>屋面构架及用以遮挡屋顶设备等屋顶突出物的幕墙。</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⑷高度不超过</w:t>
            </w:r>
            <w:r>
              <w:rPr>
                <w:rFonts w:ascii="宋体" w:hAnsi="宋体"/>
                <w:snapToGrid w:val="0"/>
                <w:kern w:val="0"/>
                <w:sz w:val="24"/>
                <w:szCs w:val="24"/>
              </w:rPr>
              <w:t>1.5m的</w:t>
            </w:r>
            <w:r>
              <w:rPr>
                <w:rFonts w:hint="eastAsia" w:ascii="宋体" w:hAnsi="宋体"/>
                <w:snapToGrid w:val="0"/>
                <w:kern w:val="0"/>
                <w:sz w:val="24"/>
                <w:szCs w:val="24"/>
              </w:rPr>
              <w:t>实体女儿墙。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当同一栋建筑物有多种屋面形式时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建筑高度应按</w:t>
            </w:r>
            <w:r>
              <w:rPr>
                <w:rFonts w:ascii="宋体" w:hAnsi="宋体"/>
                <w:snapToGrid w:val="0"/>
                <w:kern w:val="0"/>
                <w:sz w:val="24"/>
                <w:szCs w:val="24"/>
              </w:rPr>
              <w:t>3.6.2或3.6.3</w:t>
            </w:r>
            <w:r>
              <w:rPr>
                <w:rFonts w:hint="eastAsia" w:ascii="宋体" w:hAnsi="宋体"/>
                <w:snapToGrid w:val="0"/>
                <w:kern w:val="0"/>
                <w:sz w:val="24"/>
                <w:szCs w:val="24"/>
              </w:rPr>
              <w:t>规定分别计算后取其中最大值。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当场地地坪高度不同时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3.6.5.1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当建筑周边室外地面标高不一致时，建筑高度从计入地面以上层数的半地下室及地面层建筑外墙（或结构外围）接触室外地面（或地下室顶板面）的最低点处起算。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3.6.5.2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位于不同地坪标高台地上的同一栋建筑，当不同地坪标高上的建筑之间均有防火分隔，各自有符合要求的安全出入口，且可沿建筑的两个长边设置消防车道或设有尽端式消防车道时，建筑高度可分别计算后取其中最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3.7</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建筑栋(座)数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3.7.1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地面以上由裙房（含架空层）相连通，或由计入地上建筑面积的半地下室相连通的建筑均可视为一栋，同一栋建筑中的不同建筑塔楼各自视为一座。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3.7.</w:t>
            </w:r>
            <w:r>
              <w:rPr>
                <w:rFonts w:hint="eastAsia" w:ascii="宋体" w:hAnsi="宋体"/>
                <w:b/>
                <w:snapToGrid w:val="0"/>
                <w:kern w:val="0"/>
                <w:sz w:val="24"/>
                <w:szCs w:val="24"/>
              </w:rPr>
              <w:t>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地面以下互相连通共用一个大地下室，但地面以上相互独立的建筑视为多栋建筑。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3.7.</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楼栋序号一般用阿拉伯数字表示（如</w:t>
            </w:r>
            <w:r>
              <w:rPr>
                <w:rFonts w:ascii="宋体" w:hAnsi="宋体"/>
                <w:snapToGrid w:val="0"/>
                <w:kern w:val="0"/>
                <w:sz w:val="24"/>
                <w:szCs w:val="24"/>
              </w:rPr>
              <w:t>1栋、2栋……</w:t>
            </w:r>
            <w:r>
              <w:rPr>
                <w:rFonts w:hint="eastAsia" w:ascii="宋体" w:hAnsi="宋体"/>
                <w:snapToGrid w:val="0"/>
                <w:kern w:val="0"/>
                <w:sz w:val="24"/>
                <w:szCs w:val="24"/>
              </w:rPr>
              <w:t>），楼座序号一般用英文字母表示（如</w:t>
            </w:r>
            <w:r>
              <w:rPr>
                <w:rFonts w:ascii="宋体" w:hAnsi="宋体"/>
                <w:snapToGrid w:val="0"/>
                <w:kern w:val="0"/>
                <w:sz w:val="24"/>
                <w:szCs w:val="24"/>
              </w:rPr>
              <w:t>A座、B座……</w:t>
            </w:r>
            <w:r>
              <w:rPr>
                <w:rFonts w:hint="eastAsia" w:ascii="宋体" w:hAnsi="宋体"/>
                <w:snapToGrid w:val="0"/>
                <w:kern w:val="0"/>
                <w:sz w:val="24"/>
                <w:szCs w:val="24"/>
              </w:rPr>
              <w:t>）。楼栋或楼座序号应为连续的数字或字母。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3.7.4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总平面图中应标注建筑物楼牌号预编号。楼牌号必须使用阿拉伯数字，数字后中文字符统一使用“栋”。根据建设工程整体规划布局有序编号，不得跳号、重号。如并列多排的楼栋群，可从主要出入口开始以“之”字形依次编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3.8</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3.8.1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按层高不小于</w:t>
            </w:r>
            <w:r>
              <w:rPr>
                <w:rFonts w:ascii="宋体" w:hAnsi="宋体"/>
                <w:snapToGrid w:val="0"/>
                <w:kern w:val="0"/>
                <w:sz w:val="24"/>
                <w:szCs w:val="24"/>
              </w:rPr>
              <w:t>2.2m</w:t>
            </w:r>
            <w:r>
              <w:rPr>
                <w:rFonts w:hint="eastAsia" w:ascii="宋体" w:hAnsi="宋体"/>
                <w:snapToGrid w:val="0"/>
                <w:kern w:val="0"/>
                <w:sz w:val="24"/>
                <w:szCs w:val="24"/>
              </w:rPr>
              <w:t>的楼板结构分层计算层数，不包括</w:t>
            </w:r>
            <w:r>
              <w:rPr>
                <w:rFonts w:ascii="宋体" w:hAnsi="宋体"/>
                <w:snapToGrid w:val="0"/>
                <w:kern w:val="0"/>
                <w:sz w:val="24"/>
                <w:szCs w:val="24"/>
              </w:rPr>
              <w:t>3.6.3</w:t>
            </w:r>
            <w:r>
              <w:rPr>
                <w:rFonts w:hint="eastAsia" w:ascii="宋体" w:hAnsi="宋体"/>
                <w:snapToGrid w:val="0"/>
                <w:kern w:val="0"/>
                <w:sz w:val="24"/>
                <w:szCs w:val="24"/>
              </w:rPr>
              <w:t>⑴规定不计入建筑高度的层数。楼层序号必须连续。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3.8.2</w:t>
            </w:r>
          </w:p>
        </w:tc>
        <w:tc>
          <w:tcPr>
            <w:tcW w:w="8220"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建筑物内各层的层数排列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3.8.2.1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最上层地下室所在楼层称为地下一层，其楼板以下相邻地下室楼层称为地下二层，以此类推至地下室最低层数。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3.8.2.2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最上层半地下室所在楼层称为半地下一层，其楼板以下相邻半地下室楼层称为半地下二层，以此类推至半地下室最低层数。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3.8.2.3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snapToGrid w:val="0"/>
                <w:kern w:val="0"/>
                <w:sz w:val="24"/>
                <w:szCs w:val="24"/>
              </w:rPr>
              <w:t>坡地建筑半地下一层或平地建筑地下一层顶板以上相邻楼层</w:t>
            </w:r>
            <w:r>
              <w:rPr>
                <w:rFonts w:hint="eastAsia" w:ascii="宋体" w:hAnsi="宋体"/>
                <w:snapToGrid w:val="0"/>
                <w:kern w:val="0"/>
                <w:sz w:val="24"/>
                <w:szCs w:val="24"/>
              </w:rPr>
              <w:t>的最低室内地面设计标高为正负零，该层称为一层或首层。一层或首层顶板以上称为二层，以此类推至建筑物最高层数。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3.8.2.4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建筑各层之间如设有夹层，则该层不计入层数排列；但建筑物内设有中庭或透空的，其四周楼层仍按</w:t>
            </w:r>
            <w:r>
              <w:rPr>
                <w:rFonts w:ascii="宋体" w:hAnsi="宋体"/>
                <w:snapToGrid w:val="0"/>
                <w:kern w:val="0"/>
                <w:sz w:val="24"/>
                <w:szCs w:val="24"/>
              </w:rPr>
              <w:t>3.8.2.3</w:t>
            </w:r>
            <w:r>
              <w:rPr>
                <w:rFonts w:hint="eastAsia" w:ascii="宋体" w:hAnsi="宋体"/>
                <w:snapToGrid w:val="0"/>
                <w:kern w:val="0"/>
                <w:sz w:val="24"/>
                <w:szCs w:val="24"/>
              </w:rPr>
              <w:t>规定排列。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3.8.2.5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错层建筑，以标高为正负零的楼层（一层或首层）为标准，第二层楼面标高以下的层数为一层或首层（不同标高的楼层应分别注明标高），层数的标注方法按此规则类推。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3.8.3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建筑物内电梯楼层排列</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建筑物内电梯楼层遵照</w:t>
            </w:r>
            <w:r>
              <w:rPr>
                <w:rFonts w:ascii="宋体" w:hAnsi="宋体"/>
                <w:snapToGrid w:val="0"/>
                <w:kern w:val="0"/>
                <w:sz w:val="24"/>
                <w:szCs w:val="24"/>
              </w:rPr>
              <w:t>3.8.2</w:t>
            </w:r>
            <w:r>
              <w:rPr>
                <w:rFonts w:hint="eastAsia" w:ascii="宋体" w:hAnsi="宋体"/>
                <w:snapToGrid w:val="0"/>
                <w:kern w:val="0"/>
                <w:sz w:val="24"/>
                <w:szCs w:val="24"/>
              </w:rPr>
              <w:t>规定排列。</w:t>
            </w:r>
          </w:p>
        </w:tc>
      </w:tr>
    </w:tbl>
    <w:p>
      <w: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kern w:val="0"/>
              </w:rPr>
              <w:br w:type="page"/>
            </w:r>
            <w:r>
              <w:rPr>
                <w:rFonts w:hint="eastAsia" w:ascii="宋体" w:hAnsi="宋体"/>
                <w:b/>
                <w:snapToGrid w:val="0"/>
                <w:kern w:val="0"/>
                <w:sz w:val="32"/>
                <w:szCs w:val="32"/>
              </w:rPr>
              <w:t>第4章</w:t>
            </w:r>
          </w:p>
        </w:tc>
        <w:tc>
          <w:tcPr>
            <w:tcW w:w="8220" w:type="dxa"/>
          </w:tcPr>
          <w:p>
            <w:pPr>
              <w:tabs>
                <w:tab w:val="left" w:pos="1170"/>
              </w:tabs>
              <w:topLinePunct/>
              <w:snapToGrid w:val="0"/>
              <w:spacing w:before="211" w:beforeLines="50"/>
              <w:rPr>
                <w:rFonts w:ascii="宋体" w:hAnsi="宋体"/>
                <w:b/>
                <w:snapToGrid w:val="0"/>
                <w:kern w:val="0"/>
                <w:sz w:val="32"/>
                <w:szCs w:val="32"/>
              </w:rPr>
            </w:pPr>
            <w:r>
              <w:rPr>
                <w:rFonts w:hint="eastAsia" w:ascii="宋体" w:hAnsi="宋体"/>
                <w:b/>
                <w:snapToGrid w:val="0"/>
                <w:kern w:val="0"/>
                <w:sz w:val="32"/>
                <w:szCs w:val="32"/>
              </w:rPr>
              <w:t>总图设计</w:t>
            </w:r>
          </w:p>
          <w:p>
            <w:pPr>
              <w:tabs>
                <w:tab w:val="left" w:pos="1170"/>
              </w:tabs>
              <w:topLinePunct/>
              <w:snapToGrid w:val="0"/>
              <w:spacing w:before="211" w:beforeLines="50"/>
              <w:rPr>
                <w:rStyle w:val="66"/>
                <w:rFonts w:ascii="宋体" w:hAnsi="宋体"/>
                <w:snapToGrid w:val="0"/>
                <w:kern w:val="0"/>
              </w:rPr>
            </w:pPr>
            <w:r>
              <w:rPr>
                <w:rFonts w:hint="eastAsia" w:ascii="宋体" w:hAnsi="宋体"/>
                <w:snapToGrid w:val="0"/>
                <w:kern w:val="0"/>
                <w:sz w:val="24"/>
                <w:szCs w:val="24"/>
              </w:rPr>
              <w:t>总图设计是对用地内的建筑布局、道路、竖向、绿化及工程管线等进行综合性的设计，又称为场地设计或总平面设计。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hint="eastAsia" w:ascii="宋体" w:hAnsi="宋体"/>
                <w:b/>
                <w:snapToGrid w:val="0"/>
                <w:kern w:val="0"/>
                <w:sz w:val="28"/>
                <w:szCs w:val="28"/>
              </w:rPr>
              <w:t>4.1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总体要求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4.1.1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总图设计必须对建设场地的地形地貌、水文地质、气象等条件作深入的了解，依据建设项目的使用功能要求和规划设计条件，依据用地内外的现状条件和有关法规、规范，合理组织与安排场地中各构成要素之间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4.1.2</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ascii="宋体" w:hAnsi="宋体"/>
                <w:snapToGrid w:val="0"/>
                <w:kern w:val="0"/>
                <w:sz w:val="24"/>
                <w:szCs w:val="24"/>
              </w:rPr>
              <w:t>总平面图应准确、真实地反映</w:t>
            </w:r>
            <w:r>
              <w:rPr>
                <w:rFonts w:hint="eastAsia" w:ascii="宋体" w:hAnsi="宋体"/>
                <w:snapToGrid w:val="0"/>
                <w:kern w:val="0"/>
                <w:sz w:val="24"/>
                <w:szCs w:val="24"/>
              </w:rPr>
              <w:t>用地周边至少</w:t>
            </w:r>
            <w:r>
              <w:rPr>
                <w:rFonts w:ascii="宋体" w:hAnsi="宋体"/>
                <w:snapToGrid w:val="0"/>
                <w:kern w:val="0"/>
                <w:sz w:val="24"/>
                <w:szCs w:val="24"/>
              </w:rPr>
              <w:t>50m</w:t>
            </w:r>
            <w:r>
              <w:rPr>
                <w:rFonts w:hint="eastAsia" w:ascii="宋体" w:hAnsi="宋体"/>
                <w:snapToGrid w:val="0"/>
                <w:kern w:val="0"/>
                <w:sz w:val="24"/>
                <w:szCs w:val="24"/>
              </w:rPr>
              <w:t>范围的现状和规划情况（包括：地形地貌、现有建筑、规划用地性质、开发强度）以及片区交通、市政公用设施情况。总图设计应统筹考虑本地块与相邻地块的建筑布局关系，使本地块建筑与周边环境相协调，创造良好的城市空间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4.1.3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建设用地内道路、广场、绿地及建筑等均应按国家和深圳市有关规定要求做好无障碍设计。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4.1.4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建设规模大、周边情况复杂确需分期建设的项目，应根据其规模、进度</w:t>
            </w:r>
            <w:r>
              <w:rPr>
                <w:rFonts w:hint="eastAsia" w:ascii="宋体" w:hAnsi="宋体"/>
                <w:snapToGrid w:val="0"/>
                <w:kern w:val="0"/>
                <w:sz w:val="24"/>
                <w:szCs w:val="24"/>
              </w:rPr>
              <w:t>以及公共配套设施等情况合理分期，并在总平面图上明确标注各期范围、指标等。前期的交通、消防、设施等应满足使用要求。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4.1.5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总平面图的主要技术经济指标表中应列明该宗地内所有</w:t>
            </w:r>
            <w:r>
              <w:rPr>
                <w:rFonts w:hint="eastAsia" w:ascii="宋体" w:hAnsi="宋体"/>
                <w:snapToGrid w:val="0"/>
                <w:kern w:val="0"/>
                <w:sz w:val="24"/>
                <w:szCs w:val="24"/>
              </w:rPr>
              <w:t>公共空间、公共配套设施、绿地绿化，以及</w:t>
            </w:r>
            <w:r>
              <w:rPr>
                <w:rFonts w:ascii="宋体" w:hAnsi="宋体"/>
                <w:snapToGrid w:val="0"/>
                <w:kern w:val="0"/>
                <w:sz w:val="24"/>
                <w:szCs w:val="24"/>
              </w:rPr>
              <w:t>核增建筑面积的位置、功能和数量。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4.2</w:t>
            </w:r>
          </w:p>
        </w:tc>
        <w:tc>
          <w:tcPr>
            <w:tcW w:w="8220"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8"/>
                <w:szCs w:val="28"/>
              </w:rPr>
              <w:t>建筑退线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建筑退线分为地上建筑退线和地下室退线。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退让用地红线距离应符合市规划主管部门核发的《建设用地规划许可证》或其他有明确用地规划条件的批复文件的相关规划要求。有特别管制或安全防护要求的（如高压线、输油管、输气管、轨道交通等），应符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地上</w:t>
            </w:r>
            <w:r>
              <w:rPr>
                <w:rFonts w:hint="eastAsia" w:ascii="宋体" w:hAnsi="宋体"/>
                <w:b/>
                <w:snapToGrid w:val="0"/>
                <w:kern w:val="0"/>
                <w:sz w:val="24"/>
                <w:szCs w:val="24"/>
              </w:rPr>
              <w:t>建筑退线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地上建筑及其附属设施（包括机械停车、门廊、连廊、阳台、室外楼梯，及不满足</w:t>
            </w:r>
            <w:r>
              <w:rPr>
                <w:rFonts w:ascii="宋体" w:hAnsi="宋体"/>
                <w:snapToGrid w:val="0"/>
                <w:kern w:val="0"/>
                <w:sz w:val="24"/>
                <w:szCs w:val="24"/>
              </w:rPr>
              <w:t>4.2.1.2</w:t>
            </w:r>
            <w:r>
              <w:rPr>
                <w:rFonts w:hint="eastAsia" w:ascii="宋体" w:hAnsi="宋体" w:cs="宋体"/>
                <w:snapToGrid w:val="0"/>
                <w:kern w:val="0"/>
                <w:sz w:val="24"/>
                <w:szCs w:val="24"/>
              </w:rPr>
              <w:t>⑴</w:t>
            </w:r>
            <w:r>
              <w:rPr>
                <w:rFonts w:hint="eastAsia" w:ascii="宋体" w:hAnsi="宋体"/>
                <w:snapToGrid w:val="0"/>
                <w:kern w:val="0"/>
                <w:sz w:val="24"/>
                <w:szCs w:val="24"/>
              </w:rPr>
              <w:t>规定的雨篷、遮阳板、屋顶挑檐等）的水平投影外缘不应逾越建筑控制线。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4.2.1.2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以下情况允许突出建筑控制线，但不应逾越用地红线：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⑴距离室外地面净高4.5</w:t>
            </w:r>
            <w:r>
              <w:rPr>
                <w:rFonts w:ascii="宋体" w:hAnsi="宋体"/>
                <w:snapToGrid w:val="0"/>
                <w:kern w:val="0"/>
                <w:sz w:val="24"/>
                <w:szCs w:val="24"/>
              </w:rPr>
              <w:t>m</w:t>
            </w:r>
            <w:r>
              <w:rPr>
                <w:rFonts w:hint="eastAsia" w:ascii="宋体" w:hAnsi="宋体"/>
                <w:snapToGrid w:val="0"/>
                <w:kern w:val="0"/>
                <w:sz w:val="24"/>
                <w:szCs w:val="24"/>
              </w:rPr>
              <w:t>以上，突出深度不超过</w:t>
            </w:r>
            <w:r>
              <w:rPr>
                <w:rFonts w:ascii="宋体" w:hAnsi="宋体"/>
                <w:snapToGrid w:val="0"/>
                <w:kern w:val="0"/>
                <w:sz w:val="24"/>
                <w:szCs w:val="24"/>
              </w:rPr>
              <w:t>3m</w:t>
            </w:r>
            <w:r>
              <w:rPr>
                <w:rFonts w:hint="eastAsia" w:ascii="宋体" w:hAnsi="宋体"/>
                <w:snapToGrid w:val="0"/>
                <w:kern w:val="0"/>
                <w:sz w:val="24"/>
                <w:szCs w:val="24"/>
              </w:rPr>
              <w:t>的悬挑雨篷、遮阳板、屋顶挑檐等。</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投影面积不大于4㎡且出地面高度不大于2m的地下室风井，以及投影面积不大于30㎡且周边维护墙体高度不大于0.5m的人防出入口可突出建筑控制线设置，但退用地红线距离一般不小于3m。</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建筑面积不大于10㎡且建筑高度不大于</w:t>
            </w:r>
            <w:r>
              <w:rPr>
                <w:rFonts w:ascii="宋体" w:hAnsi="宋体"/>
                <w:snapToGrid w:val="0"/>
                <w:kern w:val="0"/>
                <w:sz w:val="24"/>
                <w:szCs w:val="24"/>
              </w:rPr>
              <w:t>6m</w:t>
            </w:r>
            <w:r>
              <w:rPr>
                <w:rFonts w:hint="eastAsia" w:ascii="宋体" w:hAnsi="宋体"/>
                <w:snapToGrid w:val="0"/>
                <w:kern w:val="0"/>
                <w:sz w:val="24"/>
                <w:szCs w:val="24"/>
              </w:rPr>
              <w:t>的门卫房建筑，其正投影外缘退用地红线距离不得小于</w:t>
            </w:r>
            <w:r>
              <w:rPr>
                <w:rFonts w:ascii="宋体" w:hAnsi="宋体"/>
                <w:snapToGrid w:val="0"/>
                <w:kern w:val="0"/>
                <w:sz w:val="24"/>
                <w:szCs w:val="24"/>
              </w:rPr>
              <w:t>1m</w:t>
            </w:r>
            <w:r>
              <w:rPr>
                <w:rFonts w:hint="eastAsia" w:ascii="宋体" w:hAnsi="宋体"/>
                <w:snapToGrid w:val="0"/>
                <w:kern w:val="0"/>
                <w:sz w:val="24"/>
                <w:szCs w:val="24"/>
              </w:rPr>
              <w:t>；超过该规模的门卫房建筑需满足地上建筑退线要求。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⑷</w:t>
            </w:r>
            <w:r>
              <w:rPr>
                <w:rFonts w:hint="eastAsia" w:ascii="宋体" w:hAnsi="宋体"/>
                <w:snapToGrid w:val="0"/>
                <w:kern w:val="0"/>
                <w:sz w:val="24"/>
                <w:szCs w:val="24"/>
              </w:rPr>
              <w:t>按城市规划要求单独设置的环卫设施，其正投影外缘退用地红线距离不得小于</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w:t>
            </w:r>
          </w:p>
        </w:tc>
        <w:tc>
          <w:tcPr>
            <w:tcW w:w="8220"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b/>
                <w:snapToGrid w:val="0"/>
                <w:kern w:val="0"/>
                <w:sz w:val="24"/>
                <w:szCs w:val="24"/>
              </w:rPr>
              <w:t>地下室退线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4.2.2.1</w:t>
            </w:r>
          </w:p>
        </w:tc>
        <w:tc>
          <w:tcPr>
            <w:tcW w:w="8220"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地下室外墙面（柱外缘）退用地红线距离不应小于</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4.2.2.2</w:t>
            </w:r>
          </w:p>
        </w:tc>
        <w:tc>
          <w:tcPr>
            <w:tcW w:w="8220"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规划有特殊要求的地块，</w:t>
            </w:r>
            <w:r>
              <w:rPr>
                <w:rFonts w:ascii="宋体" w:hAnsi="宋体"/>
                <w:snapToGrid w:val="0"/>
                <w:kern w:val="0"/>
                <w:sz w:val="24"/>
                <w:szCs w:val="24"/>
              </w:rPr>
              <w:t>在满足消防、地下管线布置、人防疏散、基坑支护和基础施工等技术要求的前提下，</w:t>
            </w:r>
            <w:r>
              <w:rPr>
                <w:rFonts w:hint="eastAsia" w:ascii="宋体" w:hAnsi="宋体"/>
                <w:snapToGrid w:val="0"/>
                <w:kern w:val="0"/>
                <w:sz w:val="24"/>
                <w:szCs w:val="24"/>
              </w:rPr>
              <w:t>经规划主管部门批准，地下室可适当减少退线。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基础等永久性构件不应逾越用地红线。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规划允许相邻地块的地下室连通时</w:t>
            </w:r>
            <w:r>
              <w:rPr>
                <w:rFonts w:ascii="宋体" w:hAnsi="宋体"/>
                <w:snapToGrid w:val="0"/>
                <w:kern w:val="0"/>
                <w:sz w:val="24"/>
                <w:szCs w:val="24"/>
              </w:rPr>
              <w:t>,连通处可</w:t>
            </w:r>
            <w:r>
              <w:rPr>
                <w:rFonts w:hint="eastAsia" w:ascii="宋体" w:hAnsi="宋体"/>
                <w:snapToGrid w:val="0"/>
                <w:kern w:val="0"/>
                <w:sz w:val="24"/>
                <w:szCs w:val="24"/>
              </w:rPr>
              <w:t>零退线。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4.2.2.5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半地下室外墙露出室外地面高度大于</w:t>
            </w:r>
            <w:r>
              <w:rPr>
                <w:rFonts w:ascii="宋体" w:hAnsi="宋体"/>
                <w:snapToGrid w:val="0"/>
                <w:kern w:val="0"/>
                <w:sz w:val="24"/>
                <w:szCs w:val="24"/>
              </w:rPr>
              <w:t>1.5m</w:t>
            </w:r>
            <w:r>
              <w:rPr>
                <w:rFonts w:hint="eastAsia" w:ascii="宋体" w:hAnsi="宋体"/>
                <w:snapToGrid w:val="0"/>
                <w:kern w:val="0"/>
                <w:sz w:val="24"/>
                <w:szCs w:val="24"/>
              </w:rPr>
              <w:t>时，按地上建筑退线要求控制。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4.2.3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其他</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区内道路、地面露天停车场、绿化和地下工程管线等允许突出建筑控制线，但不应逾越用地红线。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4.3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建筑间距与建筑日照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建筑间距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建筑间距应符合《深圳市城市规划标准与准则》、消防规范、日照标准等有关规定。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有爆炸、有害气体、烟、雾、粉尘、辐射等危险的建筑物，其建筑间距（防护距离）应符合相关规范及行业规定要求。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4.3.1.3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与自然景观资源或重要的公共空间（如居住区级及以上规模用地配建的城市广场、公园等）直接相邻一侧的建筑物，其建筑间距除应满足上述规定外，建筑高度不超过</w:t>
            </w:r>
            <w:r>
              <w:rPr>
                <w:rFonts w:ascii="宋体" w:hAnsi="宋体"/>
                <w:snapToGrid w:val="0"/>
                <w:kern w:val="0"/>
                <w:sz w:val="24"/>
                <w:szCs w:val="24"/>
              </w:rPr>
              <w:t>24m</w:t>
            </w:r>
            <w:r>
              <w:rPr>
                <w:rFonts w:hint="eastAsia" w:ascii="宋体" w:hAnsi="宋体"/>
                <w:snapToGrid w:val="0"/>
                <w:kern w:val="0"/>
                <w:sz w:val="24"/>
                <w:szCs w:val="24"/>
              </w:rPr>
              <w:t>的建筑，建筑间距不得少于</w:t>
            </w:r>
            <w:r>
              <w:rPr>
                <w:rFonts w:ascii="宋体" w:hAnsi="宋体"/>
                <w:snapToGrid w:val="0"/>
                <w:kern w:val="0"/>
                <w:sz w:val="24"/>
                <w:szCs w:val="24"/>
              </w:rPr>
              <w:t>12m</w:t>
            </w:r>
            <w:r>
              <w:rPr>
                <w:rFonts w:hint="eastAsia" w:ascii="宋体" w:hAnsi="宋体"/>
                <w:snapToGrid w:val="0"/>
                <w:kern w:val="0"/>
                <w:sz w:val="24"/>
                <w:szCs w:val="24"/>
              </w:rPr>
              <w:t>；建筑高度超过</w:t>
            </w:r>
            <w:r>
              <w:rPr>
                <w:rFonts w:ascii="宋体" w:hAnsi="宋体"/>
                <w:snapToGrid w:val="0"/>
                <w:kern w:val="0"/>
                <w:sz w:val="24"/>
                <w:szCs w:val="24"/>
              </w:rPr>
              <w:t>24m</w:t>
            </w:r>
            <w:r>
              <w:rPr>
                <w:rFonts w:hint="eastAsia" w:ascii="宋体" w:hAnsi="宋体"/>
                <w:snapToGrid w:val="0"/>
                <w:kern w:val="0"/>
                <w:sz w:val="24"/>
                <w:szCs w:val="24"/>
              </w:rPr>
              <w:t>的建筑，建筑间距不得少于</w:t>
            </w:r>
            <w:r>
              <w:rPr>
                <w:rFonts w:ascii="宋体" w:hAnsi="宋体"/>
                <w:snapToGrid w:val="0"/>
                <w:kern w:val="0"/>
                <w:sz w:val="24"/>
                <w:szCs w:val="24"/>
              </w:rPr>
              <w:t>18m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4.3.1.4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非住宅建筑</w:t>
            </w:r>
            <w:r>
              <w:rPr>
                <w:rFonts w:ascii="宋体" w:hAnsi="宋体"/>
                <w:snapToGrid w:val="0"/>
                <w:kern w:val="0"/>
                <w:sz w:val="24"/>
                <w:szCs w:val="24"/>
              </w:rPr>
              <w:t>位于高层、超高层住宅建筑北侧</w:t>
            </w:r>
            <w:r>
              <w:rPr>
                <w:rFonts w:hint="eastAsia" w:ascii="宋体" w:hAnsi="宋体"/>
                <w:snapToGrid w:val="0"/>
                <w:kern w:val="0"/>
                <w:sz w:val="24"/>
                <w:szCs w:val="24"/>
              </w:rPr>
              <w:t>，</w:t>
            </w:r>
            <w:r>
              <w:rPr>
                <w:rFonts w:ascii="宋体" w:hAnsi="宋体"/>
                <w:snapToGrid w:val="0"/>
                <w:kern w:val="0"/>
                <w:sz w:val="24"/>
                <w:szCs w:val="24"/>
              </w:rPr>
              <w:t>建筑间距如下</w:t>
            </w:r>
            <w:r>
              <w:rPr>
                <w:rFonts w:hint="eastAsia" w:ascii="宋体" w:hAnsi="宋体"/>
                <w:snapToGrid w:val="0"/>
                <w:kern w:val="0"/>
                <w:sz w:val="24"/>
                <w:szCs w:val="24"/>
              </w:rPr>
              <w:t>：当建筑</w:t>
            </w:r>
            <w:r>
              <w:rPr>
                <w:rFonts w:ascii="宋体" w:hAnsi="宋体"/>
                <w:snapToGrid w:val="0"/>
                <w:kern w:val="0"/>
                <w:sz w:val="24"/>
                <w:szCs w:val="24"/>
              </w:rPr>
              <w:t>主朝向平行</w:t>
            </w:r>
            <w:r>
              <w:rPr>
                <w:rFonts w:hint="eastAsia" w:ascii="宋体" w:hAnsi="宋体"/>
                <w:snapToGrid w:val="0"/>
                <w:kern w:val="0"/>
                <w:sz w:val="24"/>
                <w:szCs w:val="24"/>
              </w:rPr>
              <w:t>布置，高度不大于24米时其间距不应小于非住宅建筑高度的0</w:t>
            </w:r>
            <w:r>
              <w:rPr>
                <w:rFonts w:ascii="宋体" w:hAnsi="宋体"/>
                <w:snapToGrid w:val="0"/>
                <w:kern w:val="0"/>
                <w:sz w:val="24"/>
                <w:szCs w:val="24"/>
              </w:rPr>
              <w:t>.</w:t>
            </w:r>
            <w:r>
              <w:rPr>
                <w:rFonts w:hint="eastAsia" w:ascii="宋体" w:hAnsi="宋体"/>
                <w:snapToGrid w:val="0"/>
                <w:kern w:val="0"/>
                <w:sz w:val="24"/>
                <w:szCs w:val="24"/>
              </w:rPr>
              <w:t>7倍,且不得小于13米；高度大于24米不大于100米时其间距不得小于18米；高度大于100米时,其间距不得小于24米。当两幢建筑主朝向的夹角小于或等于30度时,其最窄处间距应按平行布置的间距控制，其它情况下非住宅建筑与住宅建筑间距按住宅建筑间距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建筑日照</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本章节中“有法定日照要求的建筑”简称为“日照需求建筑”，“可能对有法定日照要求的建筑造成遮挡的建筑”简称为“日照遮挡建筑”。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在深圳市行政区域内</w:t>
            </w:r>
            <w:r>
              <w:rPr>
                <w:rFonts w:hint="eastAsia" w:ascii="宋体" w:hAnsi="宋体"/>
                <w:b/>
                <w:snapToGrid w:val="0"/>
                <w:kern w:val="0"/>
                <w:sz w:val="24"/>
                <w:szCs w:val="24"/>
              </w:rPr>
              <w:t>的建设项目有以下情形的均应进行日照分析</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⑴拟建建筑对用地内其它拟建日照需求建筑产生日照遮挡影响。</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⑵拟建建筑对周围已建、在建或已通过方案核查待建日照需求建筑产生日照遮挡影响。</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⑶周围已建、在建或已通过方案设计核查待建的建筑对拟建日照需求建筑产生日照遮挡影响。</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⑷因建筑设计方案调整，致使日照需求建筑的位置、外轮廓、户型、窗户等改变，或日照遮挡建筑的位置、外轮廓改变的，应对调整后的方案重新进行日照分析。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4.3.2.2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日照分析技术要求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⑴需进行日照分析的建设项目应提交</w:t>
            </w:r>
            <w:r>
              <w:rPr>
                <w:rFonts w:ascii="宋体" w:hAnsi="宋体"/>
                <w:snapToGrid w:val="0"/>
                <w:kern w:val="0"/>
                <w:sz w:val="24"/>
                <w:szCs w:val="24"/>
              </w:rPr>
              <w:t>《日照分析</w:t>
            </w:r>
            <w:r>
              <w:rPr>
                <w:rFonts w:hint="eastAsia" w:ascii="宋体" w:hAnsi="宋体"/>
                <w:snapToGrid w:val="0"/>
                <w:kern w:val="0"/>
                <w:sz w:val="24"/>
                <w:szCs w:val="24"/>
              </w:rPr>
              <w:t>图</w:t>
            </w:r>
            <w:r>
              <w:rPr>
                <w:rFonts w:ascii="宋体" w:hAnsi="宋体"/>
                <w:snapToGrid w:val="0"/>
                <w:kern w:val="0"/>
                <w:sz w:val="24"/>
                <w:szCs w:val="24"/>
              </w:rPr>
              <w:t>》作为规划管理部门审批的依据</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⑵进行日照分析时深圳市区地理位置取东经</w:t>
            </w:r>
            <w:r>
              <w:rPr>
                <w:rFonts w:ascii="宋体" w:hAnsi="宋体"/>
                <w:snapToGrid w:val="0"/>
                <w:kern w:val="0"/>
                <w:sz w:val="24"/>
                <w:szCs w:val="24"/>
              </w:rPr>
              <w:t>113°41</w:t>
            </w:r>
            <w:r>
              <w:rPr>
                <w:rFonts w:hint="eastAsia" w:ascii="宋体" w:hAnsi="宋体" w:cs="宋体"/>
                <w:snapToGrid w:val="0"/>
                <w:kern w:val="0"/>
                <w:sz w:val="24"/>
                <w:szCs w:val="24"/>
              </w:rPr>
              <w:t>′</w:t>
            </w:r>
            <w:r>
              <w:rPr>
                <w:rFonts w:hint="eastAsia" w:ascii="宋体" w:hAnsi="宋体"/>
                <w:snapToGrid w:val="0"/>
                <w:kern w:val="0"/>
                <w:sz w:val="24"/>
                <w:szCs w:val="24"/>
              </w:rPr>
              <w:t>、北纬</w:t>
            </w:r>
            <w:r>
              <w:rPr>
                <w:rFonts w:ascii="宋体" w:hAnsi="宋体"/>
                <w:snapToGrid w:val="0"/>
                <w:kern w:val="0"/>
                <w:sz w:val="24"/>
                <w:szCs w:val="24"/>
              </w:rPr>
              <w:t>22°40</w:t>
            </w:r>
            <w:r>
              <w:rPr>
                <w:rFonts w:hint="eastAsia" w:ascii="宋体" w:hAnsi="宋体" w:cs="宋体"/>
                <w:snapToGrid w:val="0"/>
                <w:kern w:val="0"/>
                <w:sz w:val="24"/>
                <w:szCs w:val="24"/>
              </w:rPr>
              <w:t>′</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⑶日照分析的有效日照时间带：冬至日、大寒日均为</w:t>
            </w:r>
            <w:r>
              <w:rPr>
                <w:rFonts w:ascii="宋体" w:hAnsi="宋体"/>
                <w:snapToGrid w:val="0"/>
                <w:kern w:val="0"/>
                <w:sz w:val="24"/>
                <w:szCs w:val="24"/>
              </w:rPr>
              <w:t>8时～16时</w:t>
            </w:r>
            <w:r>
              <w:rPr>
                <w:rFonts w:hint="eastAsia" w:ascii="宋体" w:hAnsi="宋体"/>
                <w:snapToGrid w:val="0"/>
                <w:kern w:val="0"/>
                <w:sz w:val="24"/>
                <w:szCs w:val="24"/>
              </w:rPr>
              <w:t>（真太阳时）。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⑷日照分析的时间间隔不应大于</w:t>
            </w:r>
            <w:r>
              <w:rPr>
                <w:rFonts w:ascii="宋体" w:hAnsi="宋体"/>
                <w:snapToGrid w:val="0"/>
                <w:kern w:val="0"/>
                <w:sz w:val="24"/>
                <w:szCs w:val="24"/>
              </w:rPr>
              <w:t>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4.3.2.3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日照分析方法及影响因素</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⑴对于日照需求建筑，在有效时间带采用“多点沿线分析”的方法沿建筑外墙线分析日照状况；对组团绿地以及托儿所、幼儿园的活动场地等采用“多点分析”或“等时线分析”的方法分析日照状况。</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⑵自然山体的遮挡影响可不纳入计算，但是开挖山体形成的挡土墙等永久性地势高差应纳入日照分析；除高</w:t>
            </w:r>
            <w:r>
              <w:rPr>
                <w:rFonts w:ascii="宋体" w:hAnsi="宋体"/>
                <w:snapToGrid w:val="0"/>
                <w:kern w:val="0"/>
                <w:sz w:val="24"/>
                <w:szCs w:val="24"/>
              </w:rPr>
              <w:t>4m</w:t>
            </w:r>
            <w:r>
              <w:rPr>
                <w:rFonts w:hint="eastAsia" w:ascii="宋体" w:hAnsi="宋体"/>
                <w:snapToGrid w:val="0"/>
                <w:kern w:val="0"/>
                <w:sz w:val="24"/>
                <w:szCs w:val="24"/>
              </w:rPr>
              <w:t>及以上的高围墙外，其他围墙一般不作为日照分析的主体。</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⑶日照分析的计算高度取最底层有日照要求的房间的室内地坪标高</w:t>
            </w:r>
            <w:r>
              <w:rPr>
                <w:rFonts w:ascii="宋体" w:hAnsi="宋体"/>
                <w:snapToGrid w:val="0"/>
                <w:kern w:val="0"/>
                <w:sz w:val="24"/>
                <w:szCs w:val="24"/>
              </w:rPr>
              <w:t>H＋0.9m</w:t>
            </w:r>
            <w:r>
              <w:rPr>
                <w:rFonts w:hint="eastAsia" w:ascii="宋体" w:hAnsi="宋体"/>
                <w:snapToGrid w:val="0"/>
                <w:kern w:val="0"/>
                <w:sz w:val="24"/>
                <w:szCs w:val="24"/>
              </w:rPr>
              <w:t>，与实际外窗窗台高度无关。各计算建筑间的地坪高差须纳入计算。</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⑷无论是一般窗户或凸窗，日照基准面均是外窗与外墙相交的洞口，即室内主要空间获得日照的界面。</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⑸两侧均无隔板遮挡的凸阳台，计算基准面为阳台门所在外墙面；形式复杂的阳台难以确定计算基准面时，取阳台日照较好的基准面为计算基准面。</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⑹外窗宽度大于</w:t>
            </w:r>
            <w:r>
              <w:rPr>
                <w:rFonts w:ascii="宋体" w:hAnsi="宋体"/>
                <w:snapToGrid w:val="0"/>
                <w:kern w:val="0"/>
                <w:sz w:val="24"/>
                <w:szCs w:val="24"/>
              </w:rPr>
              <w:t>2.4m</w:t>
            </w:r>
            <w:r>
              <w:rPr>
                <w:rFonts w:hint="eastAsia" w:ascii="宋体" w:hAnsi="宋体"/>
                <w:snapToGrid w:val="0"/>
                <w:kern w:val="0"/>
                <w:sz w:val="24"/>
                <w:szCs w:val="24"/>
              </w:rPr>
              <w:t>时，在计算满窗日照时可缩减至</w:t>
            </w:r>
            <w:r>
              <w:rPr>
                <w:rFonts w:ascii="宋体" w:hAnsi="宋体"/>
                <w:snapToGrid w:val="0"/>
                <w:kern w:val="0"/>
                <w:sz w:val="24"/>
                <w:szCs w:val="24"/>
              </w:rPr>
              <w:t>2.4m</w:t>
            </w:r>
            <w:r>
              <w:rPr>
                <w:rFonts w:hint="eastAsia" w:ascii="宋体" w:hAnsi="宋体"/>
                <w:snapToGrid w:val="0"/>
                <w:kern w:val="0"/>
                <w:sz w:val="24"/>
                <w:szCs w:val="24"/>
              </w:rPr>
              <w:t>；宽度小于</w:t>
            </w:r>
            <w:r>
              <w:rPr>
                <w:rFonts w:ascii="宋体" w:hAnsi="宋体"/>
                <w:snapToGrid w:val="0"/>
                <w:kern w:val="0"/>
                <w:sz w:val="24"/>
                <w:szCs w:val="24"/>
              </w:rPr>
              <w:t>0.6m</w:t>
            </w:r>
            <w:r>
              <w:rPr>
                <w:rFonts w:hint="eastAsia" w:ascii="宋体" w:hAnsi="宋体"/>
                <w:snapToGrid w:val="0"/>
                <w:kern w:val="0"/>
                <w:sz w:val="24"/>
                <w:szCs w:val="24"/>
              </w:rPr>
              <w:t>时，不得作为符合日照要求的窗洞口纳入日照分析。</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⑺日照分析及建筑高度计算时，应综合考虑屋面太阳能板及屋面构架的遮挡因素并纳入计算。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4.3.2.4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日照分析标准</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w:t>
            </w:r>
            <w:r>
              <w:rPr>
                <w:rFonts w:hint="eastAsia" w:ascii="宋体" w:hAnsi="宋体"/>
                <w:snapToGrid w:val="0"/>
                <w:spacing w:val="-6"/>
                <w:kern w:val="0"/>
                <w:sz w:val="24"/>
                <w:szCs w:val="24"/>
              </w:rPr>
              <w:t>住宅建筑：住宅建筑日照标准为大寒日</w:t>
            </w:r>
            <w:r>
              <w:rPr>
                <w:rFonts w:ascii="宋体" w:hAnsi="宋体"/>
                <w:snapToGrid w:val="0"/>
                <w:spacing w:val="-6"/>
                <w:kern w:val="0"/>
                <w:sz w:val="24"/>
                <w:szCs w:val="24"/>
              </w:rPr>
              <w:t>3小时或冬至日1小时，旧区改建项目内新建住宅日照标准可酌情降低，但不应低于大寒</w:t>
            </w:r>
            <w:r>
              <w:rPr>
                <w:rFonts w:hint="eastAsia" w:ascii="宋体" w:hAnsi="宋体"/>
                <w:snapToGrid w:val="0"/>
                <w:spacing w:val="-6"/>
                <w:kern w:val="0"/>
                <w:sz w:val="24"/>
                <w:szCs w:val="24"/>
              </w:rPr>
              <w:t>日日照</w:t>
            </w:r>
            <w:r>
              <w:rPr>
                <w:rFonts w:ascii="宋体" w:hAnsi="宋体"/>
                <w:snapToGrid w:val="0"/>
                <w:spacing w:val="-6"/>
                <w:kern w:val="0"/>
                <w:sz w:val="24"/>
                <w:szCs w:val="24"/>
              </w:rPr>
              <w:t>1小时的标准</w:t>
            </w:r>
            <w:r>
              <w:rPr>
                <w:rFonts w:hint="eastAsia" w:ascii="宋体" w:hAnsi="宋体"/>
                <w:snapToGrid w:val="0"/>
                <w:spacing w:val="-6"/>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住宅间距应满足上述日照标准；住宅单体设计应保证每套住宅至少有一个居住空间能获得冬季日照。</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⑵老年人住宅：不应低于冬至日日照</w:t>
            </w:r>
            <w:r>
              <w:rPr>
                <w:rFonts w:ascii="宋体" w:hAnsi="宋体"/>
                <w:snapToGrid w:val="0"/>
                <w:kern w:val="0"/>
                <w:sz w:val="24"/>
                <w:szCs w:val="24"/>
              </w:rPr>
              <w:t>2小时的标准</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⑶宿舍建筑：半数以上居室应有良好朝向，并应具有与住宅居室相同的日照标准。</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⑷托儿所、幼儿园：生活用房应布置在当地最好的日照方位，并满足冬至日底层满窗日照不少于</w:t>
            </w:r>
            <w:r>
              <w:rPr>
                <w:rFonts w:ascii="宋体" w:hAnsi="宋体"/>
                <w:snapToGrid w:val="0"/>
                <w:kern w:val="0"/>
                <w:sz w:val="24"/>
                <w:szCs w:val="24"/>
              </w:rPr>
              <w:t>3小时的标准</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⑸中小学校：普通教室冬至日满窗日照不应少于</w:t>
            </w:r>
            <w:r>
              <w:rPr>
                <w:rFonts w:ascii="宋体" w:hAnsi="宋体"/>
                <w:snapToGrid w:val="0"/>
                <w:kern w:val="0"/>
                <w:sz w:val="24"/>
                <w:szCs w:val="24"/>
              </w:rPr>
              <w:t>2小时</w:t>
            </w:r>
            <w:r>
              <w:rPr>
                <w:rFonts w:hint="eastAsia" w:ascii="宋体" w:hAnsi="宋体"/>
                <w:snapToGrid w:val="0"/>
                <w:kern w:val="0"/>
                <w:sz w:val="24"/>
                <w:szCs w:val="24"/>
              </w:rPr>
              <w:t>的标准</w:t>
            </w:r>
            <w:r>
              <w:rPr>
                <w:rFonts w:ascii="宋体" w:hAnsi="宋体"/>
                <w:snapToGrid w:val="0"/>
                <w:kern w:val="0"/>
                <w:sz w:val="24"/>
                <w:szCs w:val="24"/>
              </w:rPr>
              <w:t>；至少应有1间科学教室或生物实验室的室内能在冬季获得直射阳光</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⑹旧区改建项目：改建前，其周边现状日照需求建筑原有日照标准已不能满足</w:t>
            </w:r>
            <w:r>
              <w:rPr>
                <w:rFonts w:ascii="宋体" w:hAnsi="宋体"/>
                <w:snapToGrid w:val="0"/>
                <w:kern w:val="0"/>
                <w:sz w:val="24"/>
                <w:szCs w:val="24"/>
              </w:rPr>
              <w:t>4.3.2.4⑴～</w:t>
            </w:r>
            <w:r>
              <w:rPr>
                <w:rFonts w:hint="eastAsia" w:ascii="宋体" w:hAnsi="宋体"/>
                <w:snapToGrid w:val="0"/>
                <w:kern w:val="0"/>
                <w:sz w:val="24"/>
                <w:szCs w:val="24"/>
              </w:rPr>
              <w:t>⑸规定的，改建项目的建设应不再降低或恶化周边现状日照需求建筑的原有日照标准。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4.4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建筑通风与建筑面宽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建筑通风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建设用地处于特定的地形地貌（如滨海区域）所形成的风通廊时，应特别注意风环境的优化设计。规模较大或密度较高等可能造成较大通风影响的建设项目应进行风环境研究；建筑密集、高度划一区域内或其邻近位置进行项目开发时，应做专项的通风模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4.4.1.2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建筑布局应满足通风要求，以改善城市微气候。当建筑较为密集时，应策略性地布置不同高度的建筑物，利用高度轮廓带来的气压差异引导气流。同时，区内建筑群的整体高度趋势应朝着盛行风的方向逐级降低，以促进空气流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4.4.1.3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在片区主导风向上风位的街块，应避免采用垂直于主导风向的大面宽的板式建筑。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4.4.2</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ascii="宋体" w:hAnsi="宋体"/>
                <w:b/>
                <w:snapToGrid w:val="0"/>
                <w:kern w:val="0"/>
                <w:sz w:val="24"/>
                <w:szCs w:val="24"/>
              </w:rPr>
              <w:t>建筑面宽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4.4.2.1</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建筑面宽应根据建筑物所在地区的实际情况控制，避免因面宽过大而形成屏风效应。对于建筑面宽较大的建筑，可考虑采用局部通透的方式来解决通风和视线遮挡的问题。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4.4.2.2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与自然景观资源或重要的公共空间（如居住区级及以上规模用地配建的城市广场、公园等）直接相邻一侧的建筑物，其最大面宽应按不同的建筑高度区域严格控制：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⑴建筑高度超过</w:t>
            </w:r>
            <w:r>
              <w:rPr>
                <w:rFonts w:ascii="宋体" w:hAnsi="宋体"/>
                <w:snapToGrid w:val="0"/>
                <w:kern w:val="0"/>
                <w:sz w:val="24"/>
                <w:szCs w:val="24"/>
              </w:rPr>
              <w:t>24m</w:t>
            </w:r>
            <w:r>
              <w:rPr>
                <w:rFonts w:hint="eastAsia" w:ascii="宋体" w:hAnsi="宋体"/>
                <w:snapToGrid w:val="0"/>
                <w:kern w:val="0"/>
                <w:sz w:val="24"/>
                <w:szCs w:val="24"/>
              </w:rPr>
              <w:t>但不超过</w:t>
            </w:r>
            <w:r>
              <w:rPr>
                <w:rFonts w:ascii="宋体" w:hAnsi="宋体"/>
                <w:snapToGrid w:val="0"/>
                <w:kern w:val="0"/>
                <w:sz w:val="24"/>
                <w:szCs w:val="24"/>
              </w:rPr>
              <w:t>60m</w:t>
            </w:r>
            <w:r>
              <w:rPr>
                <w:rFonts w:hint="eastAsia" w:ascii="宋体" w:hAnsi="宋体"/>
                <w:snapToGrid w:val="0"/>
                <w:kern w:val="0"/>
                <w:sz w:val="24"/>
                <w:szCs w:val="24"/>
              </w:rPr>
              <w:t>的区域，最大面宽不得大于</w:t>
            </w:r>
            <w:r>
              <w:rPr>
                <w:rFonts w:ascii="宋体" w:hAnsi="宋体"/>
                <w:snapToGrid w:val="0"/>
                <w:kern w:val="0"/>
                <w:sz w:val="24"/>
                <w:szCs w:val="24"/>
              </w:rPr>
              <w:t>100m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⑵建筑高度超过</w:t>
            </w:r>
            <w:r>
              <w:rPr>
                <w:rFonts w:ascii="宋体" w:hAnsi="宋体"/>
                <w:snapToGrid w:val="0"/>
                <w:kern w:val="0"/>
                <w:sz w:val="24"/>
                <w:szCs w:val="24"/>
              </w:rPr>
              <w:t>60m</w:t>
            </w:r>
            <w:r>
              <w:rPr>
                <w:rFonts w:hint="eastAsia" w:ascii="宋体" w:hAnsi="宋体"/>
                <w:snapToGrid w:val="0"/>
                <w:kern w:val="0"/>
                <w:sz w:val="24"/>
                <w:szCs w:val="24"/>
              </w:rPr>
              <w:t>但不超过</w:t>
            </w:r>
            <w:r>
              <w:rPr>
                <w:rFonts w:ascii="宋体" w:hAnsi="宋体"/>
                <w:snapToGrid w:val="0"/>
                <w:kern w:val="0"/>
                <w:sz w:val="24"/>
                <w:szCs w:val="24"/>
              </w:rPr>
              <w:t>100m</w:t>
            </w:r>
            <w:r>
              <w:rPr>
                <w:rFonts w:hint="eastAsia" w:ascii="宋体" w:hAnsi="宋体"/>
                <w:snapToGrid w:val="0"/>
                <w:kern w:val="0"/>
                <w:sz w:val="24"/>
                <w:szCs w:val="24"/>
              </w:rPr>
              <w:t>的区域，最大面宽不得大于</w:t>
            </w:r>
            <w:r>
              <w:rPr>
                <w:rFonts w:ascii="宋体" w:hAnsi="宋体"/>
                <w:snapToGrid w:val="0"/>
                <w:kern w:val="0"/>
                <w:sz w:val="24"/>
                <w:szCs w:val="24"/>
              </w:rPr>
              <w:t>80m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⑶建筑高度超过</w:t>
            </w:r>
            <w:r>
              <w:rPr>
                <w:rFonts w:ascii="宋体" w:hAnsi="宋体"/>
                <w:snapToGrid w:val="0"/>
                <w:kern w:val="0"/>
                <w:sz w:val="24"/>
                <w:szCs w:val="24"/>
              </w:rPr>
              <w:t>100m</w:t>
            </w:r>
            <w:r>
              <w:rPr>
                <w:rFonts w:hint="eastAsia" w:ascii="宋体" w:hAnsi="宋体"/>
                <w:snapToGrid w:val="0"/>
                <w:kern w:val="0"/>
                <w:sz w:val="24"/>
                <w:szCs w:val="24"/>
              </w:rPr>
              <w:t>的区域，最大面宽不得大于</w:t>
            </w:r>
            <w:r>
              <w:rPr>
                <w:rFonts w:ascii="宋体" w:hAnsi="宋体"/>
                <w:snapToGrid w:val="0"/>
                <w:kern w:val="0"/>
                <w:sz w:val="24"/>
                <w:szCs w:val="24"/>
              </w:rPr>
              <w:t>70m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4.5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8"/>
                <w:szCs w:val="28"/>
              </w:rPr>
              <w:t>道路系统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场地机动车出入口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场地机动车出入口位置</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⑴场地机动车出入口</w:t>
            </w:r>
            <w:r>
              <w:rPr>
                <w:rFonts w:hint="eastAsia" w:ascii="宋体" w:hAnsi="宋体"/>
                <w:snapToGrid w:val="0"/>
                <w:kern w:val="0"/>
                <w:sz w:val="24"/>
                <w:szCs w:val="24"/>
              </w:rPr>
              <w:t>应按照城市规划的要求设置，</w:t>
            </w:r>
            <w:r>
              <w:rPr>
                <w:rFonts w:hint="eastAsia" w:ascii="宋体" w:hAnsi="宋体" w:cs="宋体"/>
                <w:snapToGrid w:val="0"/>
                <w:kern w:val="0"/>
                <w:sz w:val="24"/>
                <w:szCs w:val="24"/>
              </w:rPr>
              <w:t>不应直接向城市主、次干道开口，且应避开</w:t>
            </w:r>
            <w:r>
              <w:rPr>
                <w:rFonts w:hint="eastAsia" w:ascii="宋体" w:hAnsi="宋体"/>
                <w:snapToGrid w:val="0"/>
                <w:kern w:val="0"/>
                <w:sz w:val="24"/>
                <w:szCs w:val="24"/>
              </w:rPr>
              <w:t>城市主要道路交叉口</w:t>
            </w:r>
            <w:r>
              <w:rPr>
                <w:rFonts w:hint="eastAsia" w:ascii="宋体" w:hAnsi="宋体" w:cs="宋体"/>
                <w:snapToGrid w:val="0"/>
                <w:kern w:val="0"/>
                <w:sz w:val="24"/>
                <w:szCs w:val="24"/>
              </w:rPr>
              <w:t>。位于城市</w:t>
            </w:r>
            <w:r>
              <w:rPr>
                <w:rFonts w:hint="eastAsia" w:ascii="宋体" w:hAnsi="宋体"/>
                <w:snapToGrid w:val="0"/>
                <w:kern w:val="0"/>
                <w:sz w:val="24"/>
                <w:szCs w:val="24"/>
              </w:rPr>
              <w:t>支路上的</w:t>
            </w:r>
            <w:r>
              <w:rPr>
                <w:rFonts w:hint="eastAsia" w:ascii="宋体" w:hAnsi="宋体" w:cs="宋体"/>
                <w:snapToGrid w:val="0"/>
                <w:kern w:val="0"/>
                <w:sz w:val="24"/>
                <w:szCs w:val="24"/>
              </w:rPr>
              <w:t>车行出入口</w:t>
            </w:r>
            <w:r>
              <w:rPr>
                <w:rFonts w:hint="eastAsia" w:ascii="宋体" w:hAnsi="宋体"/>
                <w:snapToGrid w:val="0"/>
                <w:kern w:val="0"/>
                <w:sz w:val="24"/>
                <w:szCs w:val="24"/>
              </w:rPr>
              <w:t>，距离与干路相交的平面交叉口停止线不应小于</w:t>
            </w:r>
            <w:r>
              <w:rPr>
                <w:rFonts w:ascii="宋体" w:hAnsi="宋体"/>
                <w:snapToGrid w:val="0"/>
                <w:kern w:val="0"/>
                <w:sz w:val="24"/>
                <w:szCs w:val="24"/>
              </w:rPr>
              <w:t>50m</w:t>
            </w:r>
            <w:r>
              <w:rPr>
                <w:rFonts w:hint="eastAsia" w:ascii="宋体" w:hAnsi="宋体"/>
                <w:snapToGrid w:val="0"/>
                <w:kern w:val="0"/>
                <w:sz w:val="24"/>
                <w:szCs w:val="24"/>
              </w:rPr>
              <w:t>，距离与支路相交的平面交叉口</w:t>
            </w:r>
            <w:r>
              <w:rPr>
                <w:rFonts w:ascii="宋体" w:hAnsi="宋体"/>
                <w:snapToGrid w:val="0"/>
                <w:kern w:val="0"/>
                <w:sz w:val="24"/>
                <w:szCs w:val="24"/>
              </w:rPr>
              <w:t>停止线</w:t>
            </w:r>
            <w:r>
              <w:rPr>
                <w:rFonts w:hint="eastAsia" w:ascii="宋体" w:hAnsi="宋体"/>
                <w:snapToGrid w:val="0"/>
                <w:kern w:val="0"/>
                <w:sz w:val="24"/>
                <w:szCs w:val="24"/>
              </w:rPr>
              <w:t>不应小于</w:t>
            </w:r>
            <w:r>
              <w:rPr>
                <w:rFonts w:ascii="宋体" w:hAnsi="宋体"/>
                <w:snapToGrid w:val="0"/>
                <w:kern w:val="0"/>
                <w:sz w:val="24"/>
                <w:szCs w:val="24"/>
              </w:rPr>
              <w:t>30m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⑵场地机动车出入口的设置</w:t>
            </w:r>
            <w:r>
              <w:rPr>
                <w:rFonts w:hint="eastAsia" w:ascii="宋体" w:hAnsi="宋体"/>
                <w:snapToGrid w:val="0"/>
                <w:kern w:val="0"/>
                <w:sz w:val="24"/>
                <w:szCs w:val="24"/>
              </w:rPr>
              <w:t>应避开人流集中的场所。机动车出入口距人行过街天桥的距离应不小于</w:t>
            </w:r>
            <w:r>
              <w:rPr>
                <w:rFonts w:ascii="宋体" w:hAnsi="宋体"/>
                <w:snapToGrid w:val="0"/>
                <w:kern w:val="0"/>
                <w:sz w:val="24"/>
                <w:szCs w:val="24"/>
              </w:rPr>
              <w:t>5m</w:t>
            </w:r>
            <w:r>
              <w:rPr>
                <w:rFonts w:hint="eastAsia" w:ascii="宋体" w:hAnsi="宋体"/>
                <w:snapToGrid w:val="0"/>
                <w:kern w:val="0"/>
                <w:sz w:val="24"/>
                <w:szCs w:val="24"/>
              </w:rPr>
              <w:t>，距公园、学校、托幼等用地出入口的距离应不小于</w:t>
            </w:r>
            <w:r>
              <w:rPr>
                <w:rFonts w:ascii="宋体" w:hAnsi="宋体"/>
                <w:snapToGrid w:val="0"/>
                <w:kern w:val="0"/>
                <w:sz w:val="24"/>
                <w:szCs w:val="24"/>
              </w:rPr>
              <w:t>20m</w:t>
            </w:r>
            <w:r>
              <w:rPr>
                <w:rFonts w:hint="eastAsia" w:ascii="宋体" w:hAnsi="宋体"/>
                <w:snapToGrid w:val="0"/>
                <w:kern w:val="0"/>
                <w:sz w:val="24"/>
                <w:szCs w:val="24"/>
              </w:rPr>
              <w:t>；住宅区机动车出入口与城市公交场站出入口的距离应不小于</w:t>
            </w:r>
            <w:r>
              <w:rPr>
                <w:rFonts w:ascii="宋体" w:hAnsi="宋体"/>
                <w:snapToGrid w:val="0"/>
                <w:kern w:val="0"/>
                <w:sz w:val="24"/>
                <w:szCs w:val="24"/>
              </w:rPr>
              <w:t>50m</w:t>
            </w:r>
            <w:r>
              <w:rPr>
                <w:rFonts w:hint="eastAsia" w:ascii="宋体" w:hAnsi="宋体"/>
                <w:snapToGrid w:val="0"/>
                <w:kern w:val="0"/>
                <w:sz w:val="24"/>
                <w:szCs w:val="24"/>
              </w:rPr>
              <w:t>（两个出入口距离为其相邻道牙之间的距离）。</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相邻地块需共用道路的，应协调处理好相邻用地的场地标高和工程管线等的衔接关系。</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cs="宋体"/>
                <w:snapToGrid w:val="0"/>
                <w:kern w:val="0"/>
                <w:sz w:val="24"/>
                <w:szCs w:val="24"/>
              </w:rPr>
              <w:t>⑷</w:t>
            </w:r>
            <w:r>
              <w:rPr>
                <w:rFonts w:hint="eastAsia" w:ascii="宋体" w:hAnsi="宋体"/>
                <w:snapToGrid w:val="0"/>
                <w:kern w:val="0"/>
                <w:sz w:val="24"/>
                <w:szCs w:val="24"/>
              </w:rPr>
              <w:t>配建型公交场站出入口宜设置在城市次干道或支路上</w:t>
            </w:r>
            <w:r>
              <w:rPr>
                <w:rFonts w:ascii="宋体" w:hAnsi="宋体"/>
                <w:snapToGrid w:val="0"/>
                <w:kern w:val="0"/>
                <w:sz w:val="24"/>
                <w:szCs w:val="24"/>
              </w:rPr>
              <w:t>,不宜直接设在主干道或快速路上,</w:t>
            </w:r>
            <w:r>
              <w:rPr>
                <w:rFonts w:hint="eastAsia" w:ascii="宋体" w:hAnsi="宋体"/>
                <w:snapToGrid w:val="0"/>
                <w:kern w:val="0"/>
                <w:sz w:val="24"/>
                <w:szCs w:val="24"/>
              </w:rPr>
              <w:t>且</w:t>
            </w:r>
            <w:r>
              <w:rPr>
                <w:rFonts w:ascii="宋体" w:hAnsi="宋体"/>
                <w:snapToGrid w:val="0"/>
                <w:kern w:val="0"/>
                <w:sz w:val="24"/>
                <w:szCs w:val="24"/>
              </w:rPr>
              <w:t>不应直接向主干道开口</w:t>
            </w:r>
            <w:r>
              <w:rPr>
                <w:rFonts w:hint="eastAsia" w:ascii="宋体" w:hAnsi="宋体"/>
                <w:snapToGrid w:val="0"/>
                <w:kern w:val="0"/>
                <w:sz w:val="24"/>
                <w:szCs w:val="24"/>
              </w:rPr>
              <w:t>。</w:t>
            </w:r>
            <w:r>
              <w:rPr>
                <w:rFonts w:ascii="宋体" w:hAnsi="宋体"/>
                <w:snapToGrid w:val="0"/>
                <w:kern w:val="0"/>
                <w:sz w:val="24"/>
                <w:szCs w:val="24"/>
              </w:rPr>
              <w:t>配建型公交场站进出场道路原则上应独立设置，但可与消防通道共用。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场地机动车出入口数量</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⑴场地的机动车出入口数量应符合规划要求。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以下场地的机动车出入口数量不应少于两个：户数大于</w:t>
            </w:r>
            <w:r>
              <w:rPr>
                <w:rFonts w:ascii="宋体" w:hAnsi="宋体"/>
                <w:snapToGrid w:val="0"/>
                <w:kern w:val="0"/>
                <w:sz w:val="24"/>
                <w:szCs w:val="24"/>
              </w:rPr>
              <w:t>3000户的居住小区、</w:t>
            </w:r>
            <w:r>
              <w:rPr>
                <w:rFonts w:hint="eastAsia" w:ascii="宋体" w:hAnsi="宋体"/>
                <w:snapToGrid w:val="0"/>
                <w:kern w:val="0"/>
                <w:sz w:val="24"/>
                <w:szCs w:val="24"/>
              </w:rPr>
              <w:t>公交首末站及公交枢纽站、城市综合体、医院、中型及以上展览建筑、大中型商业建筑、体育场馆、文化馆（群艺馆）、有生产使用要求的工业厂区及仓储物流用地、相关规范要求的其它场地。</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当场地仅有一边可向城市道路开口时，场地机动车出入口数量应符合上述要求。当场地有两边及以上可向城市道路开口时，场地每边的机动车出入口数量不得超过一个，如确需设两个及以上机动车出入口，相邻两个出入口的距离不应小于</w:t>
            </w:r>
            <w:r>
              <w:rPr>
                <w:rFonts w:ascii="宋体" w:hAnsi="宋体"/>
                <w:snapToGrid w:val="0"/>
                <w:kern w:val="0"/>
                <w:sz w:val="24"/>
                <w:szCs w:val="24"/>
              </w:rPr>
              <w:t>150m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4.5.1.</w:t>
            </w:r>
            <w:r>
              <w:rPr>
                <w:rFonts w:hint="eastAsia" w:ascii="宋体" w:hAnsi="宋体"/>
                <w:b/>
                <w:snapToGrid w:val="0"/>
                <w:kern w:val="0"/>
                <w:sz w:val="24"/>
                <w:szCs w:val="24"/>
              </w:rPr>
              <w:t>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场地机动车出入口道闸</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机动车出入口道闸的设置不得影响外部城市道路的正常交通。原则上，入口道闸与外部城市道路道牙之间的缓冲距离应不小于</w:t>
            </w:r>
            <w:r>
              <w:rPr>
                <w:rFonts w:ascii="宋体" w:hAnsi="宋体"/>
                <w:snapToGrid w:val="0"/>
                <w:kern w:val="0"/>
                <w:sz w:val="24"/>
                <w:szCs w:val="24"/>
              </w:rPr>
              <w:t>18m</w:t>
            </w:r>
            <w:r>
              <w:rPr>
                <w:rFonts w:hint="eastAsia" w:ascii="宋体" w:hAnsi="宋体"/>
                <w:snapToGrid w:val="0"/>
                <w:kern w:val="0"/>
                <w:sz w:val="24"/>
                <w:szCs w:val="24"/>
              </w:rPr>
              <w:t>，出口道闸与外部城市道路道牙之间的缓冲距离不小于</w:t>
            </w:r>
            <w:r>
              <w:rPr>
                <w:rFonts w:ascii="宋体" w:hAnsi="宋体"/>
                <w:snapToGrid w:val="0"/>
                <w:kern w:val="0"/>
                <w:sz w:val="24"/>
                <w:szCs w:val="24"/>
              </w:rPr>
              <w:t>7.5m</w:t>
            </w:r>
            <w:r>
              <w:rPr>
                <w:rFonts w:hint="eastAsia" w:ascii="宋体" w:hAnsi="宋体"/>
                <w:snapToGrid w:val="0"/>
                <w:kern w:val="0"/>
                <w:sz w:val="24"/>
                <w:szCs w:val="24"/>
              </w:rPr>
              <w:t>。如因用地条件限制难以达到以上要求，也可通过横向增加出入口道闸数量的方式解决。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场地内道路系统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4.5.2.1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场地道路设计</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应减少场地内不同交通方式之间的冲突和干扰，宜人车分流，提高道路系统的安全性。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4.5.2.2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场地机动车道</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尽端式机动车道</w:t>
            </w:r>
            <w:r>
              <w:rPr>
                <w:rFonts w:ascii="宋体" w:hAnsi="宋体"/>
                <w:snapToGrid w:val="0"/>
                <w:kern w:val="0"/>
                <w:sz w:val="24"/>
                <w:szCs w:val="24"/>
              </w:rPr>
              <w:t>长度宜小于120m，并在尽端设不小于12m×12m的回车场地(兼做消防道路时应按消防要求设置回车场)，单机动车道每间隔60m应设3.5m×12m的港湾式会车区。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4.6</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场地其它规定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4.6.1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公共空间</w:t>
            </w:r>
            <w:r>
              <w:rPr>
                <w:rFonts w:hint="eastAsia" w:ascii="宋体" w:hAnsi="宋体"/>
                <w:snapToGrid w:val="0"/>
                <w:kern w:val="0"/>
                <w:sz w:val="24"/>
                <w:szCs w:val="24"/>
              </w:rPr>
              <w:t>（包括公共活动、休闲、体育广场等）</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建设用地范围内的公共空间应与建设用地周围的城市空间密切联系形成有机整体。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公共空间的设计应遵循开放可达的原则，为社区居民（含小区外的居民）的使用提供便利，其宽深比、深宽比均不得大于4（自然景观地带沿线设置的带型公共空间，其宽深比可不受该限制）。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4.6.1.2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规划要求占地面积不超过</w:t>
            </w:r>
            <w:r>
              <w:rPr>
                <w:rFonts w:ascii="宋体" w:hAnsi="宋体"/>
                <w:snapToGrid w:val="0"/>
                <w:kern w:val="0"/>
                <w:sz w:val="24"/>
                <w:szCs w:val="24"/>
              </w:rPr>
              <w:t>1000</w:t>
            </w:r>
            <w:r>
              <w:rPr>
                <w:rFonts w:hint="eastAsia" w:ascii="宋体" w:hAnsi="宋体"/>
                <w:snapToGrid w:val="0"/>
                <w:kern w:val="0"/>
                <w:sz w:val="24"/>
                <w:szCs w:val="24"/>
              </w:rPr>
              <w:t>㎡的公共空间应集中设置；占地面积超过</w:t>
            </w:r>
            <w:r>
              <w:rPr>
                <w:rFonts w:ascii="宋体" w:hAnsi="宋体"/>
                <w:snapToGrid w:val="0"/>
                <w:kern w:val="0"/>
                <w:sz w:val="24"/>
                <w:szCs w:val="24"/>
              </w:rPr>
              <w:t>1000</w:t>
            </w:r>
            <w:r>
              <w:rPr>
                <w:rFonts w:hint="eastAsia" w:ascii="宋体" w:hAnsi="宋体"/>
                <w:snapToGrid w:val="0"/>
                <w:kern w:val="0"/>
                <w:sz w:val="24"/>
                <w:szCs w:val="24"/>
              </w:rPr>
              <w:t>㎡的公共空间，为方便居民活动可分设</w:t>
            </w:r>
            <w:r>
              <w:rPr>
                <w:rFonts w:ascii="宋体" w:hAnsi="宋体"/>
                <w:snapToGrid w:val="0"/>
                <w:kern w:val="0"/>
                <w:sz w:val="24"/>
                <w:szCs w:val="24"/>
              </w:rPr>
              <w:t>,</w:t>
            </w:r>
            <w:r>
              <w:rPr>
                <w:rFonts w:hint="eastAsia" w:ascii="宋体" w:hAnsi="宋体"/>
                <w:snapToGrid w:val="0"/>
                <w:kern w:val="0"/>
                <w:sz w:val="24"/>
                <w:szCs w:val="24"/>
              </w:rPr>
              <w:t>但每个公共空间占地面积不得小于</w:t>
            </w:r>
            <w:r>
              <w:rPr>
                <w:rFonts w:ascii="宋体" w:hAnsi="宋体"/>
                <w:snapToGrid w:val="0"/>
                <w:kern w:val="0"/>
                <w:sz w:val="24"/>
                <w:szCs w:val="24"/>
              </w:rPr>
              <w:t>500</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4.6.1.3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建筑架空层作为公共空间时（室内型公共空间），其梁底净高应不小于3.6</w:t>
            </w:r>
            <w:r>
              <w:rPr>
                <w:rFonts w:ascii="宋体" w:hAnsi="宋体"/>
                <w:snapToGrid w:val="0"/>
                <w:kern w:val="0"/>
                <w:sz w:val="24"/>
                <w:szCs w:val="24"/>
              </w:rPr>
              <w:t>m，保证与周边有良好的交通联系。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4.6.1.4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利用建筑退线部分设置的公共空间，其计入面积不宜超过公共空间总面积的</w:t>
            </w:r>
            <w:r>
              <w:rPr>
                <w:rFonts w:ascii="宋体" w:hAnsi="宋体"/>
                <w:snapToGrid w:val="0"/>
                <w:kern w:val="0"/>
                <w:sz w:val="24"/>
                <w:szCs w:val="24"/>
              </w:rPr>
              <w:t>30%（《建设用地规划许可证》中允许贴红线建设</w:t>
            </w:r>
            <w:r>
              <w:rPr>
                <w:rFonts w:hint="eastAsia" w:ascii="宋体" w:hAnsi="宋体"/>
                <w:snapToGrid w:val="0"/>
                <w:kern w:val="0"/>
                <w:sz w:val="24"/>
                <w:szCs w:val="24"/>
              </w:rPr>
              <w:t>的</w:t>
            </w:r>
            <w:r>
              <w:rPr>
                <w:rFonts w:ascii="宋体" w:hAnsi="宋体"/>
                <w:snapToGrid w:val="0"/>
                <w:kern w:val="0"/>
                <w:sz w:val="24"/>
                <w:szCs w:val="24"/>
              </w:rPr>
              <w:t>项目除外）</w:t>
            </w:r>
            <w:r>
              <w:rPr>
                <w:rFonts w:hint="eastAsia" w:ascii="宋体" w:hAnsi="宋体"/>
                <w:snapToGrid w:val="0"/>
                <w:kern w:val="0"/>
                <w:sz w:val="24"/>
                <w:szCs w:val="24"/>
              </w:rPr>
              <w:t>；室内型公共空间，其计入面积不宜超过公共空间总面积的5</w:t>
            </w:r>
            <w:r>
              <w:rPr>
                <w:rFonts w:ascii="宋体" w:hAnsi="宋体"/>
                <w:snapToGrid w:val="0"/>
                <w:kern w:val="0"/>
                <w:sz w:val="24"/>
                <w:szCs w:val="24"/>
              </w:rPr>
              <w:t>0%</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停车场地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4.6.2.1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机动车和自行车停车位数量应满足《建设用地规划许可证》的要求。规划设计条件未作规定的，应满足《深圳市城市规划标准与准则》的规定。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4.6.2.2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地面机械停车设施应满足地上建筑退线控制要求</w:t>
            </w:r>
            <w:r>
              <w:rPr>
                <w:rFonts w:ascii="宋体" w:hAnsi="宋体"/>
                <w:snapToGrid w:val="0"/>
                <w:kern w:val="0"/>
                <w:sz w:val="24"/>
                <w:szCs w:val="24"/>
              </w:rPr>
              <w:t>,不宜设在临街面一侧,与相邻建筑的间距应满足防火要求且不小于10m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消防车登高操作场地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4.6.3.1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消防车登高操作场地原则上应在项目用地红线内解决。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4.6.3.2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因场地限制需利用市政道路或绿化带进行消防登高操作时，应与相关主管部门沟通并取得同意。同时，应保证消防车登高操作场地的位置、尺寸及荷载等满足消防车操作要求，且消防车登高扑救面范围内不应有防碍消防车登高操作的路灯、树木和架空管线等，其余应满足有关消防规范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场地竖向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4.6.4.1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竖向设计应充分利用原始的地形、地貌，形成项目特色。应根据周边市政道路标高、场地的地形地貌合理确定场地标高，减少土石方开挖量，尽量实现就地土石方平衡。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4.6.4.2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临水场地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竖向设计应符合《防洪标准》</w:t>
            </w:r>
            <w:r>
              <w:rPr>
                <w:rFonts w:ascii="宋体" w:hAnsi="宋体"/>
                <w:snapToGrid w:val="0"/>
                <w:kern w:val="0"/>
                <w:sz w:val="24"/>
                <w:szCs w:val="24"/>
              </w:rPr>
              <w:t>GB50201的规定，地面高程应按设防标准推算的洪（潮）水位</w:t>
            </w:r>
            <w:r>
              <w:rPr>
                <w:rFonts w:hint="eastAsia" w:ascii="宋体" w:hAnsi="宋体"/>
                <w:snapToGrid w:val="0"/>
                <w:kern w:val="0"/>
                <w:sz w:val="24"/>
                <w:szCs w:val="24"/>
              </w:rPr>
              <w:t>加安全超高确定；有波浪影响或壅水现象的，应加波浪侵袭高度或壅水高度。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4.6.4.3</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有内涝威胁的场地</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场地标高应高于内涝标高，或采取适宜的防内涝措施。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4.6.5</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4.6.5.1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对《建设用地规划许可证》要求采取地质灾害防治措施的项目，设计文件应当包含有关配套防治工程的设计图纸。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4.6.5.2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挡土墙、护坡一般应设置在用地红线内，与建筑物的距离应满足安全要求。高度大于</w:t>
            </w:r>
            <w:r>
              <w:rPr>
                <w:rFonts w:ascii="宋体" w:hAnsi="宋体"/>
                <w:snapToGrid w:val="0"/>
                <w:kern w:val="0"/>
                <w:sz w:val="24"/>
                <w:szCs w:val="24"/>
              </w:rPr>
              <w:t>2m</w:t>
            </w:r>
            <w:r>
              <w:rPr>
                <w:rFonts w:hint="eastAsia" w:ascii="宋体" w:hAnsi="宋体"/>
                <w:snapToGrid w:val="0"/>
                <w:kern w:val="0"/>
                <w:sz w:val="24"/>
                <w:szCs w:val="24"/>
              </w:rPr>
              <w:t>的挡土墙、护坡的上缘与位于其上方的建筑物之间的水平距离应不小于</w:t>
            </w:r>
            <w:r>
              <w:rPr>
                <w:rFonts w:ascii="宋体" w:hAnsi="宋体"/>
                <w:snapToGrid w:val="0"/>
                <w:kern w:val="0"/>
                <w:sz w:val="24"/>
                <w:szCs w:val="24"/>
              </w:rPr>
              <w:t>3m</w:t>
            </w:r>
            <w:r>
              <w:rPr>
                <w:rFonts w:hint="eastAsia" w:ascii="宋体" w:hAnsi="宋体"/>
                <w:snapToGrid w:val="0"/>
                <w:kern w:val="0"/>
                <w:sz w:val="24"/>
                <w:szCs w:val="24"/>
              </w:rPr>
              <w:t>，下缘与位于其下侧方的建筑物之间的水平距离应不小于</w:t>
            </w:r>
            <w:r>
              <w:rPr>
                <w:rFonts w:ascii="宋体" w:hAnsi="宋体"/>
                <w:snapToGrid w:val="0"/>
                <w:kern w:val="0"/>
                <w:sz w:val="24"/>
                <w:szCs w:val="24"/>
              </w:rPr>
              <w:t>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4.6.5.3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人流密集的场所，当挡土墙或坡比值大于</w:t>
            </w:r>
            <w:r>
              <w:rPr>
                <w:rFonts w:ascii="宋体" w:hAnsi="宋体"/>
                <w:snapToGrid w:val="0"/>
                <w:kern w:val="0"/>
                <w:sz w:val="24"/>
                <w:szCs w:val="24"/>
              </w:rPr>
              <w:t>0.5的护坡其上、下缘高差大于0.7m</w:t>
            </w:r>
            <w:r>
              <w:rPr>
                <w:rFonts w:hint="eastAsia" w:ascii="宋体" w:hAnsi="宋体"/>
                <w:snapToGrid w:val="0"/>
                <w:kern w:val="0"/>
                <w:sz w:val="24"/>
                <w:szCs w:val="24"/>
              </w:rPr>
              <w:t>时，应在挡土墙或护坡顶面加设安全防护措施。居住区场地上述高差大于</w:t>
            </w:r>
            <w:r>
              <w:rPr>
                <w:rFonts w:ascii="宋体" w:hAnsi="宋体"/>
                <w:snapToGrid w:val="0"/>
                <w:kern w:val="0"/>
                <w:sz w:val="24"/>
                <w:szCs w:val="24"/>
              </w:rPr>
              <w:t>1m</w:t>
            </w:r>
            <w:r>
              <w:rPr>
                <w:rFonts w:hint="eastAsia" w:ascii="宋体" w:hAnsi="宋体"/>
                <w:snapToGrid w:val="0"/>
                <w:kern w:val="0"/>
                <w:sz w:val="24"/>
                <w:szCs w:val="24"/>
              </w:rPr>
              <w:t>时应加设安全防护措施。住宅用地种植绿化的土质护坡的坡比值应不大于</w:t>
            </w:r>
            <w:r>
              <w:rPr>
                <w:rFonts w:ascii="宋体" w:hAnsi="宋体"/>
                <w:snapToGrid w:val="0"/>
                <w:kern w:val="0"/>
                <w:sz w:val="24"/>
                <w:szCs w:val="24"/>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4.6.6</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场地排水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4.6.6.1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场地内应设有排出地面、路面雨水的措施，其中居住区内应采用暗沟（管）排水。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4.6.6.2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位于低洼处的建筑物，其主入口及地下室应采取防洪及排涝措施。与山体或河道邻近的建筑物应设置截洪沟或防洪堤及防滑坡等设施。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4.6.7</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围墙设置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4.6.7.1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非部队驻地、学校、托幼建筑物周围一般不宜设置围墙。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4.6.7.2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因消防安全需要设置的围墙，除应符合相关规范外还应满足城市规划及城市景观要求。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4.6.7.3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因治安管理等需要沿建设用地红线周边设置围护隔离设施</w:t>
            </w:r>
            <w:r>
              <w:rPr>
                <w:rFonts w:ascii="宋体" w:hAnsi="宋体"/>
                <w:snapToGrid w:val="0"/>
                <w:kern w:val="0"/>
                <w:sz w:val="24"/>
                <w:szCs w:val="24"/>
              </w:rPr>
              <w:t>时</w:t>
            </w:r>
            <w:r>
              <w:rPr>
                <w:rFonts w:hint="eastAsia" w:ascii="宋体" w:hAnsi="宋体"/>
                <w:snapToGrid w:val="0"/>
                <w:kern w:val="0"/>
                <w:sz w:val="24"/>
                <w:szCs w:val="24"/>
              </w:rPr>
              <w:t>，宜结合绿化、景观设计，优先采用绿篱等形式。如采用围墙，应满足以下要求：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⑴围墙的设置应不影响城市规划，不影响用地内现状或规划公用道路的建设实施和通行使用，不影响相邻地块（或小区）合理、必要的交通组织。</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⑵围墙的基础及地上部分均不得逾越用地红线。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w:t>
            </w:r>
            <w:r>
              <w:rPr>
                <w:rFonts w:ascii="宋体" w:hAnsi="宋体"/>
                <w:snapToGrid w:val="0"/>
                <w:kern w:val="0"/>
                <w:sz w:val="24"/>
                <w:szCs w:val="24"/>
              </w:rPr>
              <w:t>围墙</w:t>
            </w:r>
            <w:r>
              <w:rPr>
                <w:rFonts w:hint="eastAsia" w:ascii="宋体" w:hAnsi="宋体"/>
                <w:snapToGrid w:val="0"/>
                <w:kern w:val="0"/>
                <w:sz w:val="24"/>
                <w:szCs w:val="24"/>
              </w:rPr>
              <w:t>应通透、美观，底部实体部分高度不得超过</w:t>
            </w:r>
            <w:r>
              <w:rPr>
                <w:rFonts w:ascii="宋体" w:hAnsi="宋体"/>
                <w:snapToGrid w:val="0"/>
                <w:kern w:val="0"/>
                <w:sz w:val="24"/>
                <w:szCs w:val="24"/>
              </w:rPr>
              <w:t>0.4m</w:t>
            </w:r>
            <w:r>
              <w:rPr>
                <w:rFonts w:hint="eastAsia" w:ascii="宋体" w:hAnsi="宋体"/>
                <w:snapToGrid w:val="0"/>
                <w:kern w:val="0"/>
                <w:sz w:val="24"/>
                <w:szCs w:val="24"/>
              </w:rPr>
              <w:t>。</w:t>
            </w:r>
          </w:p>
        </w:tc>
      </w:tr>
    </w:tbl>
    <w:p/>
    <w:p>
      <w:pPr>
        <w:widowControl/>
        <w:jc w:val="left"/>
      </w:pPr>
      <w: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6"/>
        <w:gridCol w:w="8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第5章</w:t>
            </w:r>
          </w:p>
        </w:tc>
        <w:tc>
          <w:tcPr>
            <w:tcW w:w="8225"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地下及外部空间设计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5.1</w:t>
            </w:r>
          </w:p>
        </w:tc>
        <w:tc>
          <w:tcPr>
            <w:tcW w:w="8225"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地下空间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5.1.1</w:t>
            </w:r>
          </w:p>
        </w:tc>
        <w:tc>
          <w:tcPr>
            <w:tcW w:w="8225"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地下</w:t>
            </w:r>
            <w:r>
              <w:rPr>
                <w:rFonts w:hint="eastAsia" w:ascii="宋体" w:hAnsi="宋体"/>
                <w:b/>
                <w:snapToGrid w:val="0"/>
                <w:kern w:val="0"/>
                <w:sz w:val="24"/>
                <w:szCs w:val="24"/>
              </w:rPr>
              <w:t>室</w:t>
            </w:r>
            <w:r>
              <w:rPr>
                <w:rFonts w:ascii="宋体" w:hAnsi="宋体"/>
                <w:b/>
                <w:snapToGrid w:val="0"/>
                <w:kern w:val="0"/>
                <w:sz w:val="24"/>
                <w:szCs w:val="24"/>
              </w:rPr>
              <w:t>顶板埋深</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地下室顶板埋深除应符合管线和绿化要求外，还应符合以下要求：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5.1.1.1</w:t>
            </w:r>
          </w:p>
        </w:tc>
        <w:tc>
          <w:tcPr>
            <w:tcW w:w="8225"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超出地上建筑物范围的地下室顶板埋深应不小于</w:t>
            </w:r>
            <w:r>
              <w:rPr>
                <w:rFonts w:ascii="宋体" w:hAnsi="宋体"/>
                <w:snapToGrid w:val="0"/>
                <w:kern w:val="0"/>
                <w:sz w:val="24"/>
                <w:szCs w:val="24"/>
              </w:rPr>
              <w:t>0.5m</w:t>
            </w:r>
            <w:r>
              <w:rPr>
                <w:rFonts w:hint="eastAsia" w:ascii="宋体" w:hAnsi="宋体"/>
                <w:snapToGrid w:val="0"/>
                <w:kern w:val="0"/>
                <w:sz w:val="24"/>
                <w:szCs w:val="24"/>
              </w:rPr>
              <w:t>，以满足防水及场地排水要求。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5.1.1.2</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位于建设用地范围内绿地下方的地下室，其顶板结构板面埋深须满足场地绿化覆盖率的相关规定。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5.1.1.3</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位于市政道路正下方的地下室顶板，其覆土厚度应满足有关规划市政管线的敷设要求；如在设计阶段市政管线的敷设要求难以确定的，其最小覆土厚度应不小于3</w:t>
            </w:r>
            <w:r>
              <w:rPr>
                <w:rFonts w:ascii="宋体" w:hAnsi="宋体"/>
                <w:snapToGrid w:val="0"/>
                <w:kern w:val="0"/>
                <w:sz w:val="24"/>
                <w:szCs w:val="24"/>
              </w:rPr>
              <w:t>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5.1.2</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地下空间的</w:t>
            </w:r>
            <w:r>
              <w:rPr>
                <w:rFonts w:hint="eastAsia" w:ascii="宋体" w:hAnsi="宋体"/>
                <w:b/>
                <w:snapToGrid w:val="0"/>
                <w:kern w:val="0"/>
                <w:sz w:val="24"/>
                <w:szCs w:val="24"/>
              </w:rPr>
              <w:t>连</w:t>
            </w:r>
            <w:r>
              <w:rPr>
                <w:rFonts w:ascii="宋体" w:hAnsi="宋体"/>
                <w:b/>
                <w:snapToGrid w:val="0"/>
                <w:kern w:val="0"/>
                <w:sz w:val="24"/>
                <w:szCs w:val="24"/>
              </w:rPr>
              <w:t>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5.1.2.</w:t>
            </w:r>
            <w:r>
              <w:rPr>
                <w:rFonts w:hint="eastAsia" w:ascii="宋体" w:hAnsi="宋体"/>
                <w:b/>
                <w:snapToGrid w:val="0"/>
                <w:kern w:val="0"/>
                <w:sz w:val="24"/>
                <w:szCs w:val="24"/>
              </w:rPr>
              <w:t>1</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地下空间连通建设的要求：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⑴新建大型综合性公共建筑的地下空间，应与附近现状或规划的地铁站点、公交枢纽等公共交通设施进行整合与无障碍连通。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地下步行系统应与其他地下空间如地铁站点、地下商业街、地下过街通道、地下停车库、地下人防设施等紧密衔接，共享通道和出入口。</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⑶地下空间连通工程的设计应符合地下车库、人民防空及消防等相关设计规范的要求。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⑷</w:t>
            </w:r>
            <w:r>
              <w:rPr>
                <w:rFonts w:hint="eastAsia" w:ascii="宋体" w:hAnsi="宋体"/>
                <w:snapToGrid w:val="0"/>
                <w:kern w:val="0"/>
                <w:sz w:val="24"/>
                <w:szCs w:val="24"/>
              </w:rPr>
              <w:t>先建项目应按照规划要求及相关规范预留地下空间连通工程的接口，后建项目应负责实施连通对接。地下空间的连通接口应在图纸中有明确标注。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5.1.2.</w:t>
            </w:r>
            <w:r>
              <w:rPr>
                <w:rFonts w:hint="eastAsia" w:ascii="宋体" w:hAnsi="宋体"/>
                <w:b/>
                <w:snapToGrid w:val="0"/>
                <w:kern w:val="0"/>
                <w:sz w:val="24"/>
                <w:szCs w:val="24"/>
              </w:rPr>
              <w:t>2</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地下空间连通通道的设计，除应满足消防、设备管线敷设、人防设计规范等要求外，还应满足以下规定：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⑴人行：交通人行连通通道净宽不应小于6</w:t>
            </w:r>
            <w:r>
              <w:rPr>
                <w:rFonts w:ascii="宋体" w:hAnsi="宋体"/>
                <w:snapToGrid w:val="0"/>
                <w:kern w:val="0"/>
                <w:sz w:val="24"/>
                <w:szCs w:val="24"/>
              </w:rPr>
              <w:t>m</w:t>
            </w:r>
            <w:r>
              <w:rPr>
                <w:rFonts w:hint="eastAsia" w:ascii="宋体" w:hAnsi="宋体"/>
                <w:snapToGrid w:val="0"/>
                <w:kern w:val="0"/>
                <w:sz w:val="24"/>
                <w:szCs w:val="24"/>
              </w:rPr>
              <w:t>，净高不应小于</w:t>
            </w:r>
            <w:r>
              <w:rPr>
                <w:rFonts w:ascii="宋体" w:hAnsi="宋体"/>
                <w:snapToGrid w:val="0"/>
                <w:kern w:val="0"/>
                <w:sz w:val="24"/>
                <w:szCs w:val="24"/>
              </w:rPr>
              <w:t>2.8m</w:t>
            </w:r>
            <w:r>
              <w:rPr>
                <w:rFonts w:hint="eastAsia" w:ascii="宋体" w:hAnsi="宋体"/>
                <w:snapToGrid w:val="0"/>
                <w:kern w:val="0"/>
                <w:sz w:val="24"/>
                <w:szCs w:val="24"/>
              </w:rPr>
              <w:t>；商业人行连通通道净宽不应小于8</w:t>
            </w:r>
            <w:r>
              <w:rPr>
                <w:rFonts w:ascii="宋体" w:hAnsi="宋体"/>
                <w:snapToGrid w:val="0"/>
                <w:kern w:val="0"/>
                <w:sz w:val="24"/>
                <w:szCs w:val="24"/>
              </w:rPr>
              <w:t>m</w:t>
            </w:r>
            <w:r>
              <w:rPr>
                <w:rFonts w:hint="eastAsia" w:ascii="宋体" w:hAnsi="宋体"/>
                <w:snapToGrid w:val="0"/>
                <w:kern w:val="0"/>
                <w:sz w:val="24"/>
                <w:szCs w:val="24"/>
              </w:rPr>
              <w:t>，净高不应小于商业使用要求。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机动车行：保证双向通行，净宽不应小于</w:t>
            </w:r>
            <w:r>
              <w:rPr>
                <w:rFonts w:ascii="宋体" w:hAnsi="宋体"/>
                <w:snapToGrid w:val="0"/>
                <w:kern w:val="0"/>
                <w:sz w:val="24"/>
                <w:szCs w:val="24"/>
              </w:rPr>
              <w:t>6m</w:t>
            </w:r>
            <w:r>
              <w:rPr>
                <w:rFonts w:hint="eastAsia" w:ascii="宋体" w:hAnsi="宋体"/>
                <w:snapToGrid w:val="0"/>
                <w:kern w:val="0"/>
                <w:sz w:val="24"/>
                <w:szCs w:val="24"/>
              </w:rPr>
              <w:t>，净高不应小于</w:t>
            </w:r>
            <w:r>
              <w:rPr>
                <w:rFonts w:ascii="宋体" w:hAnsi="宋体"/>
                <w:snapToGrid w:val="0"/>
                <w:kern w:val="0"/>
                <w:sz w:val="24"/>
                <w:szCs w:val="24"/>
              </w:rPr>
              <w:t>2.4m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人车混行：保证双向通行，净宽不应小于</w:t>
            </w:r>
            <w:r>
              <w:rPr>
                <w:rFonts w:ascii="宋体" w:hAnsi="宋体"/>
                <w:snapToGrid w:val="0"/>
                <w:kern w:val="0"/>
                <w:sz w:val="24"/>
                <w:szCs w:val="24"/>
              </w:rPr>
              <w:t>9m</w:t>
            </w:r>
            <w:r>
              <w:rPr>
                <w:rFonts w:hint="eastAsia" w:ascii="宋体" w:hAnsi="宋体"/>
                <w:snapToGrid w:val="0"/>
                <w:kern w:val="0"/>
                <w:sz w:val="24"/>
                <w:szCs w:val="24"/>
              </w:rPr>
              <w:t>，净高不应小于</w:t>
            </w:r>
            <w:r>
              <w:rPr>
                <w:rFonts w:ascii="宋体" w:hAnsi="宋体"/>
                <w:snapToGrid w:val="0"/>
                <w:kern w:val="0"/>
                <w:sz w:val="24"/>
                <w:szCs w:val="24"/>
              </w:rPr>
              <w:t>2.8m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⑷特殊车辆通行：应满足特殊车辆通行的净宽和净高要求。</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地铁、地下公交场站等公共交通设施的设计，还须满足其特殊规定。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5.1.</w:t>
            </w:r>
            <w:r>
              <w:rPr>
                <w:rFonts w:hint="eastAsia" w:ascii="宋体" w:hAnsi="宋体"/>
                <w:b/>
                <w:snapToGrid w:val="0"/>
                <w:kern w:val="0"/>
                <w:sz w:val="24"/>
                <w:szCs w:val="24"/>
              </w:rPr>
              <w:t>2</w:t>
            </w:r>
            <w:r>
              <w:rPr>
                <w:rFonts w:ascii="宋体" w:hAnsi="宋体"/>
                <w:b/>
                <w:snapToGrid w:val="0"/>
                <w:kern w:val="0"/>
                <w:sz w:val="24"/>
                <w:szCs w:val="24"/>
              </w:rPr>
              <w:t>.</w:t>
            </w:r>
            <w:r>
              <w:rPr>
                <w:rFonts w:hint="eastAsia" w:ascii="宋体" w:hAnsi="宋体"/>
                <w:b/>
                <w:snapToGrid w:val="0"/>
                <w:kern w:val="0"/>
                <w:sz w:val="24"/>
                <w:szCs w:val="24"/>
              </w:rPr>
              <w:t>3</w:t>
            </w:r>
          </w:p>
        </w:tc>
        <w:tc>
          <w:tcPr>
            <w:tcW w:w="8225"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建筑地下通道空间可结合商业布置，地下通道的空间尺寸应满足相关技术要求，各类地下商业街的设计均应符合国家相关规范的要求。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5.2</w:t>
            </w:r>
          </w:p>
        </w:tc>
        <w:tc>
          <w:tcPr>
            <w:tcW w:w="8225"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8"/>
                <w:szCs w:val="28"/>
              </w:rPr>
              <w:t>市政道路上方跨街建筑物</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跨街建筑物是指依据城市规划要求设置，跨越市政道路上方、底部架空的建筑物。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5.2.1</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跨街建筑物底层距市政道路路面净空高度不应小于所跨车行道净宽的</w:t>
            </w:r>
            <w:r>
              <w:rPr>
                <w:rFonts w:ascii="宋体" w:hAnsi="宋体"/>
                <w:snapToGrid w:val="0"/>
                <w:kern w:val="0"/>
                <w:sz w:val="24"/>
                <w:szCs w:val="24"/>
              </w:rPr>
              <w:t>1/3，同时还应满足</w:t>
            </w:r>
            <w:r>
              <w:rPr>
                <w:rFonts w:hint="eastAsia" w:ascii="宋体" w:hAnsi="宋体"/>
                <w:snapToGrid w:val="0"/>
                <w:kern w:val="0"/>
                <w:sz w:val="24"/>
                <w:szCs w:val="24"/>
              </w:rPr>
              <w:t>不同等级市政道路的通行要求，并不得小于</w:t>
            </w:r>
            <w:r>
              <w:rPr>
                <w:rFonts w:ascii="宋体" w:hAnsi="宋体"/>
                <w:snapToGrid w:val="0"/>
                <w:kern w:val="0"/>
                <w:sz w:val="24"/>
                <w:szCs w:val="24"/>
              </w:rPr>
              <w:t>5m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5.2.2</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跨街建筑物底层距市政道路路面净空高度小于24米时，</w:t>
            </w:r>
            <w:r>
              <w:rPr>
                <w:rFonts w:ascii="宋体" w:hAnsi="宋体"/>
                <w:snapToGrid w:val="0"/>
                <w:kern w:val="0"/>
                <w:sz w:val="24"/>
                <w:szCs w:val="24"/>
              </w:rPr>
              <w:t>所占市政道路上空连续总长度（沿道路通行方向）不宜大</w:t>
            </w:r>
            <w:r>
              <w:rPr>
                <w:rFonts w:hint="eastAsia" w:ascii="宋体" w:hAnsi="宋体"/>
                <w:snapToGrid w:val="0"/>
                <w:kern w:val="0"/>
                <w:sz w:val="24"/>
                <w:szCs w:val="24"/>
              </w:rPr>
              <w:t>于</w:t>
            </w:r>
            <w:r>
              <w:rPr>
                <w:rFonts w:ascii="宋体" w:hAnsi="宋体"/>
                <w:snapToGrid w:val="0"/>
                <w:kern w:val="0"/>
                <w:sz w:val="24"/>
                <w:szCs w:val="24"/>
              </w:rPr>
              <w:t>30m</w:t>
            </w:r>
            <w:r>
              <w:rPr>
                <w:rFonts w:hint="eastAsia" w:ascii="宋体" w:hAnsi="宋体"/>
                <w:snapToGrid w:val="0"/>
                <w:kern w:val="0"/>
                <w:sz w:val="24"/>
                <w:szCs w:val="24"/>
              </w:rPr>
              <w:t>；超过</w:t>
            </w:r>
            <w:r>
              <w:rPr>
                <w:rFonts w:ascii="宋体" w:hAnsi="宋体"/>
                <w:snapToGrid w:val="0"/>
                <w:kern w:val="0"/>
                <w:sz w:val="24"/>
                <w:szCs w:val="24"/>
              </w:rPr>
              <w:t>30m</w:t>
            </w:r>
            <w:r>
              <w:rPr>
                <w:rFonts w:hint="eastAsia" w:ascii="宋体" w:hAnsi="宋体"/>
                <w:snapToGrid w:val="0"/>
                <w:kern w:val="0"/>
                <w:sz w:val="24"/>
                <w:szCs w:val="24"/>
              </w:rPr>
              <w:t>时，应每隔</w:t>
            </w:r>
            <w:r>
              <w:rPr>
                <w:rFonts w:ascii="宋体" w:hAnsi="宋体"/>
                <w:snapToGrid w:val="0"/>
                <w:kern w:val="0"/>
                <w:sz w:val="24"/>
                <w:szCs w:val="24"/>
              </w:rPr>
              <w:t>30m</w:t>
            </w:r>
            <w:r>
              <w:rPr>
                <w:rFonts w:hint="eastAsia" w:ascii="宋体" w:hAnsi="宋体"/>
                <w:snapToGrid w:val="0"/>
                <w:kern w:val="0"/>
                <w:sz w:val="24"/>
                <w:szCs w:val="24"/>
              </w:rPr>
              <w:t>设置长度不小于</w:t>
            </w:r>
            <w:r>
              <w:rPr>
                <w:rFonts w:ascii="宋体" w:hAnsi="宋体"/>
                <w:snapToGrid w:val="0"/>
                <w:kern w:val="0"/>
                <w:sz w:val="24"/>
                <w:szCs w:val="24"/>
              </w:rPr>
              <w:t>15m</w:t>
            </w:r>
            <w:r>
              <w:rPr>
                <w:rFonts w:hint="eastAsia" w:ascii="宋体" w:hAnsi="宋体"/>
                <w:snapToGrid w:val="0"/>
                <w:kern w:val="0"/>
                <w:sz w:val="24"/>
                <w:szCs w:val="24"/>
              </w:rPr>
              <w:t>且至少与车行道等宽的露天开口。跨街建筑物底层距市政道路路面净空高度不小于24米时，</w:t>
            </w:r>
            <w:r>
              <w:rPr>
                <w:rFonts w:ascii="宋体" w:hAnsi="宋体"/>
                <w:snapToGrid w:val="0"/>
                <w:kern w:val="0"/>
                <w:sz w:val="24"/>
                <w:szCs w:val="24"/>
              </w:rPr>
              <w:t>所占市政道路上空连续总长度（沿道路通行方向）不宜大</w:t>
            </w:r>
            <w:r>
              <w:rPr>
                <w:rFonts w:hint="eastAsia" w:ascii="宋体" w:hAnsi="宋体"/>
                <w:snapToGrid w:val="0"/>
                <w:kern w:val="0"/>
                <w:sz w:val="24"/>
                <w:szCs w:val="24"/>
              </w:rPr>
              <w:t>于净空高度值的1.5倍。超过净空高度值的1.5倍时，每隔净空高度值的1.5倍设置长度不小于</w:t>
            </w:r>
            <w:r>
              <w:rPr>
                <w:rFonts w:ascii="宋体" w:hAnsi="宋体"/>
                <w:snapToGrid w:val="0"/>
                <w:kern w:val="0"/>
                <w:sz w:val="24"/>
                <w:szCs w:val="24"/>
              </w:rPr>
              <w:t>15m</w:t>
            </w:r>
            <w:r>
              <w:rPr>
                <w:rFonts w:hint="eastAsia" w:ascii="宋体" w:hAnsi="宋体"/>
                <w:snapToGrid w:val="0"/>
                <w:kern w:val="0"/>
                <w:sz w:val="24"/>
                <w:szCs w:val="24"/>
              </w:rPr>
              <w:t>且至少与车行道等宽的露天开口。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5.2.3</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跨街建筑物下方应视其宽度采取必要的照明、通风等措施。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5.3</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玻璃幕墙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5.3.1</w:t>
            </w:r>
          </w:p>
        </w:tc>
        <w:tc>
          <w:tcPr>
            <w:tcW w:w="8225"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以下部位不得采用玻璃幕墙</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w:t>
            </w:r>
            <w:r>
              <w:rPr>
                <w:rFonts w:ascii="宋体" w:hAnsi="宋体"/>
                <w:snapToGrid w:val="0"/>
                <w:kern w:val="0"/>
                <w:sz w:val="24"/>
                <w:szCs w:val="24"/>
              </w:rPr>
              <w:t>住宅、党政机关办公楼、医院门诊急诊楼和病房楼、中小学校、托儿所、幼儿园、养老院的新建、改建、扩建以及立面改造工程等二层以上部位。</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w:t>
            </w:r>
            <w:r>
              <w:rPr>
                <w:rFonts w:ascii="宋体" w:hAnsi="宋体"/>
                <w:snapToGrid w:val="0"/>
                <w:kern w:val="0"/>
                <w:sz w:val="24"/>
                <w:szCs w:val="24"/>
              </w:rPr>
              <w:t>建筑物与中小学校、托儿所、幼儿园、养老院等毗邻一侧的二层以上部位。</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w:t>
            </w:r>
            <w:r>
              <w:rPr>
                <w:rFonts w:ascii="宋体" w:hAnsi="宋体"/>
                <w:snapToGrid w:val="0"/>
                <w:kern w:val="0"/>
                <w:sz w:val="24"/>
                <w:szCs w:val="24"/>
              </w:rPr>
              <w:t>在 T 形路口正对直线路段处。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5.3.2</w:t>
            </w:r>
          </w:p>
        </w:tc>
        <w:tc>
          <w:tcPr>
            <w:tcW w:w="8225"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以下位置应慎用玻璃幕墙</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⑴毗邻住宅、医院（门诊、急诊楼和病房楼）、保密单位等建筑物。</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⑵城市中划定的历史街区、文物保护区和风景名胜区内。</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⑶位于红树林保护区及其他鸟类保护区周边的高层或超高层建筑。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5.3.3</w:t>
            </w:r>
          </w:p>
        </w:tc>
        <w:tc>
          <w:tcPr>
            <w:tcW w:w="8225" w:type="dxa"/>
            <w:vAlign w:val="top"/>
          </w:tcPr>
          <w:p>
            <w:pPr>
              <w:tabs>
                <w:tab w:val="left" w:pos="1170"/>
              </w:tabs>
              <w:topLinePunct/>
              <w:snapToGrid w:val="0"/>
              <w:spacing w:before="211" w:beforeLines="50"/>
              <w:rPr>
                <w:rFonts w:ascii="宋体" w:hAnsi="宋体"/>
                <w:b/>
                <w:snapToGrid w:val="0"/>
                <w:color w:val="auto"/>
                <w:kern w:val="0"/>
                <w:sz w:val="24"/>
                <w:szCs w:val="24"/>
              </w:rPr>
            </w:pPr>
            <w:r>
              <w:rPr>
                <w:rFonts w:ascii="宋体" w:hAnsi="宋体"/>
                <w:b/>
                <w:snapToGrid w:val="0"/>
                <w:color w:val="auto"/>
                <w:kern w:val="0"/>
                <w:sz w:val="24"/>
                <w:szCs w:val="24"/>
              </w:rPr>
              <w:t>以下位置</w:t>
            </w:r>
            <w:r>
              <w:rPr>
                <w:rFonts w:hint="eastAsia" w:ascii="宋体" w:hAnsi="宋体"/>
                <w:b/>
                <w:snapToGrid w:val="0"/>
                <w:color w:val="auto"/>
                <w:kern w:val="0"/>
                <w:sz w:val="24"/>
                <w:szCs w:val="24"/>
              </w:rPr>
              <w:t>不宜设置</w:t>
            </w:r>
            <w:r>
              <w:rPr>
                <w:rFonts w:ascii="宋体" w:hAnsi="宋体"/>
                <w:b/>
                <w:snapToGrid w:val="0"/>
                <w:color w:val="auto"/>
                <w:kern w:val="0"/>
                <w:sz w:val="24"/>
                <w:szCs w:val="24"/>
              </w:rPr>
              <w:t>玻璃幕墙</w:t>
            </w:r>
          </w:p>
          <w:p>
            <w:pPr>
              <w:tabs>
                <w:tab w:val="left" w:pos="1170"/>
              </w:tabs>
              <w:topLinePunct/>
              <w:snapToGrid w:val="0"/>
              <w:spacing w:before="211" w:beforeLines="50"/>
              <w:rPr>
                <w:rFonts w:ascii="宋体" w:hAnsi="宋体"/>
                <w:snapToGrid w:val="0"/>
                <w:color w:val="auto"/>
                <w:kern w:val="0"/>
                <w:sz w:val="24"/>
                <w:szCs w:val="24"/>
              </w:rPr>
            </w:pPr>
            <w:r>
              <w:rPr>
                <w:rFonts w:hint="eastAsia" w:ascii="宋体" w:hAnsi="宋体"/>
                <w:snapToGrid w:val="0"/>
                <w:color w:val="auto"/>
                <w:kern w:val="0"/>
                <w:sz w:val="24"/>
                <w:szCs w:val="24"/>
              </w:rPr>
              <w:t>(</w:t>
            </w:r>
            <w:r>
              <w:rPr>
                <w:rFonts w:ascii="宋体" w:hAnsi="宋体"/>
                <w:snapToGrid w:val="0"/>
                <w:color w:val="auto"/>
                <w:kern w:val="0"/>
                <w:sz w:val="24"/>
                <w:szCs w:val="24"/>
              </w:rPr>
              <w:t>1)</w:t>
            </w:r>
            <w:r>
              <w:rPr>
                <w:rFonts w:hint="eastAsia" w:ascii="宋体" w:hAnsi="宋体"/>
                <w:snapToGrid w:val="0"/>
                <w:color w:val="auto"/>
                <w:kern w:val="0"/>
                <w:sz w:val="24"/>
                <w:szCs w:val="24"/>
              </w:rPr>
              <w:t>位于城市道路交叉口。</w:t>
            </w:r>
          </w:p>
          <w:p>
            <w:pPr>
              <w:tabs>
                <w:tab w:val="left" w:pos="1170"/>
              </w:tabs>
              <w:topLinePunct/>
              <w:snapToGrid w:val="0"/>
              <w:spacing w:before="211" w:beforeLines="50"/>
              <w:rPr>
                <w:rFonts w:ascii="宋体" w:hAnsi="宋体" w:eastAsia="宋体" w:cs="Calibri"/>
                <w:snapToGrid w:val="0"/>
                <w:color w:val="auto"/>
                <w:kern w:val="0"/>
                <w:sz w:val="24"/>
                <w:szCs w:val="24"/>
                <w:lang w:val="en-US" w:eastAsia="zh-CN" w:bidi="ar-SA"/>
              </w:rPr>
            </w:pPr>
            <w:r>
              <w:rPr>
                <w:rFonts w:hint="eastAsia" w:ascii="宋体" w:hAnsi="宋体"/>
                <w:snapToGrid w:val="0"/>
                <w:color w:val="auto"/>
                <w:kern w:val="0"/>
                <w:sz w:val="24"/>
                <w:szCs w:val="24"/>
              </w:rPr>
              <w:t>(</w:t>
            </w:r>
            <w:r>
              <w:rPr>
                <w:rFonts w:ascii="宋体" w:hAnsi="宋体"/>
                <w:snapToGrid w:val="0"/>
                <w:color w:val="auto"/>
                <w:kern w:val="0"/>
                <w:sz w:val="24"/>
                <w:szCs w:val="24"/>
              </w:rPr>
              <w:t>2)</w:t>
            </w:r>
            <w:r>
              <w:rPr>
                <w:rFonts w:hint="eastAsia" w:ascii="宋体" w:hAnsi="宋体"/>
                <w:snapToGrid w:val="0"/>
                <w:color w:val="auto"/>
                <w:kern w:val="0"/>
                <w:sz w:val="24"/>
                <w:szCs w:val="24"/>
              </w:rPr>
              <w:t>城市主干道、立交桥、高架路两侧的建筑物2</w:t>
            </w:r>
            <w:r>
              <w:rPr>
                <w:rFonts w:ascii="宋体" w:hAnsi="宋体"/>
                <w:snapToGrid w:val="0"/>
                <w:color w:val="auto"/>
                <w:kern w:val="0"/>
                <w:sz w:val="24"/>
                <w:szCs w:val="24"/>
              </w:rPr>
              <w:t>0</w:t>
            </w:r>
            <w:r>
              <w:rPr>
                <w:rFonts w:hint="eastAsia" w:ascii="宋体" w:hAnsi="宋体"/>
                <w:snapToGrid w:val="0"/>
                <w:color w:val="auto"/>
                <w:kern w:val="0"/>
                <w:sz w:val="24"/>
                <w:szCs w:val="24"/>
              </w:rPr>
              <w:t>m以下和其余路段1</w:t>
            </w:r>
            <w:r>
              <w:rPr>
                <w:rFonts w:ascii="宋体" w:hAnsi="宋体"/>
                <w:snapToGrid w:val="0"/>
                <w:color w:val="auto"/>
                <w:kern w:val="0"/>
                <w:sz w:val="24"/>
                <w:szCs w:val="24"/>
              </w:rPr>
              <w:t>0</w:t>
            </w:r>
            <w:r>
              <w:rPr>
                <w:rFonts w:hint="eastAsia" w:ascii="宋体" w:hAnsi="宋体"/>
                <w:snapToGrid w:val="0"/>
                <w:color w:val="auto"/>
                <w:kern w:val="0"/>
                <w:sz w:val="24"/>
                <w:szCs w:val="24"/>
              </w:rPr>
              <w:t>m以下部位（高度平路面起算）。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5.4</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8"/>
                <w:szCs w:val="28"/>
              </w:rPr>
              <w:t>建筑立面设计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vAlign w:val="top"/>
          </w:tcPr>
          <w:p>
            <w:pPr>
              <w:topLinePunct/>
              <w:snapToGrid w:val="0"/>
              <w:spacing w:before="211" w:beforeLines="50"/>
              <w:rPr>
                <w:rFonts w:ascii="宋体" w:hAnsi="宋体"/>
                <w:b/>
                <w:snapToGrid w:val="0"/>
                <w:kern w:val="0"/>
                <w:sz w:val="28"/>
                <w:szCs w:val="28"/>
              </w:rPr>
            </w:pPr>
            <w:r>
              <w:rPr>
                <w:rFonts w:hint="eastAsia" w:ascii="宋体" w:hAnsi="宋体"/>
                <w:b/>
                <w:snapToGrid w:val="0"/>
                <w:color w:val="auto"/>
                <w:kern w:val="0"/>
                <w:sz w:val="24"/>
                <w:szCs w:val="24"/>
              </w:rPr>
              <w:t>5</w:t>
            </w:r>
            <w:r>
              <w:rPr>
                <w:rFonts w:ascii="宋体" w:hAnsi="宋体"/>
                <w:b/>
                <w:snapToGrid w:val="0"/>
                <w:color w:val="auto"/>
                <w:kern w:val="0"/>
                <w:sz w:val="24"/>
                <w:szCs w:val="24"/>
              </w:rPr>
              <w:t>.4.1</w:t>
            </w:r>
          </w:p>
        </w:tc>
        <w:tc>
          <w:tcPr>
            <w:tcW w:w="8225" w:type="dxa"/>
            <w:vAlign w:val="top"/>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color w:val="auto"/>
                <w:kern w:val="0"/>
                <w:sz w:val="24"/>
                <w:szCs w:val="24"/>
              </w:rPr>
              <w:t>建筑立面色彩设计应综合考虑城市景观、场地环境、使用功能等因素,遵循和谐有序原则进行设计。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vAlign w:val="top"/>
          </w:tcPr>
          <w:p>
            <w:pPr>
              <w:topLinePunct/>
              <w:snapToGrid w:val="0"/>
              <w:spacing w:before="211" w:beforeLines="50"/>
              <w:rPr>
                <w:rFonts w:ascii="宋体" w:hAnsi="宋体"/>
                <w:b/>
                <w:snapToGrid w:val="0"/>
                <w:kern w:val="0"/>
                <w:sz w:val="28"/>
                <w:szCs w:val="28"/>
              </w:rPr>
            </w:pPr>
            <w:r>
              <w:rPr>
                <w:rFonts w:hint="eastAsia" w:ascii="宋体" w:hAnsi="宋体"/>
                <w:b/>
                <w:snapToGrid w:val="0"/>
                <w:color w:val="auto"/>
                <w:kern w:val="0"/>
                <w:sz w:val="24"/>
                <w:szCs w:val="24"/>
              </w:rPr>
              <w:t>5</w:t>
            </w:r>
            <w:r>
              <w:rPr>
                <w:rFonts w:ascii="宋体" w:hAnsi="宋体"/>
                <w:b/>
                <w:snapToGrid w:val="0"/>
                <w:color w:val="auto"/>
                <w:kern w:val="0"/>
                <w:sz w:val="24"/>
                <w:szCs w:val="24"/>
              </w:rPr>
              <w:t>.4.2</w:t>
            </w:r>
          </w:p>
        </w:tc>
        <w:tc>
          <w:tcPr>
            <w:tcW w:w="8225" w:type="dxa"/>
            <w:vAlign w:val="top"/>
          </w:tcPr>
          <w:p>
            <w:pPr>
              <w:topLinePunct/>
              <w:snapToGrid w:val="0"/>
              <w:spacing w:before="211" w:beforeLines="50"/>
              <w:rPr>
                <w:rFonts w:ascii="宋体" w:hAnsi="宋体"/>
                <w:b/>
                <w:snapToGrid w:val="0"/>
                <w:kern w:val="0"/>
                <w:sz w:val="28"/>
                <w:szCs w:val="28"/>
              </w:rPr>
            </w:pPr>
            <w:r>
              <w:rPr>
                <w:rFonts w:hint="eastAsia" w:ascii="宋体" w:hAnsi="宋体"/>
                <w:snapToGrid w:val="0"/>
                <w:color w:val="auto"/>
                <w:kern w:val="0"/>
                <w:sz w:val="24"/>
                <w:szCs w:val="24"/>
              </w:rPr>
              <w:t>城市重点地区、历史风貌区、临近自然景观资源地区和重点建筑的建筑立面色彩及材质应进行专题研究。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hint="eastAsia" w:ascii="宋体" w:hAnsi="宋体" w:eastAsia="宋体"/>
                <w:b/>
                <w:snapToGrid w:val="0"/>
                <w:kern w:val="0"/>
                <w:sz w:val="28"/>
                <w:szCs w:val="28"/>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3</w:t>
            </w:r>
          </w:p>
        </w:tc>
        <w:tc>
          <w:tcPr>
            <w:tcW w:w="8225" w:type="dxa"/>
          </w:tcPr>
          <w:p>
            <w:pPr>
              <w:tabs>
                <w:tab w:val="left" w:pos="1170"/>
              </w:tabs>
              <w:topLinePunct/>
              <w:snapToGrid w:val="0"/>
              <w:spacing w:before="211" w:beforeLines="50"/>
              <w:rPr>
                <w:rFonts w:ascii="宋体" w:hAnsi="宋体"/>
                <w:b/>
                <w:snapToGrid w:val="0"/>
                <w:kern w:val="0"/>
                <w:sz w:val="28"/>
                <w:szCs w:val="28"/>
              </w:rPr>
            </w:pPr>
            <w:r>
              <w:rPr>
                <w:rFonts w:ascii="宋体" w:hAnsi="宋体"/>
                <w:snapToGrid w:val="0"/>
                <w:kern w:val="0"/>
                <w:sz w:val="24"/>
                <w:szCs w:val="24"/>
              </w:rPr>
              <w:t>凡是楼层超过20层、高度超过60m</w:t>
            </w:r>
            <w:r>
              <w:rPr>
                <w:rFonts w:hint="eastAsia" w:ascii="宋体" w:hAnsi="宋体"/>
                <w:snapToGrid w:val="0"/>
                <w:kern w:val="0"/>
                <w:sz w:val="24"/>
                <w:szCs w:val="24"/>
              </w:rPr>
              <w:t>、临街或下部有行人通行的建筑外墙应保证其安全性。使用粘贴型外墙面砖和马赛克等外墙瓷质贴面材料时，应有防坠落措施，或地面留出足够的安全空间。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4</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幕墙使用的擦窗及维护设备，宜进行遮蔽隐藏，避免影响建筑物整体外观。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5</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建筑沿街立面不宜装设空调室外机，如需设置应满足以下要求：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⑴应统一考虑装设空调室外机的位置，通过适当的建筑手段进行有效遮蔽，做到美观、整齐、易于维修检查。</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在人行道及主要人员出入口处均应设置防坠落设施。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空调室外机位不应对相邻房间造成噪音和气流干扰，空调器冷凝水应有组织地收集排放。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6</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建筑外墙门窗原则上不应设置防盗网，确需设置时，应统一设计、统一安装。窗的防盗网应安装在窗的内侧，阳台、走廊的安全防护设施不能超出阳台、走廊的外缘边线。阳台外露防盗网应采用</w:t>
            </w:r>
            <w:r>
              <w:rPr>
                <w:rFonts w:hint="eastAsia" w:ascii="宋体" w:hAnsi="宋体"/>
                <w:snapToGrid w:val="0"/>
                <w:kern w:val="0"/>
                <w:sz w:val="24"/>
                <w:szCs w:val="24"/>
              </w:rPr>
              <w:t>耐腐</w:t>
            </w:r>
            <w:r>
              <w:rPr>
                <w:rFonts w:ascii="宋体" w:hAnsi="宋体"/>
                <w:snapToGrid w:val="0"/>
                <w:kern w:val="0"/>
                <w:sz w:val="24"/>
                <w:szCs w:val="24"/>
              </w:rPr>
              <w:t>蚀材料制作，并加设应急逃生口。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7</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建筑物沿街立面的进出风口应按其技术要求，分类整理、统一定位布设，并尽量与建筑物立面统一设计；出风口底边与地面垂直距离</w:t>
            </w:r>
            <w:r>
              <w:rPr>
                <w:rFonts w:hint="eastAsia" w:ascii="宋体" w:hAnsi="宋体"/>
                <w:snapToGrid w:val="0"/>
                <w:kern w:val="0"/>
                <w:sz w:val="24"/>
                <w:szCs w:val="24"/>
              </w:rPr>
              <w:t>应不小于</w:t>
            </w:r>
            <w:r>
              <w:rPr>
                <w:rFonts w:ascii="宋体" w:hAnsi="宋体"/>
                <w:snapToGrid w:val="0"/>
                <w:kern w:val="0"/>
                <w:sz w:val="24"/>
                <w:szCs w:val="24"/>
              </w:rPr>
              <w:t>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5.4.</w:t>
            </w:r>
            <w:r>
              <w:rPr>
                <w:rFonts w:hint="eastAsia" w:ascii="宋体" w:hAnsi="宋体"/>
                <w:b/>
                <w:snapToGrid w:val="0"/>
                <w:kern w:val="0"/>
                <w:sz w:val="24"/>
                <w:szCs w:val="24"/>
                <w:lang w:val="en-US" w:eastAsia="zh-CN"/>
              </w:rPr>
              <w:t>8</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建筑物沿街立面的给排水管、电力线、弱电线、煤气管道等应按其安装的技术要求，分类整理、统一定位布设，尽量设在建筑物内的管井中，当需在建筑外墙敷设时，应</w:t>
            </w:r>
            <w:r>
              <w:rPr>
                <w:rFonts w:hint="eastAsia" w:ascii="宋体" w:hAnsi="宋体"/>
                <w:snapToGrid w:val="0"/>
                <w:kern w:val="0"/>
                <w:sz w:val="24"/>
                <w:szCs w:val="24"/>
              </w:rPr>
              <w:t>尽量集中在次要立面或较隐蔽的立面凹口部位。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5.5</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8"/>
                <w:szCs w:val="28"/>
              </w:rPr>
              <w:t>建筑屋面设计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5.5.1</w:t>
            </w:r>
          </w:p>
        </w:tc>
        <w:tc>
          <w:tcPr>
            <w:tcW w:w="8225" w:type="dxa"/>
          </w:tcPr>
          <w:p>
            <w:pPr>
              <w:tabs>
                <w:tab w:val="left" w:pos="1170"/>
              </w:tabs>
              <w:topLinePunct/>
              <w:snapToGrid w:val="0"/>
              <w:spacing w:before="211" w:beforeLines="50"/>
              <w:rPr>
                <w:rFonts w:ascii="宋体" w:hAnsi="宋体"/>
                <w:b/>
                <w:snapToGrid w:val="0"/>
                <w:kern w:val="0"/>
                <w:sz w:val="28"/>
                <w:szCs w:val="28"/>
              </w:rPr>
            </w:pPr>
            <w:r>
              <w:rPr>
                <w:rFonts w:ascii="宋体" w:hAnsi="宋体"/>
                <w:snapToGrid w:val="0"/>
                <w:kern w:val="0"/>
                <w:sz w:val="24"/>
                <w:szCs w:val="24"/>
              </w:rPr>
              <w:t>屋面设计提倡采用节能环保的新材料、新技术</w:t>
            </w:r>
            <w:r>
              <w:rPr>
                <w:rFonts w:hint="eastAsia" w:ascii="宋体" w:hAnsi="宋体"/>
                <w:snapToGrid w:val="0"/>
                <w:kern w:val="0"/>
                <w:sz w:val="24"/>
                <w:szCs w:val="24"/>
              </w:rPr>
              <w:t>，并尽可能采用绿化种植屋面的方式，以提高城市屋顶的绿化比例。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5.5.</w:t>
            </w:r>
            <w:r>
              <w:rPr>
                <w:rFonts w:hint="eastAsia" w:ascii="宋体" w:hAnsi="宋体"/>
                <w:b/>
                <w:snapToGrid w:val="0"/>
                <w:kern w:val="0"/>
                <w:sz w:val="24"/>
                <w:szCs w:val="24"/>
              </w:rPr>
              <w:t>2</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对高出屋面的空调冷却塔等设备，应通过建筑手段进行有效遮蔽，减少对相邻建筑的影响。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5.5.</w:t>
            </w:r>
            <w:r>
              <w:rPr>
                <w:rFonts w:hint="eastAsia" w:ascii="宋体" w:hAnsi="宋体"/>
                <w:b/>
                <w:snapToGrid w:val="0"/>
                <w:kern w:val="0"/>
                <w:sz w:val="24"/>
                <w:szCs w:val="24"/>
              </w:rPr>
              <w:t>3</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当建筑高度大于250m，其突出屋面的构架、幕墙等的高度结合建筑造型需要设置；当建筑高度不大于250m，其满足下列</w:t>
            </w:r>
            <w:r>
              <w:rPr>
                <w:rFonts w:ascii="宋体" w:hAnsi="宋体"/>
                <w:snapToGrid w:val="0"/>
                <w:kern w:val="0"/>
                <w:sz w:val="24"/>
                <w:szCs w:val="24"/>
              </w:rPr>
              <w:t>情况</w:t>
            </w:r>
            <w:r>
              <w:rPr>
                <w:rFonts w:hint="eastAsia" w:ascii="宋体" w:hAnsi="宋体"/>
                <w:snapToGrid w:val="0"/>
                <w:kern w:val="0"/>
                <w:sz w:val="24"/>
                <w:szCs w:val="24"/>
              </w:rPr>
              <w:t>时，参照</w:t>
            </w:r>
            <w:r>
              <w:rPr>
                <w:rFonts w:ascii="宋体" w:hAnsi="宋体"/>
                <w:snapToGrid w:val="0"/>
                <w:kern w:val="0"/>
                <w:sz w:val="24"/>
                <w:szCs w:val="24"/>
              </w:rPr>
              <w:t xml:space="preserve">3.1.6.4 </w:t>
            </w:r>
            <w:r>
              <w:rPr>
                <w:rFonts w:hint="eastAsia" w:ascii="宋体" w:hAnsi="宋体"/>
                <w:snapToGrid w:val="0"/>
                <w:kern w:val="0"/>
                <w:sz w:val="24"/>
                <w:szCs w:val="24"/>
              </w:rPr>
              <w:t>公式</w:t>
            </w:r>
            <w:r>
              <w:rPr>
                <w:rFonts w:ascii="宋体" w:hAnsi="宋体"/>
                <w:snapToGrid w:val="0"/>
                <w:kern w:val="0"/>
                <w:sz w:val="24"/>
                <w:szCs w:val="24"/>
              </w:rPr>
              <w:t xml:space="preserve">2 </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2.2m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⑴建筑高度不大于24m（含高层建筑不大于24m的裙房），其突出屋面的构架、幕墙等的高度超过2.2m时，或实体女儿墙突出屋面的高度超过1.5m。</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⑵高层建筑高度不大于150m，其突出屋面的构架、幕墙等的高度超过</w:t>
            </w:r>
            <w:r>
              <w:rPr>
                <w:rFonts w:ascii="宋体" w:hAnsi="宋体"/>
                <w:snapToGrid w:val="0"/>
                <w:kern w:val="0"/>
                <w:sz w:val="24"/>
                <w:szCs w:val="24"/>
              </w:rPr>
              <w:t>9m</w:t>
            </w:r>
            <w:r>
              <w:rPr>
                <w:rFonts w:hint="eastAsia" w:ascii="宋体" w:hAnsi="宋体"/>
                <w:snapToGrid w:val="0"/>
                <w:kern w:val="0"/>
                <w:sz w:val="24"/>
                <w:szCs w:val="24"/>
              </w:rPr>
              <w:t>或超过屋面高度的</w:t>
            </w:r>
            <w:r>
              <w:rPr>
                <w:rFonts w:ascii="宋体" w:hAnsi="宋体"/>
                <w:snapToGrid w:val="0"/>
                <w:kern w:val="0"/>
                <w:sz w:val="24"/>
                <w:szCs w:val="24"/>
              </w:rPr>
              <w:t>10%</w:t>
            </w:r>
            <w:r>
              <w:rPr>
                <w:rFonts w:hint="eastAsia" w:ascii="宋体" w:hAnsi="宋体"/>
                <w:snapToGrid w:val="0"/>
                <w:kern w:val="0"/>
                <w:sz w:val="24"/>
                <w:szCs w:val="24"/>
              </w:rPr>
              <w:t>，或实体女儿墙突出屋面的高度超过</w:t>
            </w:r>
            <w:r>
              <w:rPr>
                <w:rFonts w:ascii="宋体" w:hAnsi="宋体"/>
                <w:snapToGrid w:val="0"/>
                <w:kern w:val="0"/>
                <w:sz w:val="24"/>
                <w:szCs w:val="24"/>
              </w:rPr>
              <w:t xml:space="preserve">1.5m </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⑶高层建筑高度大于150m、不大于250m，其突出屋面的构架、幕墙等的高度超过</w:t>
            </w:r>
            <w:r>
              <w:rPr>
                <w:rFonts w:ascii="宋体" w:hAnsi="宋体"/>
                <w:snapToGrid w:val="0"/>
                <w:kern w:val="0"/>
                <w:sz w:val="24"/>
                <w:szCs w:val="24"/>
              </w:rPr>
              <w:t>12m</w:t>
            </w:r>
            <w:r>
              <w:rPr>
                <w:rFonts w:hint="eastAsia" w:ascii="宋体" w:hAnsi="宋体"/>
                <w:snapToGrid w:val="0"/>
                <w:kern w:val="0"/>
                <w:sz w:val="24"/>
                <w:szCs w:val="24"/>
              </w:rPr>
              <w:t>，或实体女儿墙突出屋面的高度超过</w:t>
            </w:r>
            <w:r>
              <w:rPr>
                <w:rFonts w:ascii="宋体" w:hAnsi="宋体"/>
                <w:snapToGrid w:val="0"/>
                <w:kern w:val="0"/>
                <w:sz w:val="24"/>
                <w:szCs w:val="24"/>
              </w:rPr>
              <w:t xml:space="preserve">1.5m </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6"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5.5.</w:t>
            </w:r>
            <w:r>
              <w:rPr>
                <w:rFonts w:hint="eastAsia" w:ascii="宋体" w:hAnsi="宋体"/>
                <w:b/>
                <w:snapToGrid w:val="0"/>
                <w:kern w:val="0"/>
                <w:sz w:val="24"/>
                <w:szCs w:val="24"/>
              </w:rPr>
              <w:t>4</w:t>
            </w:r>
          </w:p>
        </w:tc>
        <w:tc>
          <w:tcPr>
            <w:tcW w:w="822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用于支撑幕墙的屋面构架高度不得超过其邻近的幕墙顶点；用于支撑太阳能板、幕墙或擦窗机的屋面构架可设置一层。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5.5.5</w:t>
            </w:r>
          </w:p>
        </w:tc>
        <w:tc>
          <w:tcPr>
            <w:tcW w:w="8225"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屋面设置的围合幕墙高度不一致时，幕墙突出屋面的高度按以下公式计算：</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幕墙高度=幕墙高度最低值+（幕墙高度最高值-幕墙高度最低值）×2/3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5.5.6</w:t>
            </w:r>
          </w:p>
        </w:tc>
        <w:tc>
          <w:tcPr>
            <w:tcW w:w="8225"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高层以上建筑有退层情况时，退层形成的露台视为屋面，突出屋面的实体女儿墙、构架、幕墙等的高度从露台层起计。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6"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5.5.7</w:t>
            </w:r>
          </w:p>
        </w:tc>
        <w:tc>
          <w:tcPr>
            <w:tcW w:w="8225" w:type="dxa"/>
          </w:tcPr>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cs="宋体"/>
                <w:snapToGrid w:val="0"/>
                <w:kern w:val="0"/>
                <w:sz w:val="24"/>
                <w:szCs w:val="24"/>
              </w:rPr>
              <w:t>突出屋面的实体女儿墙的高度从屋面的建筑完成面最高点起计; 突出屋面的构架、幕墙等的高度从屋面的结构完成面最高点起计。</w:t>
            </w:r>
          </w:p>
        </w:tc>
      </w:tr>
    </w:tbl>
    <w:p/>
    <w:p>
      <w:pPr>
        <w:widowControl/>
        <w:jc w:val="left"/>
      </w:pPr>
      <w: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第6章</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32"/>
                <w:szCs w:val="32"/>
              </w:rPr>
              <w:t>建筑分类设计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6.1</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snapToGrid w:val="0"/>
                <w:kern w:val="0"/>
                <w:sz w:val="28"/>
                <w:szCs w:val="28"/>
              </w:rPr>
              <w:t>建筑分类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建筑按使用功能及属性分类</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本规则中的建筑分为民用建筑和工业建筑。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6.1.1.1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民用建筑：分为居住建筑和公共建筑。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⑴居住建筑：包括住宅建筑、宿舍建筑、老年人住宅等。</w:t>
            </w:r>
          </w:p>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⑵公共建筑：包括办公类建筑、商业类建筑、金融类建筑、教育类建筑、科研类建筑、医疗卫生类建筑、体育类建筑、交通类建筑、市政类建筑、文化娱乐类建筑、文物类建筑、园林类建筑、司法类建筑、宗教类建筑、广播电视类建筑、社会福利类建筑、殡葬类建筑以及特殊类建筑等。</w:t>
            </w:r>
          </w:p>
        </w:tc>
      </w:tr>
    </w:tbl>
    <w:p>
      <w:pPr>
        <w:spacing w:before="211" w:beforeLines="50"/>
        <w:jc w:val="center"/>
        <w:rPr>
          <w:snapToGrid w:val="0"/>
          <w:kern w:val="0"/>
        </w:rPr>
      </w:pPr>
      <w:r>
        <w:rPr>
          <w:rFonts w:hint="eastAsia" w:ascii="宋体" w:hAnsi="宋体"/>
          <w:snapToGrid w:val="0"/>
          <w:kern w:val="0"/>
        </w:rPr>
        <w:t>表</w:t>
      </w:r>
      <w:r>
        <w:rPr>
          <w:rFonts w:ascii="宋体" w:hAnsi="宋体"/>
          <w:snapToGrid w:val="0"/>
          <w:kern w:val="0"/>
        </w:rPr>
        <w:t xml:space="preserve">6.1.1.1⑵  </w:t>
      </w:r>
      <w:r>
        <w:rPr>
          <w:rFonts w:hint="eastAsia" w:ascii="宋体" w:hAnsi="宋体"/>
          <w:snapToGrid w:val="0"/>
          <w:kern w:val="0"/>
        </w:rPr>
        <w:t>公共建筑分类表</w:t>
      </w:r>
    </w:p>
    <w:tbl>
      <w:tblPr>
        <w:tblStyle w:val="19"/>
        <w:tblW w:w="8674" w:type="dxa"/>
        <w:jc w:val="right"/>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697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办公类建筑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办公建筑</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商业类建筑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商场或商店、旅馆或酒店、餐饮、会所、食堂等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金融类建筑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银行、储蓄所、证券交易所、保险公司等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教育类建筑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托儿所、幼儿园、中小学校、职业技术学校、特殊教育学校、中等专科学校、高等院校等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科研类建筑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科学实验建筑等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医疗卫生类建筑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综合医院、专科医院、卫生防疫站、卫生防疫站、疗养院、检验（化验中心）、急救中心、血库等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体育类建筑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体育场、体育馆、游泳馆等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交通类建筑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航空港、航站楼、铁路客运站、长途汽车客运站、地铁（轻轨）站、港口客运站、城市轮渡站、口岸交通枢纽、公共交通枢纽、公交首末站、社会停车库、加油加气站、充电站等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市政类建筑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邮政局、电信局、消防站、泵站、监测站、变电站、污水处理厂、通信机房、公共厕所、垃圾转运站、再生资源回收站等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文化娱乐类建筑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文化宫（文化中心）、少年宫（少儿活动中心）、老年活动中心、图书馆、档案馆、博物馆、展览馆、美术馆、科技馆、会展中心、影剧院、音乐厅等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文物类建筑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包括纪念性建筑、历史建筑、保护建筑等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园林类建筑</w:t>
            </w:r>
          </w:p>
        </w:tc>
        <w:tc>
          <w:tcPr>
            <w:tcW w:w="6973" w:type="dxa"/>
            <w:shd w:val="clear" w:color="auto" w:fill="auto"/>
            <w:vAlign w:val="center"/>
          </w:tcPr>
          <w:p>
            <w:pPr>
              <w:jc w:val="left"/>
              <w:rPr>
                <w:rFonts w:ascii="仿宋" w:hAnsi="仿宋" w:eastAsia="仿宋"/>
                <w:snapToGrid w:val="0"/>
                <w:kern w:val="0"/>
              </w:rPr>
            </w:pPr>
            <w:r>
              <w:rPr>
                <w:rFonts w:ascii="仿宋" w:hAnsi="仿宋" w:eastAsia="仿宋"/>
                <w:snapToGrid w:val="0"/>
                <w:kern w:val="0"/>
              </w:rPr>
              <w:t>园林和城市绿地内供人们游憩或观赏用的建筑</w:t>
            </w:r>
            <w:r>
              <w:rPr>
                <w:rFonts w:hint="eastAsia" w:ascii="仿宋" w:hAnsi="仿宋" w:eastAsia="仿宋"/>
                <w:snapToGrid w:val="0"/>
                <w:kern w:val="0"/>
              </w:rPr>
              <w:t>，如</w:t>
            </w:r>
            <w:r>
              <w:rPr>
                <w:rFonts w:ascii="仿宋" w:hAnsi="仿宋" w:eastAsia="仿宋"/>
                <w:snapToGrid w:val="0"/>
                <w:kern w:val="0"/>
              </w:rPr>
              <w:t>亭、榭、廊、阁、轩、楼、台、舫、厅堂等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司法类建筑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检察院、法院、公安局、派出所等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宗教类建筑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佛教寺院、庵堂、道观、清真寺、教堂、修道院等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广播电视类建筑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广播电台、电视台、广播电视塔等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社会福利类建筑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养老院、护理中心、社区老人日间照料中心、社区居家养老服务中心、儿童福利院、救助站等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殡葬类建筑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殡仪馆、火葬场等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70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特殊类建筑</w:t>
            </w:r>
          </w:p>
        </w:tc>
        <w:tc>
          <w:tcPr>
            <w:tcW w:w="6973"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军事建筑、安全保卫建筑（也包括监狱、看守所、拘留所）等</w:t>
            </w:r>
          </w:p>
        </w:tc>
      </w:tr>
    </w:tbl>
    <w:tbl>
      <w:tblPr>
        <w:tblStyle w:val="20"/>
        <w:tblW w:w="9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0"/>
        <w:gridCol w:w="8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6.1.1.2</w:t>
            </w:r>
          </w:p>
        </w:tc>
        <w:tc>
          <w:tcPr>
            <w:tcW w:w="8165"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工业建筑：包括厂房、新型产业建筑（也称研发用房或新型产业用房）、仓库及物流建筑等。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6.1.2</w:t>
            </w:r>
          </w:p>
        </w:tc>
        <w:tc>
          <w:tcPr>
            <w:tcW w:w="8165" w:type="dxa"/>
          </w:tcPr>
          <w:p>
            <w:pPr>
              <w:tabs>
                <w:tab w:val="left" w:pos="1170"/>
              </w:tabs>
              <w:topLinePunct/>
              <w:snapToGrid w:val="0"/>
              <w:spacing w:before="211" w:beforeLines="50"/>
              <w:rPr>
                <w:rFonts w:ascii="宋体" w:hAnsi="宋体"/>
                <w:bCs/>
                <w:snapToGrid w:val="0"/>
                <w:kern w:val="0"/>
                <w:sz w:val="24"/>
                <w:szCs w:val="24"/>
              </w:rPr>
            </w:pPr>
            <w:r>
              <w:rPr>
                <w:rFonts w:ascii="宋体" w:hAnsi="宋体"/>
                <w:b/>
                <w:snapToGrid w:val="0"/>
                <w:kern w:val="0"/>
                <w:sz w:val="24"/>
                <w:szCs w:val="24"/>
              </w:rPr>
              <w:t>建筑按地上层数或高度分类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6.1.2.1</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住宅建筑</w:t>
            </w:r>
          </w:p>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层数为</w:t>
            </w:r>
            <w:r>
              <w:rPr>
                <w:rFonts w:ascii="宋体" w:hAnsi="宋体"/>
                <w:snapToGrid w:val="0"/>
                <w:kern w:val="0"/>
                <w:sz w:val="24"/>
                <w:szCs w:val="24"/>
              </w:rPr>
              <w:t>1层至3层的为低层住宅</w:t>
            </w:r>
            <w:r>
              <w:rPr>
                <w:rFonts w:hint="eastAsia" w:ascii="宋体" w:hAnsi="宋体"/>
                <w:snapToGrid w:val="0"/>
                <w:kern w:val="0"/>
                <w:sz w:val="24"/>
                <w:szCs w:val="24"/>
              </w:rPr>
              <w:t>，</w:t>
            </w:r>
            <w:r>
              <w:rPr>
                <w:rFonts w:ascii="宋体" w:hAnsi="宋体"/>
                <w:snapToGrid w:val="0"/>
                <w:kern w:val="0"/>
                <w:sz w:val="24"/>
                <w:szCs w:val="24"/>
              </w:rPr>
              <w:t>4层至6层的为多层住宅</w:t>
            </w:r>
            <w:r>
              <w:rPr>
                <w:rFonts w:hint="eastAsia" w:ascii="宋体" w:hAnsi="宋体"/>
                <w:snapToGrid w:val="0"/>
                <w:kern w:val="0"/>
                <w:sz w:val="24"/>
                <w:szCs w:val="24"/>
              </w:rPr>
              <w:t>，</w:t>
            </w:r>
            <w:r>
              <w:rPr>
                <w:rFonts w:ascii="宋体" w:hAnsi="宋体"/>
                <w:snapToGrid w:val="0"/>
                <w:kern w:val="0"/>
                <w:sz w:val="24"/>
                <w:szCs w:val="24"/>
              </w:rPr>
              <w:t>7层至9层的为中高层住宅</w:t>
            </w:r>
            <w:r>
              <w:rPr>
                <w:rFonts w:hint="eastAsia" w:ascii="宋体" w:hAnsi="宋体"/>
                <w:snapToGrid w:val="0"/>
                <w:kern w:val="0"/>
                <w:sz w:val="24"/>
                <w:szCs w:val="24"/>
              </w:rPr>
              <w:t>，</w:t>
            </w:r>
            <w:r>
              <w:rPr>
                <w:rFonts w:ascii="宋体" w:hAnsi="宋体"/>
                <w:snapToGrid w:val="0"/>
                <w:kern w:val="0"/>
                <w:sz w:val="24"/>
                <w:szCs w:val="24"/>
              </w:rPr>
              <w:t>10层及以上</w:t>
            </w:r>
            <w:r>
              <w:rPr>
                <w:rFonts w:hint="eastAsia" w:ascii="宋体" w:hAnsi="宋体"/>
                <w:snapToGrid w:val="0"/>
                <w:kern w:val="0"/>
                <w:sz w:val="24"/>
                <w:szCs w:val="24"/>
              </w:rPr>
              <w:t>但建筑高度不超过100</w:t>
            </w:r>
            <w:r>
              <w:rPr>
                <w:rFonts w:ascii="宋体" w:hAnsi="宋体"/>
                <w:snapToGrid w:val="0"/>
                <w:kern w:val="0"/>
                <w:sz w:val="24"/>
                <w:szCs w:val="24"/>
              </w:rPr>
              <w:t>m的为高层住宅</w:t>
            </w:r>
            <w:r>
              <w:rPr>
                <w:rFonts w:hint="eastAsia" w:ascii="宋体" w:hAnsi="宋体"/>
                <w:snapToGrid w:val="0"/>
                <w:kern w:val="0"/>
                <w:sz w:val="24"/>
                <w:szCs w:val="24"/>
              </w:rPr>
              <w:t>，建筑高度超过100</w:t>
            </w:r>
            <w:r>
              <w:rPr>
                <w:rFonts w:ascii="宋体" w:hAnsi="宋体"/>
                <w:snapToGrid w:val="0"/>
                <w:kern w:val="0"/>
                <w:sz w:val="24"/>
                <w:szCs w:val="24"/>
              </w:rPr>
              <w:t>m的为</w:t>
            </w:r>
            <w:r>
              <w:rPr>
                <w:rFonts w:hint="eastAsia" w:ascii="宋体" w:hAnsi="宋体"/>
                <w:snapToGrid w:val="0"/>
                <w:kern w:val="0"/>
                <w:sz w:val="24"/>
                <w:szCs w:val="24"/>
              </w:rPr>
              <w:t>超</w:t>
            </w:r>
            <w:r>
              <w:rPr>
                <w:rFonts w:ascii="宋体" w:hAnsi="宋体"/>
                <w:snapToGrid w:val="0"/>
                <w:kern w:val="0"/>
                <w:sz w:val="24"/>
                <w:szCs w:val="24"/>
              </w:rPr>
              <w:t>高层住宅</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其他建筑</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层数为</w:t>
            </w:r>
            <w:r>
              <w:rPr>
                <w:rFonts w:ascii="宋体" w:hAnsi="宋体"/>
                <w:snapToGrid w:val="0"/>
                <w:kern w:val="0"/>
                <w:sz w:val="24"/>
                <w:szCs w:val="24"/>
              </w:rPr>
              <w:t>1层（建筑高度不限）的为单层</w:t>
            </w:r>
            <w:r>
              <w:rPr>
                <w:rFonts w:hint="eastAsia" w:ascii="宋体" w:hAnsi="宋体"/>
                <w:snapToGrid w:val="0"/>
                <w:kern w:val="0"/>
                <w:sz w:val="24"/>
                <w:szCs w:val="24"/>
              </w:rPr>
              <w:t>建筑；层数为</w:t>
            </w:r>
            <w:r>
              <w:rPr>
                <w:rFonts w:ascii="宋体" w:hAnsi="宋体"/>
                <w:snapToGrid w:val="0"/>
                <w:kern w:val="0"/>
                <w:sz w:val="24"/>
                <w:szCs w:val="24"/>
              </w:rPr>
              <w:t>2层及以上</w:t>
            </w:r>
            <w:r>
              <w:rPr>
                <w:rFonts w:hint="eastAsia" w:ascii="宋体" w:hAnsi="宋体"/>
                <w:snapToGrid w:val="0"/>
                <w:kern w:val="0"/>
                <w:sz w:val="24"/>
                <w:szCs w:val="24"/>
              </w:rPr>
              <w:t>的：建筑高度不超过</w:t>
            </w:r>
            <w:r>
              <w:rPr>
                <w:rFonts w:ascii="宋体" w:hAnsi="宋体"/>
                <w:snapToGrid w:val="0"/>
                <w:kern w:val="0"/>
                <w:sz w:val="24"/>
                <w:szCs w:val="24"/>
              </w:rPr>
              <w:t>24m</w:t>
            </w:r>
            <w:r>
              <w:rPr>
                <w:rFonts w:hint="eastAsia" w:ascii="宋体" w:hAnsi="宋体"/>
                <w:snapToGrid w:val="0"/>
                <w:kern w:val="0"/>
                <w:sz w:val="24"/>
                <w:szCs w:val="24"/>
              </w:rPr>
              <w:t>的为多层建筑，建筑高度超过</w:t>
            </w:r>
            <w:r>
              <w:rPr>
                <w:rFonts w:ascii="宋体" w:hAnsi="宋体"/>
                <w:snapToGrid w:val="0"/>
                <w:kern w:val="0"/>
                <w:sz w:val="24"/>
                <w:szCs w:val="24"/>
              </w:rPr>
              <w:t>24m</w:t>
            </w:r>
            <w:r>
              <w:rPr>
                <w:rFonts w:hint="eastAsia" w:ascii="宋体" w:hAnsi="宋体"/>
                <w:snapToGrid w:val="0"/>
                <w:kern w:val="0"/>
                <w:sz w:val="24"/>
                <w:szCs w:val="24"/>
              </w:rPr>
              <w:t>但不超过100</w:t>
            </w:r>
            <w:r>
              <w:rPr>
                <w:rFonts w:ascii="宋体" w:hAnsi="宋体"/>
                <w:snapToGrid w:val="0"/>
                <w:kern w:val="0"/>
                <w:sz w:val="24"/>
                <w:szCs w:val="24"/>
              </w:rPr>
              <w:t>m</w:t>
            </w:r>
            <w:r>
              <w:rPr>
                <w:rFonts w:hint="eastAsia" w:ascii="宋体" w:hAnsi="宋体"/>
                <w:snapToGrid w:val="0"/>
                <w:kern w:val="0"/>
                <w:sz w:val="24"/>
                <w:szCs w:val="24"/>
              </w:rPr>
              <w:t>的为高层建筑，建筑高度超过100</w:t>
            </w:r>
            <w:r>
              <w:rPr>
                <w:rFonts w:ascii="宋体" w:hAnsi="宋体"/>
                <w:snapToGrid w:val="0"/>
                <w:kern w:val="0"/>
                <w:sz w:val="24"/>
                <w:szCs w:val="24"/>
              </w:rPr>
              <w:t>m</w:t>
            </w:r>
            <w:r>
              <w:rPr>
                <w:rFonts w:hint="eastAsia" w:ascii="宋体" w:hAnsi="宋体"/>
                <w:snapToGrid w:val="0"/>
                <w:kern w:val="0"/>
                <w:sz w:val="24"/>
                <w:szCs w:val="24"/>
              </w:rPr>
              <w:t>的为超高层建筑。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建筑按建设规模分类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6.1.3.1</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商业建筑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单栋商业功能规定建筑面积不大于</w:t>
            </w:r>
            <w:r>
              <w:rPr>
                <w:rFonts w:ascii="宋体" w:hAnsi="宋体"/>
                <w:snapToGrid w:val="0"/>
                <w:kern w:val="0"/>
                <w:sz w:val="24"/>
                <w:szCs w:val="24"/>
              </w:rPr>
              <w:t>15000㎡的商业建筑为普通商业建筑</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b/>
                <w:snapToGrid w:val="0"/>
                <w:kern w:val="0"/>
                <w:sz w:val="24"/>
                <w:szCs w:val="24"/>
              </w:rPr>
            </w:pPr>
            <w:r>
              <w:rPr>
                <w:rFonts w:ascii="宋体" w:hAnsi="宋体"/>
                <w:snapToGrid w:val="0"/>
                <w:kern w:val="0"/>
                <w:sz w:val="24"/>
                <w:szCs w:val="24"/>
              </w:rPr>
              <w:t>单</w:t>
            </w:r>
            <w:r>
              <w:rPr>
                <w:rFonts w:hint="eastAsia" w:ascii="宋体" w:hAnsi="宋体"/>
                <w:snapToGrid w:val="0"/>
                <w:kern w:val="0"/>
                <w:sz w:val="24"/>
                <w:szCs w:val="24"/>
              </w:rPr>
              <w:t>栋商业功能规定建筑面积大于</w:t>
            </w:r>
            <w:r>
              <w:rPr>
                <w:rFonts w:ascii="宋体" w:hAnsi="宋体"/>
                <w:snapToGrid w:val="0"/>
                <w:kern w:val="0"/>
                <w:sz w:val="24"/>
                <w:szCs w:val="24"/>
              </w:rPr>
              <w:t>15000㎡的商业建筑为集中大型商业建筑。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6.1.3.2</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物流建筑</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单栋物流功能规定建筑面积不大于</w:t>
            </w:r>
            <w:r>
              <w:rPr>
                <w:rFonts w:ascii="宋体" w:hAnsi="宋体"/>
                <w:snapToGrid w:val="0"/>
                <w:kern w:val="0"/>
                <w:sz w:val="24"/>
                <w:szCs w:val="24"/>
              </w:rPr>
              <w:t>50000㎡的物流建筑为普通物流建筑</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b/>
                <w:snapToGrid w:val="0"/>
                <w:kern w:val="0"/>
                <w:sz w:val="24"/>
                <w:szCs w:val="24"/>
              </w:rPr>
            </w:pPr>
            <w:r>
              <w:rPr>
                <w:rFonts w:ascii="宋体" w:hAnsi="宋体"/>
                <w:snapToGrid w:val="0"/>
                <w:kern w:val="0"/>
                <w:sz w:val="24"/>
                <w:szCs w:val="24"/>
              </w:rPr>
              <w:t>单栋物流功能规定建筑面积</w:t>
            </w:r>
            <w:r>
              <w:rPr>
                <w:rFonts w:hint="eastAsia" w:ascii="宋体" w:hAnsi="宋体"/>
                <w:snapToGrid w:val="0"/>
                <w:kern w:val="0"/>
                <w:sz w:val="24"/>
                <w:szCs w:val="24"/>
              </w:rPr>
              <w:t>大于</w:t>
            </w:r>
            <w:r>
              <w:rPr>
                <w:rFonts w:ascii="宋体" w:hAnsi="宋体"/>
                <w:snapToGrid w:val="0"/>
                <w:kern w:val="0"/>
                <w:sz w:val="24"/>
                <w:szCs w:val="24"/>
              </w:rPr>
              <w:t>50000㎡的物流建筑为集中大型物流建筑。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6.2</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建筑分类设计通用规定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6.2.1</w:t>
            </w:r>
          </w:p>
        </w:tc>
        <w:tc>
          <w:tcPr>
            <w:tcW w:w="8165"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一般规定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6.2.1.1</w:t>
            </w:r>
          </w:p>
        </w:tc>
        <w:tc>
          <w:tcPr>
            <w:tcW w:w="8165"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土地混合使用的多功能复合建筑的设计应符合各类建筑相应的设计原则和要求，并应清晰界定。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6.2.1.2</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民用建筑及历史文保建筑应按国家和深圳市有关规定要求做好无障碍设计。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6.2.1.3</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鼓励民用建筑底层架空作为公共空间、公共绿化或公众休闲、活动场地。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6.2.1.4</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整栋或整座的保障性住房可按相关标准、规范及实际需求进行设计。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6.2.1.5</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建筑平面应根据建筑的使用性质、功能、工艺要求等合理布局，建筑物的内天井、凹槽、透空空间、层高、阳台等的设计，应以合理、必要、适用、经济为前提。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6.2.2</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规定建筑面积控制要求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6.2.2.1</w:t>
            </w:r>
          </w:p>
        </w:tc>
        <w:tc>
          <w:tcPr>
            <w:tcW w:w="8165"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建设用地内按规划要求配建的公共配套设施及公共空间等，其各分项功能规定建筑面积、占地面积（有规划要求时）等均不得少于各相应分项功能规定建筑面积指标和占地面积指标。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6.2.2.2</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除</w:t>
            </w:r>
            <w:r>
              <w:rPr>
                <w:rFonts w:ascii="宋体" w:hAnsi="宋体"/>
                <w:snapToGrid w:val="0"/>
                <w:kern w:val="0"/>
                <w:sz w:val="24"/>
                <w:szCs w:val="24"/>
              </w:rPr>
              <w:t>6.2.2.1</w:t>
            </w:r>
            <w:r>
              <w:rPr>
                <w:rFonts w:hint="eastAsia" w:ascii="宋体" w:hAnsi="宋体"/>
                <w:snapToGrid w:val="0"/>
                <w:kern w:val="0"/>
                <w:sz w:val="24"/>
                <w:szCs w:val="24"/>
              </w:rPr>
              <w:t>规定功能外，建筑设计各分项功能规定建筑面积与相应分项功能核减建筑面积之和，不得超过各相应分项功能规定建筑面积指标。</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确因建筑设计需要，高级别地价功能建筑面积可向低级别地价功能建筑面积略作调整，但调整幅度不得超过</w:t>
            </w:r>
            <w:r>
              <w:rPr>
                <w:rFonts w:ascii="宋体" w:hAnsi="宋体"/>
                <w:snapToGrid w:val="0"/>
                <w:kern w:val="0"/>
                <w:sz w:val="24"/>
                <w:szCs w:val="24"/>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6.2.2.3</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总地上规定建筑面积与总地上核减建筑面积之和，不得超过总地上规定建筑面积指标。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hint="eastAsia" w:ascii="宋体" w:hAnsi="宋体" w:eastAsia="宋体"/>
                <w:b/>
                <w:snapToGrid w:val="0"/>
                <w:kern w:val="0"/>
                <w:sz w:val="24"/>
                <w:szCs w:val="24"/>
                <w:lang w:eastAsia="zh-CN"/>
              </w:rPr>
            </w:pPr>
            <w:r>
              <w:rPr>
                <w:rFonts w:hint="eastAsia" w:ascii="宋体" w:hAnsi="宋体"/>
                <w:b/>
                <w:snapToGrid w:val="0"/>
                <w:kern w:val="0"/>
                <w:sz w:val="24"/>
                <w:szCs w:val="24"/>
              </w:rPr>
              <w:t>6.2.2.</w:t>
            </w:r>
            <w:r>
              <w:rPr>
                <w:rFonts w:hint="eastAsia" w:ascii="宋体" w:hAnsi="宋体"/>
                <w:b/>
                <w:snapToGrid w:val="0"/>
                <w:kern w:val="0"/>
                <w:sz w:val="24"/>
                <w:szCs w:val="24"/>
                <w:lang w:val="en-US" w:eastAsia="zh-CN"/>
              </w:rPr>
              <w:t>4</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计入地上规定建筑面积的地上建筑和半地下室不得使用地下规定建筑面积指标；因设计需要，计入地下规定建筑面积的地下室和半地下室可使用部分地上规定建筑面积指标（不得超过总地上规定建筑面积指标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6.2.3</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建筑层高控制要求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6.2.3.1</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住宅、宿舍、办公、商业、厂房、新型产业、仓库、物流建筑的层高应按本规则的相关规定控制。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6.2.3.2</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设备间、设备层宜与避难层结合设置，避难层、设备层层高超过6.0</w:t>
            </w:r>
            <w:r>
              <w:rPr>
                <w:rFonts w:ascii="宋体" w:hAnsi="宋体"/>
                <w:snapToGrid w:val="0"/>
                <w:kern w:val="0"/>
                <w:sz w:val="24"/>
                <w:szCs w:val="24"/>
              </w:rPr>
              <w:t>m</w:t>
            </w:r>
            <w:r>
              <w:rPr>
                <w:rFonts w:hint="eastAsia" w:ascii="宋体" w:hAnsi="宋体"/>
                <w:snapToGrid w:val="0"/>
                <w:kern w:val="0"/>
                <w:sz w:val="24"/>
                <w:szCs w:val="24"/>
              </w:rPr>
              <w:t>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2.2m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6.2.3.3</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高速电梯井道冲顶高度设置区域范围内的建筑层高可在满足相关设计规范的基础上按实际需要合理设置。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0"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6.2.3.4</w:t>
            </w:r>
          </w:p>
        </w:tc>
        <w:tc>
          <w:tcPr>
            <w:tcW w:w="8165"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属于以下情形的公共建筑的建筑空间，其层高可在满足相关设计规范的基础上按实际需要合理设置：</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⑴《建设用地规划许可证》明确要求配建的公共配套设施。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⑵《建设用地规划许可证》明确要求配建的对社会公众开放的特殊公共建筑功能，如</w:t>
            </w:r>
            <w:r>
              <w:rPr>
                <w:rFonts w:ascii="宋体" w:hAnsi="宋体"/>
                <w:snapToGrid w:val="0"/>
                <w:kern w:val="0"/>
                <w:sz w:val="24"/>
                <w:szCs w:val="24"/>
              </w:rPr>
              <w:t>在</w:t>
            </w:r>
            <w:r>
              <w:rPr>
                <w:rFonts w:hint="eastAsia" w:ascii="宋体" w:hAnsi="宋体"/>
                <w:snapToGrid w:val="0"/>
                <w:kern w:val="0"/>
                <w:sz w:val="24"/>
                <w:szCs w:val="24"/>
              </w:rPr>
              <w:t>办公类或商业类建筑中</w:t>
            </w:r>
            <w:r>
              <w:rPr>
                <w:rFonts w:ascii="宋体" w:hAnsi="宋体"/>
                <w:snapToGrid w:val="0"/>
                <w:kern w:val="0"/>
                <w:sz w:val="24"/>
                <w:szCs w:val="24"/>
              </w:rPr>
              <w:t>单列指标或使用办公或商业功能指标</w:t>
            </w:r>
            <w:r>
              <w:rPr>
                <w:rFonts w:hint="eastAsia" w:ascii="宋体" w:hAnsi="宋体"/>
                <w:snapToGrid w:val="0"/>
                <w:kern w:val="0"/>
                <w:sz w:val="24"/>
                <w:szCs w:val="24"/>
              </w:rPr>
              <w:t>的体育场馆、图书馆、博物馆、展览馆、影剧院</w:t>
            </w:r>
            <w:r>
              <w:rPr>
                <w:rFonts w:ascii="宋体" w:hAnsi="宋体"/>
                <w:snapToGrid w:val="0"/>
                <w:kern w:val="0"/>
                <w:sz w:val="24"/>
                <w:szCs w:val="24"/>
              </w:rPr>
              <w:t>、金融交易大厅、会议中心</w:t>
            </w:r>
            <w:r>
              <w:rPr>
                <w:rFonts w:hint="eastAsia" w:ascii="宋体" w:hAnsi="宋体"/>
                <w:snapToGrid w:val="0"/>
                <w:kern w:val="0"/>
                <w:sz w:val="24"/>
                <w:szCs w:val="24"/>
              </w:rPr>
              <w:t>等。</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⑶除办公类、商业类建筑以外的公共建筑中，用于除</w:t>
            </w:r>
            <w:r>
              <w:rPr>
                <w:rFonts w:ascii="宋体" w:hAnsi="宋体"/>
                <w:snapToGrid w:val="0"/>
                <w:kern w:val="0"/>
                <w:sz w:val="24"/>
                <w:szCs w:val="24"/>
              </w:rPr>
              <w:t>商业或商业</w:t>
            </w:r>
            <w:r>
              <w:rPr>
                <w:rFonts w:hint="eastAsia" w:ascii="宋体" w:hAnsi="宋体"/>
                <w:snapToGrid w:val="0"/>
                <w:kern w:val="0"/>
                <w:sz w:val="24"/>
                <w:szCs w:val="24"/>
              </w:rPr>
              <w:t>办公以外的公共功能的建筑空间。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0"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6.3</w:t>
            </w:r>
          </w:p>
        </w:tc>
        <w:tc>
          <w:tcPr>
            <w:tcW w:w="8165" w:type="dxa"/>
          </w:tcPr>
          <w:p>
            <w:pPr>
              <w:tabs>
                <w:tab w:val="left" w:pos="1170"/>
              </w:tabs>
              <w:topLinePunct/>
              <w:snapToGrid w:val="0"/>
              <w:spacing w:before="211" w:beforeLines="50"/>
              <w:rPr>
                <w:rFonts w:ascii="宋体" w:hAnsi="宋体"/>
                <w:b/>
                <w:snapToGrid w:val="0"/>
                <w:kern w:val="0"/>
                <w:sz w:val="28"/>
                <w:szCs w:val="28"/>
              </w:rPr>
            </w:pPr>
            <w:r>
              <w:rPr>
                <w:rFonts w:ascii="宋体" w:hAnsi="宋体"/>
                <w:b/>
                <w:snapToGrid w:val="0"/>
                <w:kern w:val="0"/>
                <w:sz w:val="28"/>
                <w:szCs w:val="28"/>
              </w:rPr>
              <w:t>公共配套设施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建设用地内各类非独立选址的公共配套设施具体分类见下表</w:t>
            </w:r>
            <w:r>
              <w:rPr>
                <w:rFonts w:ascii="宋体" w:hAnsi="宋体"/>
                <w:snapToGrid w:val="0"/>
                <w:kern w:val="0"/>
                <w:sz w:val="24"/>
                <w:szCs w:val="24"/>
              </w:rPr>
              <w:t>:</w:t>
            </w:r>
          </w:p>
        </w:tc>
      </w:tr>
    </w:tbl>
    <w:p>
      <w:pPr>
        <w:topLinePunct/>
        <w:snapToGrid w:val="0"/>
        <w:spacing w:before="211" w:beforeLines="50"/>
        <w:jc w:val="center"/>
        <w:rPr>
          <w:rFonts w:ascii="宋体" w:hAnsi="宋体"/>
          <w:snapToGrid w:val="0"/>
          <w:kern w:val="0"/>
        </w:rPr>
      </w:pPr>
      <w:r>
        <w:rPr>
          <w:rFonts w:hint="eastAsia" w:ascii="宋体" w:hAnsi="宋体"/>
          <w:snapToGrid w:val="0"/>
          <w:kern w:val="0"/>
        </w:rPr>
        <w:t xml:space="preserve">          表</w:t>
      </w:r>
      <w:r>
        <w:rPr>
          <w:rFonts w:ascii="宋体" w:hAnsi="宋体"/>
          <w:snapToGrid w:val="0"/>
          <w:kern w:val="0"/>
        </w:rPr>
        <w:t xml:space="preserve">6.3  </w:t>
      </w:r>
      <w:r>
        <w:rPr>
          <w:rFonts w:hint="eastAsia" w:ascii="宋体" w:hAnsi="宋体"/>
          <w:snapToGrid w:val="0"/>
          <w:kern w:val="0"/>
        </w:rPr>
        <w:t>公共配套设施分类表</w:t>
      </w:r>
    </w:p>
    <w:tbl>
      <w:tblPr>
        <w:tblStyle w:val="19"/>
        <w:tblW w:w="7880" w:type="dxa"/>
        <w:jc w:val="right"/>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850"/>
        <w:gridCol w:w="1531"/>
        <w:gridCol w:w="5499"/>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restart"/>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配建的</w:t>
            </w:r>
          </w:p>
          <w:p>
            <w:pPr>
              <w:jc w:val="left"/>
              <w:rPr>
                <w:rFonts w:ascii="仿宋" w:hAnsi="仿宋" w:eastAsia="仿宋"/>
                <w:snapToGrid w:val="0"/>
                <w:kern w:val="0"/>
              </w:rPr>
            </w:pPr>
            <w:r>
              <w:rPr>
                <w:rFonts w:hint="eastAsia" w:ascii="仿宋" w:hAnsi="仿宋" w:eastAsia="仿宋"/>
                <w:snapToGrid w:val="0"/>
                <w:kern w:val="0"/>
              </w:rPr>
              <w:t>公共设施</w:t>
            </w: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管理服务设施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社区管理用房、物业服务用房、派出所、社区警务室、社区服务中心、社区菜市场等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continue"/>
            <w:shd w:val="clear" w:color="auto" w:fill="auto"/>
            <w:vAlign w:val="center"/>
          </w:tcPr>
          <w:p>
            <w:pPr>
              <w:jc w:val="left"/>
              <w:rPr>
                <w:rFonts w:ascii="仿宋" w:hAnsi="仿宋" w:eastAsia="仿宋"/>
                <w:snapToGrid w:val="0"/>
                <w:kern w:val="0"/>
              </w:rPr>
            </w:pP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文化娱乐设施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文化活动中心、文化活动室等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continue"/>
            <w:shd w:val="clear" w:color="auto" w:fill="auto"/>
            <w:vAlign w:val="center"/>
          </w:tcPr>
          <w:p>
            <w:pPr>
              <w:jc w:val="left"/>
              <w:rPr>
                <w:rFonts w:ascii="仿宋" w:hAnsi="仿宋" w:eastAsia="仿宋"/>
                <w:snapToGrid w:val="0"/>
                <w:kern w:val="0"/>
              </w:rPr>
            </w:pP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体育设施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社区体育活动场地等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continue"/>
            <w:shd w:val="clear" w:color="auto" w:fill="auto"/>
            <w:vAlign w:val="center"/>
          </w:tcPr>
          <w:p>
            <w:pPr>
              <w:jc w:val="left"/>
              <w:rPr>
                <w:rFonts w:ascii="仿宋" w:hAnsi="仿宋" w:eastAsia="仿宋"/>
                <w:snapToGrid w:val="0"/>
                <w:kern w:val="0"/>
              </w:rPr>
            </w:pP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教育设施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非独立选址的托儿所、幼儿园、中小学校等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continue"/>
            <w:shd w:val="clear" w:color="auto" w:fill="auto"/>
            <w:vAlign w:val="center"/>
          </w:tcPr>
          <w:p>
            <w:pPr>
              <w:jc w:val="left"/>
              <w:rPr>
                <w:rFonts w:ascii="仿宋" w:hAnsi="仿宋" w:eastAsia="仿宋"/>
                <w:snapToGrid w:val="0"/>
                <w:kern w:val="0"/>
              </w:rPr>
            </w:pP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医疗卫生设施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门诊部、社区健康服务中心等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850" w:type="dxa"/>
            <w:vMerge w:val="continue"/>
            <w:shd w:val="clear" w:color="auto" w:fill="auto"/>
            <w:vAlign w:val="center"/>
          </w:tcPr>
          <w:p>
            <w:pPr>
              <w:jc w:val="left"/>
              <w:rPr>
                <w:rFonts w:ascii="仿宋" w:hAnsi="仿宋" w:eastAsia="仿宋"/>
                <w:snapToGrid w:val="0"/>
                <w:kern w:val="0"/>
              </w:rPr>
            </w:pPr>
          </w:p>
        </w:tc>
        <w:tc>
          <w:tcPr>
            <w:tcW w:w="1531"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社会福利设施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社区老年人日间照料中心等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2381" w:type="dxa"/>
            <w:gridSpan w:val="2"/>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配建的交通设施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公交首末站等</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2381" w:type="dxa"/>
            <w:gridSpan w:val="2"/>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配建的市政设施</w:t>
            </w:r>
          </w:p>
        </w:tc>
        <w:tc>
          <w:tcPr>
            <w:tcW w:w="5499" w:type="dxa"/>
            <w:shd w:val="clear" w:color="auto" w:fill="auto"/>
            <w:vAlign w:val="center"/>
          </w:tcPr>
          <w:p>
            <w:pPr>
              <w:jc w:val="left"/>
              <w:rPr>
                <w:rFonts w:ascii="仿宋" w:hAnsi="仿宋" w:eastAsia="仿宋"/>
                <w:snapToGrid w:val="0"/>
                <w:kern w:val="0"/>
              </w:rPr>
            </w:pPr>
            <w:r>
              <w:rPr>
                <w:rFonts w:hint="eastAsia" w:ascii="仿宋" w:hAnsi="仿宋" w:eastAsia="仿宋"/>
                <w:snapToGrid w:val="0"/>
                <w:kern w:val="0"/>
              </w:rPr>
              <w:t>邮政支局、邮政所、小型垃圾转运站、再生资源回收站、公共厕所等</w:t>
            </w:r>
          </w:p>
        </w:tc>
      </w:tr>
    </w:tbl>
    <w:tbl>
      <w:tblPr>
        <w:tblStyle w:val="20"/>
        <w:tblW w:w="9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Style w:val="66"/>
                <w:rFonts w:ascii="宋体" w:hAnsi="宋体"/>
                <w:snapToGrid w:val="0"/>
                <w:kern w:val="0"/>
              </w:rPr>
            </w:pP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snapToGrid w:val="0"/>
                <w:kern w:val="0"/>
                <w:sz w:val="24"/>
                <w:szCs w:val="24"/>
              </w:rPr>
              <w:t>公共配套设施的规划和设计除应满足相应类别公共建筑的相关设计规范及《深圳市城市规划标准与准则》外，还应满足以下规定。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Style w:val="66"/>
                <w:rFonts w:ascii="宋体" w:hAnsi="宋体"/>
                <w:snapToGrid w:val="0"/>
                <w:kern w:val="0"/>
              </w:rPr>
            </w:pPr>
            <w:r>
              <w:rPr>
                <w:rFonts w:ascii="宋体" w:hAnsi="宋体"/>
                <w:b/>
                <w:snapToGrid w:val="0"/>
                <w:kern w:val="0"/>
                <w:sz w:val="24"/>
                <w:szCs w:val="24"/>
              </w:rPr>
              <w:t>6.3.1</w:t>
            </w:r>
          </w:p>
        </w:tc>
        <w:tc>
          <w:tcPr>
            <w:tcW w:w="8220" w:type="dxa"/>
          </w:tcPr>
          <w:p>
            <w:pPr>
              <w:tabs>
                <w:tab w:val="left" w:pos="1170"/>
              </w:tabs>
              <w:topLinePunct/>
              <w:snapToGrid w:val="0"/>
              <w:spacing w:before="211" w:beforeLines="50"/>
              <w:rPr>
                <w:rStyle w:val="66"/>
                <w:rFonts w:ascii="宋体" w:hAnsi="宋体"/>
                <w:snapToGrid w:val="0"/>
                <w:kern w:val="0"/>
              </w:rPr>
            </w:pPr>
            <w:r>
              <w:rPr>
                <w:rFonts w:ascii="宋体" w:hAnsi="宋体"/>
                <w:b/>
                <w:snapToGrid w:val="0"/>
                <w:kern w:val="0"/>
                <w:sz w:val="24"/>
                <w:szCs w:val="24"/>
              </w:rPr>
              <w:t>一般规定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6.3.1.1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公共配套设施应与项目同步设计、同步建设和同时投入使用。同一宗地内分期建设项目，公共配套设施必须在首期建设和验收。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9"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6.3.1.2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公共配套设施应考虑合理的服务半径，本着方便服务人群、利于共享的原则，布置在周边可见性强、交通便利、靠近所服务片区中心且方便办事的位置，通风、采光良好，有直接对外的独立出入通道。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6.3.1.3</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snapToGrid w:val="0"/>
                <w:kern w:val="0"/>
                <w:sz w:val="24"/>
                <w:szCs w:val="24"/>
              </w:rPr>
              <w:t>应采用相对集中与适当分散相结合的方式合理布局。非独立占地的公共配套设施宜组合设置，在符合相关规范、满足功能需求和互不干扰的前提下，鼓励在水平或垂直层面的集中、混合布置，形成所在区域的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6.3.1.4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变电站、燃气调压站、垃圾转运站、公共厕所等设施应考虑对周边环境的影响合理布置。垃圾转运站、公共厕所等易散发臭气的设施，宜布置在全年最小风频的上风侧。其中，规划要求设置的公厕应沿街布置，并满足直接对外服务的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鼓励居住小区设置为区内居民服务的公共厕所，并布置在与公共空间联系便捷的区域。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6.3.1.5</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设置在住宅首层的公共配套设施，应采取措施避免干扰居民的生活和休息。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6.3.1.6</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公共配套设施交付使用时，应有水、电、洗手间等基本配备。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6.3.1.7</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公共配套设施的具体内容、建筑面积和设置位置等</w:t>
            </w:r>
            <w:r>
              <w:rPr>
                <w:rFonts w:ascii="宋体" w:hAnsi="宋体"/>
                <w:snapToGrid w:val="0"/>
                <w:kern w:val="0"/>
                <w:sz w:val="24"/>
                <w:szCs w:val="24"/>
              </w:rPr>
              <w:t>应在</w:t>
            </w:r>
            <w:r>
              <w:rPr>
                <w:rFonts w:hint="eastAsia" w:ascii="宋体" w:hAnsi="宋体"/>
                <w:snapToGrid w:val="0"/>
                <w:kern w:val="0"/>
                <w:sz w:val="24"/>
                <w:szCs w:val="24"/>
              </w:rPr>
              <w:t>各阶段设计文件中予以明确；建筑设计应满足各接收单位的的相关管理规定。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6.3.2.1</w:t>
            </w:r>
          </w:p>
        </w:tc>
        <w:tc>
          <w:tcPr>
            <w:tcW w:w="8220" w:type="dxa"/>
          </w:tcPr>
          <w:p>
            <w:pPr>
              <w:tabs>
                <w:tab w:val="left" w:pos="1170"/>
              </w:tabs>
              <w:topLinePunct/>
              <w:snapToGrid w:val="0"/>
              <w:spacing w:before="211" w:beforeLines="50"/>
              <w:rPr>
                <w:rFonts w:ascii="宋体" w:hAnsi="宋体" w:cs="Times New Roman"/>
                <w:b/>
                <w:snapToGrid w:val="0"/>
                <w:kern w:val="0"/>
                <w:sz w:val="24"/>
                <w:szCs w:val="24"/>
              </w:rPr>
            </w:pPr>
            <w:r>
              <w:rPr>
                <w:rFonts w:hint="eastAsia" w:ascii="宋体" w:hAnsi="宋体" w:cs="Times New Roman"/>
                <w:b/>
                <w:snapToGrid w:val="0"/>
                <w:kern w:val="0"/>
                <w:sz w:val="24"/>
                <w:szCs w:val="24"/>
              </w:rPr>
              <w:t>物业服务用房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⑴所有依法允许分割出售或出让的项目及其配套设施等，其建设单位应当在物业管理区域内提供物业服务用房，包括物业服务设备用房、物业服务办公用房和业主委员会办公用房。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⑵物业管理区域原则上根据《建设用地规划许可证》和《土地使用权出让合同书》确定的宗地范围，结合物业的共用设施设备、社区建设等因素划定。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w:t>
            </w:r>
            <w:r>
              <w:rPr>
                <w:rFonts w:hint="eastAsia" w:ascii="宋体" w:hAnsi="宋体" w:cs="Times New Roman"/>
                <w:snapToGrid w:val="0"/>
                <w:kern w:val="0"/>
                <w:sz w:val="24"/>
                <w:szCs w:val="24"/>
              </w:rPr>
              <w:t>应按照</w:t>
            </w:r>
            <w:r>
              <w:rPr>
                <w:rFonts w:hint="eastAsia" w:ascii="宋体" w:hAnsi="宋体"/>
                <w:snapToGrid w:val="0"/>
                <w:kern w:val="0"/>
                <w:sz w:val="24"/>
                <w:szCs w:val="24"/>
              </w:rPr>
              <w:t>《建设用地规划许可证》规定的规模，在物业管理区域内配置物业服务用房。《建设用地规划许可证》未作规定时，其规模应符合《深圳经济特区物业管理条例》相关规定。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⑷物业服务办公用房和业主委员会办公用房，应设置在所服务建筑楼层的首层、二层或塔楼底层，为独立成套装修房屋，具备水、电、通讯等正常使用功能。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cs="Times New Roman"/>
                <w:b/>
                <w:snapToGrid w:val="0"/>
                <w:kern w:val="0"/>
                <w:sz w:val="24"/>
                <w:szCs w:val="24"/>
              </w:rPr>
              <w:t>6.3.2.2</w:t>
            </w:r>
          </w:p>
        </w:tc>
        <w:tc>
          <w:tcPr>
            <w:tcW w:w="8220" w:type="dxa"/>
          </w:tcPr>
          <w:p>
            <w:pPr>
              <w:tabs>
                <w:tab w:val="left" w:pos="1170"/>
              </w:tabs>
              <w:topLinePunct/>
              <w:snapToGrid w:val="0"/>
              <w:spacing w:before="211" w:beforeLines="50"/>
              <w:rPr>
                <w:rFonts w:ascii="宋体" w:hAnsi="宋体" w:cs="Times New Roman"/>
                <w:b/>
                <w:snapToGrid w:val="0"/>
                <w:kern w:val="0"/>
                <w:sz w:val="24"/>
                <w:szCs w:val="24"/>
              </w:rPr>
            </w:pPr>
            <w:r>
              <w:rPr>
                <w:rFonts w:ascii="宋体" w:hAnsi="宋体" w:cs="Times New Roman"/>
                <w:b/>
                <w:snapToGrid w:val="0"/>
                <w:kern w:val="0"/>
                <w:sz w:val="24"/>
                <w:szCs w:val="24"/>
              </w:rPr>
              <w:t>社区健康服务中心</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应位于社区的公共服务区域，宜与其他非独立占地的公共配套设施组合设置，远离易燃易爆物品的生产和贮存区域，与学校、餐饮业、超市、垃圾收集站、有毒有害物品储存加工区、噪音厂区等应有一定的物理间隔。</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⑵所处位置应交通便利，出入通道方便居民就诊，救护车能够顺畅通行并直达门口。</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⑶原则上应集中设置在临街建筑物首层。如规模较大无法全部在首层安排布置时，经相关接收单位同意，可在垂直层面集中设置，并加设专用楼梯和专用无障碍电梯，电梯间应满足担架及急救推车进出需求。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⑷社康中心总规模不超过</w:t>
            </w:r>
            <w:r>
              <w:rPr>
                <w:rFonts w:ascii="宋体" w:hAnsi="宋体"/>
                <w:snapToGrid w:val="0"/>
                <w:kern w:val="0"/>
                <w:sz w:val="24"/>
                <w:szCs w:val="24"/>
              </w:rPr>
              <w:t>1400</w:t>
            </w:r>
            <w:r>
              <w:rPr>
                <w:rFonts w:hint="eastAsia" w:ascii="宋体" w:hAnsi="宋体" w:cs="Times New Roman"/>
                <w:snapToGrid w:val="0"/>
                <w:kern w:val="0"/>
                <w:sz w:val="24"/>
                <w:szCs w:val="24"/>
              </w:rPr>
              <w:t>㎡的，应集中</w:t>
            </w:r>
            <w:r>
              <w:rPr>
                <w:rFonts w:hint="eastAsia" w:ascii="宋体" w:hAnsi="宋体"/>
                <w:snapToGrid w:val="0"/>
                <w:kern w:val="0"/>
                <w:sz w:val="24"/>
                <w:szCs w:val="24"/>
              </w:rPr>
              <w:t>设置在建筑物二层及以下位置，且安排在首层的建筑面积不得少于总规模的</w:t>
            </w:r>
            <w:r>
              <w:rPr>
                <w:rFonts w:ascii="宋体" w:hAnsi="宋体"/>
                <w:snapToGrid w:val="0"/>
                <w:kern w:val="0"/>
                <w:sz w:val="24"/>
                <w:szCs w:val="24"/>
              </w:rPr>
              <w:t>35%</w:t>
            </w:r>
            <w:r>
              <w:rPr>
                <w:rFonts w:hint="eastAsia" w:ascii="宋体" w:hAnsi="宋体" w:cs="Times New Roman"/>
                <w:snapToGrid w:val="0"/>
                <w:kern w:val="0"/>
                <w:sz w:val="24"/>
                <w:szCs w:val="24"/>
              </w:rPr>
              <w:t>；</w:t>
            </w:r>
            <w:r>
              <w:rPr>
                <w:rFonts w:hint="eastAsia" w:ascii="宋体" w:hAnsi="宋体"/>
                <w:snapToGrid w:val="0"/>
                <w:kern w:val="0"/>
                <w:sz w:val="24"/>
                <w:szCs w:val="24"/>
              </w:rPr>
              <w:t>总规模超过</w:t>
            </w:r>
            <w:r>
              <w:rPr>
                <w:rFonts w:ascii="宋体" w:hAnsi="宋体"/>
                <w:snapToGrid w:val="0"/>
                <w:kern w:val="0"/>
                <w:sz w:val="24"/>
                <w:szCs w:val="24"/>
              </w:rPr>
              <w:t>1400</w:t>
            </w:r>
            <w:r>
              <w:rPr>
                <w:rFonts w:hint="eastAsia" w:ascii="宋体" w:hAnsi="宋体" w:cs="Times New Roman"/>
                <w:snapToGrid w:val="0"/>
                <w:kern w:val="0"/>
                <w:sz w:val="24"/>
                <w:szCs w:val="24"/>
              </w:rPr>
              <w:t>㎡的，应集中</w:t>
            </w:r>
            <w:r>
              <w:rPr>
                <w:rFonts w:hint="eastAsia" w:ascii="宋体" w:hAnsi="宋体"/>
                <w:snapToGrid w:val="0"/>
                <w:kern w:val="0"/>
                <w:sz w:val="24"/>
                <w:szCs w:val="24"/>
              </w:rPr>
              <w:t>设置在建筑物三层及以下位置，且安排在首层的建筑面积</w:t>
            </w:r>
            <w:r>
              <w:rPr>
                <w:rFonts w:hint="eastAsia" w:ascii="宋体" w:hAnsi="宋体" w:cs="Times New Roman"/>
                <w:snapToGrid w:val="0"/>
                <w:kern w:val="0"/>
                <w:sz w:val="24"/>
                <w:szCs w:val="24"/>
              </w:rPr>
              <w:t>不得少于</w:t>
            </w:r>
            <w:r>
              <w:rPr>
                <w:rFonts w:ascii="宋体" w:hAnsi="宋体" w:cs="Times New Roman"/>
                <w:snapToGrid w:val="0"/>
                <w:kern w:val="0"/>
                <w:sz w:val="24"/>
                <w:szCs w:val="24"/>
              </w:rPr>
              <w:t>500</w:t>
            </w:r>
            <w:r>
              <w:rPr>
                <w:rFonts w:hint="eastAsia" w:ascii="宋体" w:hAnsi="宋体" w:cs="Times New Roman"/>
                <w:snapToGrid w:val="0"/>
                <w:kern w:val="0"/>
                <w:sz w:val="24"/>
                <w:szCs w:val="24"/>
              </w:rPr>
              <w:t>㎡</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⑸社康中心的基本医疗服务用房应自成一区，其出入口及水平、垂直交通相对独立，满足健康人群和患者分流的要求。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⑹应满足消毒隔离要求，具备设置生活、医疗污水处理的条件，设置单独的污物运送出入口。</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⑺应具有良好的采光通风条件，室内梁底净高应不小于</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6.3.2.3</w:t>
            </w:r>
          </w:p>
        </w:tc>
        <w:tc>
          <w:tcPr>
            <w:tcW w:w="8220" w:type="dxa"/>
            <w:vAlign w:val="top"/>
          </w:tcPr>
          <w:p>
            <w:pPr>
              <w:tabs>
                <w:tab w:val="left" w:pos="1170"/>
              </w:tabs>
              <w:topLinePunct/>
              <w:snapToGrid w:val="0"/>
              <w:spacing w:before="211" w:beforeLines="50"/>
              <w:rPr>
                <w:rFonts w:ascii="宋体" w:hAnsi="宋体"/>
                <w:b/>
                <w:snapToGrid w:val="0"/>
                <w:color w:val="auto"/>
                <w:kern w:val="0"/>
                <w:sz w:val="24"/>
                <w:szCs w:val="24"/>
              </w:rPr>
            </w:pPr>
            <w:r>
              <w:rPr>
                <w:rFonts w:ascii="宋体" w:hAnsi="宋体"/>
                <w:b/>
                <w:snapToGrid w:val="0"/>
                <w:color w:val="auto"/>
                <w:kern w:val="0"/>
                <w:sz w:val="24"/>
                <w:szCs w:val="24"/>
              </w:rPr>
              <w:t>垃圾收集及再生资源回收设施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垃圾收集点宜与再生资源回收点（站）组合设置，并宜位于住宅区的下风向处和较偏僻隐蔽处；宜单独设置，不应与住宅单元直接贴邻，并应紧邻道路。如附设于地下室或半地下室时，应满足卫生、消防、运输等要求，并采取防护措施，避免对周围环境造成影响。</w:t>
            </w:r>
          </w:p>
          <w:p>
            <w:pPr>
              <w:tabs>
                <w:tab w:val="left" w:pos="1170"/>
              </w:tabs>
              <w:topLinePunct/>
              <w:snapToGrid w:val="0"/>
              <w:spacing w:before="211" w:beforeLines="50"/>
              <w:rPr>
                <w:rFonts w:ascii="宋体" w:hAnsi="宋体"/>
                <w:snapToGrid w:val="0"/>
                <w:color w:val="auto"/>
                <w:kern w:val="0"/>
                <w:sz w:val="24"/>
                <w:szCs w:val="24"/>
              </w:rPr>
            </w:pPr>
            <w:r>
              <w:rPr>
                <w:rFonts w:hint="eastAsia" w:ascii="宋体" w:hAnsi="宋体" w:cs="宋体"/>
                <w:snapToGrid w:val="0"/>
                <w:color w:val="auto"/>
                <w:kern w:val="0"/>
                <w:sz w:val="24"/>
                <w:szCs w:val="24"/>
              </w:rPr>
              <w:t>⑵</w:t>
            </w:r>
            <w:r>
              <w:rPr>
                <w:rFonts w:hint="eastAsia" w:ascii="宋体" w:hAnsi="宋体"/>
                <w:snapToGrid w:val="0"/>
                <w:color w:val="auto"/>
                <w:kern w:val="0"/>
                <w:sz w:val="24"/>
                <w:szCs w:val="24"/>
              </w:rPr>
              <w:t>在规划新建居住区，应按定时定点相对集中投放的方式设置垃圾分类收集点，每</w:t>
            </w:r>
            <w:r>
              <w:rPr>
                <w:rFonts w:ascii="宋体" w:hAnsi="宋体"/>
                <w:snapToGrid w:val="0"/>
                <w:color w:val="auto"/>
                <w:kern w:val="0"/>
                <w:sz w:val="24"/>
                <w:szCs w:val="24"/>
              </w:rPr>
              <w:t>4栋多层住宅、每2栋</w:t>
            </w:r>
            <w:r>
              <w:rPr>
                <w:rFonts w:hint="eastAsia" w:ascii="宋体" w:hAnsi="宋体"/>
                <w:snapToGrid w:val="0"/>
                <w:color w:val="auto"/>
                <w:kern w:val="0"/>
                <w:sz w:val="24"/>
                <w:szCs w:val="24"/>
              </w:rPr>
              <w:t>中</w:t>
            </w:r>
            <w:r>
              <w:rPr>
                <w:rFonts w:ascii="宋体" w:hAnsi="宋体"/>
                <w:snapToGrid w:val="0"/>
                <w:color w:val="auto"/>
                <w:kern w:val="0"/>
                <w:sz w:val="24"/>
                <w:szCs w:val="24"/>
              </w:rPr>
              <w:t>高层住宅或每栋高层</w:t>
            </w:r>
            <w:r>
              <w:rPr>
                <w:rFonts w:hint="eastAsia" w:ascii="宋体" w:hAnsi="宋体"/>
                <w:snapToGrid w:val="0"/>
                <w:color w:val="auto"/>
                <w:kern w:val="0"/>
                <w:sz w:val="24"/>
                <w:szCs w:val="24"/>
              </w:rPr>
              <w:t>、超高层</w:t>
            </w:r>
            <w:r>
              <w:rPr>
                <w:rFonts w:ascii="宋体" w:hAnsi="宋体"/>
                <w:snapToGrid w:val="0"/>
                <w:color w:val="auto"/>
                <w:kern w:val="0"/>
                <w:sz w:val="24"/>
                <w:szCs w:val="24"/>
              </w:rPr>
              <w:t>住宅应至少设一处垃圾</w:t>
            </w:r>
            <w:r>
              <w:rPr>
                <w:rFonts w:hint="eastAsia" w:ascii="宋体" w:hAnsi="宋体"/>
                <w:snapToGrid w:val="0"/>
                <w:color w:val="auto"/>
                <w:kern w:val="0"/>
                <w:sz w:val="24"/>
                <w:szCs w:val="24"/>
              </w:rPr>
              <w:t>分类</w:t>
            </w:r>
            <w:r>
              <w:rPr>
                <w:rFonts w:ascii="宋体" w:hAnsi="宋体"/>
                <w:snapToGrid w:val="0"/>
                <w:color w:val="auto"/>
                <w:kern w:val="0"/>
                <w:sz w:val="24"/>
                <w:szCs w:val="24"/>
              </w:rPr>
              <w:t>收集点</w:t>
            </w:r>
            <w:r>
              <w:rPr>
                <w:rFonts w:hint="eastAsia" w:ascii="宋体" w:hAnsi="宋体"/>
                <w:snapToGrid w:val="0"/>
                <w:color w:val="auto"/>
                <w:kern w:val="0"/>
                <w:sz w:val="24"/>
                <w:szCs w:val="24"/>
              </w:rPr>
              <w:t>，其占地不宜小于3</w:t>
            </w:r>
            <w:r>
              <w:rPr>
                <w:rFonts w:ascii="宋体" w:hAnsi="宋体"/>
                <w:snapToGrid w:val="0"/>
                <w:color w:val="auto"/>
                <w:kern w:val="0"/>
                <w:sz w:val="24"/>
                <w:szCs w:val="24"/>
              </w:rPr>
              <w:t>.4</w:t>
            </w:r>
            <w:r>
              <w:rPr>
                <w:rFonts w:hint="eastAsia" w:ascii="宋体" w:hAnsi="宋体"/>
                <w:snapToGrid w:val="0"/>
                <w:color w:val="auto"/>
                <w:kern w:val="0"/>
                <w:sz w:val="24"/>
                <w:szCs w:val="24"/>
              </w:rPr>
              <w:t>m×1</w:t>
            </w:r>
            <w:r>
              <w:rPr>
                <w:rFonts w:ascii="宋体" w:hAnsi="宋体"/>
                <w:snapToGrid w:val="0"/>
                <w:color w:val="auto"/>
                <w:kern w:val="0"/>
                <w:sz w:val="24"/>
                <w:szCs w:val="24"/>
              </w:rPr>
              <w:t>.2</w:t>
            </w:r>
            <w:r>
              <w:rPr>
                <w:rFonts w:hint="eastAsia" w:ascii="宋体" w:hAnsi="宋体"/>
                <w:snapToGrid w:val="0"/>
                <w:color w:val="auto"/>
                <w:kern w:val="0"/>
                <w:sz w:val="24"/>
                <w:szCs w:val="24"/>
              </w:rPr>
              <w:t>m，并有便于清洗的措施。</w:t>
            </w:r>
            <w:r>
              <w:rPr>
                <w:rFonts w:ascii="宋体" w:hAnsi="宋体"/>
                <w:snapToGrid w:val="0"/>
                <w:color w:val="auto"/>
                <w:kern w:val="0"/>
                <w:sz w:val="24"/>
                <w:szCs w:val="24"/>
              </w:rPr>
              <w:t>垃圾收集点的服务半径应不超过70m</w:t>
            </w:r>
            <w:r>
              <w:rPr>
                <w:rFonts w:hint="eastAsia" w:ascii="宋体" w:hAnsi="宋体"/>
                <w:snapToGrid w:val="0"/>
                <w:color w:val="auto"/>
                <w:kern w:val="0"/>
                <w:sz w:val="24"/>
                <w:szCs w:val="24"/>
              </w:rPr>
              <w:t>，其位置应在总平面图中明确标识。</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color w:val="auto"/>
                <w:kern w:val="0"/>
                <w:sz w:val="24"/>
                <w:szCs w:val="24"/>
              </w:rPr>
              <w:t>⑶</w:t>
            </w:r>
            <w:r>
              <w:rPr>
                <w:rFonts w:hint="eastAsia" w:ascii="宋体" w:hAnsi="宋体"/>
                <w:snapToGrid w:val="0"/>
                <w:color w:val="auto"/>
                <w:kern w:val="0"/>
                <w:sz w:val="24"/>
                <w:szCs w:val="24"/>
              </w:rPr>
              <w:t>在规划新建居住区内应设置至少1处</w:t>
            </w:r>
            <w:r>
              <w:rPr>
                <w:rFonts w:hint="eastAsia" w:ascii="宋体" w:hAnsi="宋体" w:cs="Times New Roman"/>
                <w:snapToGrid w:val="0"/>
                <w:color w:val="auto"/>
                <w:kern w:val="0"/>
                <w:sz w:val="24"/>
                <w:szCs w:val="24"/>
              </w:rPr>
              <w:t>2</w:t>
            </w:r>
            <w:r>
              <w:rPr>
                <w:rFonts w:ascii="宋体" w:hAnsi="宋体" w:cs="Times New Roman"/>
                <w:snapToGrid w:val="0"/>
                <w:color w:val="auto"/>
                <w:kern w:val="0"/>
                <w:sz w:val="24"/>
                <w:szCs w:val="24"/>
              </w:rPr>
              <w:t>0</w:t>
            </w:r>
            <w:r>
              <w:rPr>
                <w:rFonts w:hint="eastAsia" w:ascii="宋体" w:hAnsi="宋体" w:cs="Times New Roman"/>
                <w:snapToGrid w:val="0"/>
                <w:color w:val="auto"/>
                <w:kern w:val="0"/>
                <w:sz w:val="24"/>
                <w:szCs w:val="24"/>
              </w:rPr>
              <w:t>-</w:t>
            </w:r>
            <w:r>
              <w:rPr>
                <w:rFonts w:ascii="宋体" w:hAnsi="宋体"/>
                <w:snapToGrid w:val="0"/>
                <w:color w:val="auto"/>
                <w:kern w:val="0"/>
                <w:sz w:val="24"/>
                <w:szCs w:val="24"/>
              </w:rPr>
              <w:t>30</w:t>
            </w:r>
            <w:r>
              <w:rPr>
                <w:rFonts w:hint="eastAsia" w:ascii="宋体" w:hAnsi="宋体" w:cs="Times New Roman"/>
                <w:snapToGrid w:val="0"/>
                <w:color w:val="auto"/>
                <w:kern w:val="0"/>
                <w:sz w:val="24"/>
                <w:szCs w:val="24"/>
              </w:rPr>
              <w:t>㎡</w:t>
            </w:r>
            <w:r>
              <w:rPr>
                <w:rFonts w:hint="eastAsia" w:ascii="宋体" w:hAnsi="宋体"/>
                <w:snapToGrid w:val="0"/>
                <w:color w:val="auto"/>
                <w:kern w:val="0"/>
                <w:sz w:val="24"/>
                <w:szCs w:val="24"/>
              </w:rPr>
              <w:t>的装修垃圾、大件废物、绿化垃圾堆放场所；应设置至少1处废旧织物收集点，其占地不宜小于1</w:t>
            </w:r>
            <w:r>
              <w:rPr>
                <w:rFonts w:ascii="宋体" w:hAnsi="宋体"/>
                <w:snapToGrid w:val="0"/>
                <w:color w:val="auto"/>
                <w:kern w:val="0"/>
                <w:sz w:val="24"/>
                <w:szCs w:val="24"/>
              </w:rPr>
              <w:t>.5</w:t>
            </w:r>
            <w:r>
              <w:rPr>
                <w:rFonts w:hint="eastAsia" w:ascii="宋体" w:hAnsi="宋体"/>
                <w:snapToGrid w:val="0"/>
                <w:color w:val="auto"/>
                <w:kern w:val="0"/>
                <w:sz w:val="24"/>
                <w:szCs w:val="24"/>
              </w:rPr>
              <w:t>m×0</w:t>
            </w:r>
            <w:r>
              <w:rPr>
                <w:rFonts w:ascii="宋体" w:hAnsi="宋体"/>
                <w:snapToGrid w:val="0"/>
                <w:color w:val="auto"/>
                <w:kern w:val="0"/>
                <w:sz w:val="24"/>
                <w:szCs w:val="24"/>
              </w:rPr>
              <w:t>.8</w:t>
            </w:r>
            <w:r>
              <w:rPr>
                <w:rFonts w:hint="eastAsia" w:ascii="宋体" w:hAnsi="宋体"/>
                <w:snapToGrid w:val="0"/>
                <w:color w:val="auto"/>
                <w:kern w:val="0"/>
                <w:sz w:val="24"/>
                <w:szCs w:val="24"/>
              </w:rPr>
              <w:t>m，并设置明显标志。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6.3.2.4</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其他公共配套设施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⑴文化娱乐设施应设置在通风、采光条件良好的低楼层位置，楼层空间、高度等须符合相关设计规范及管理规定。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⑵社区体育活动场地宜结合绿地或文化活动室设置在户外，受条件所限需设置在建筑内的，应设在建筑的底层架空层或裙楼屋顶平台层。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裙楼屋顶平台设置社区体育活动场地的，应有从屋顶平台直达室外地面的</w:t>
            </w:r>
            <w:r>
              <w:rPr>
                <w:rFonts w:ascii="宋体" w:hAnsi="宋体"/>
                <w:snapToGrid w:val="0"/>
                <w:kern w:val="0"/>
                <w:sz w:val="24"/>
                <w:szCs w:val="24"/>
              </w:rPr>
              <w:t>24小时开放的专用楼梯及无障碍电梯。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⑶社区老年人日间照料中心宜与医疗卫生等公共配套设施临近，且宜位于建筑首层。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⑷邮政所宜设置于临街建筑物的首层。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上述公共配套设施按规划要求需设置在建筑首层的，因条件所限经相关接收单位同意设置于建筑二层及以上时，应加设专用楼梯和专用无障碍电梯。</w:t>
            </w:r>
          </w:p>
          <w:p>
            <w:pPr>
              <w:tabs>
                <w:tab w:val="left" w:pos="1170"/>
              </w:tabs>
              <w:topLinePunct/>
              <w:snapToGrid w:val="0"/>
              <w:spacing w:before="211" w:beforeLines="50"/>
              <w:rPr>
                <w:rFonts w:ascii="宋体" w:hAnsi="宋体" w:cs="宋体"/>
                <w:snapToGrid w:val="0"/>
                <w:kern w:val="0"/>
                <w:sz w:val="24"/>
                <w:szCs w:val="24"/>
              </w:rPr>
            </w:pPr>
            <w:r>
              <w:rPr>
                <w:rFonts w:hint="eastAsia" w:ascii="宋体" w:hAnsi="宋体"/>
                <w:snapToGrid w:val="0"/>
                <w:kern w:val="0"/>
                <w:sz w:val="24"/>
                <w:szCs w:val="24"/>
              </w:rPr>
              <w:t>⑸非独立选址的托儿所、幼儿园、中小学校等教育设施应按教育建筑相关规定控制</w:t>
            </w:r>
            <w:r>
              <w:rPr>
                <w:rFonts w:hint="eastAsia" w:ascii="宋体" w:hAnsi="宋体"/>
                <w:snapToGrid w:val="0"/>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6.4</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8"/>
                <w:szCs w:val="28"/>
              </w:rPr>
              <w:t>住宅建筑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6.4.1</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6.4.1.1</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⑴每个住宅单元至少应有一个出入口可供机动车通达。</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⑵住宅与附设的公共配套设施或商业用房的出入口及水平、垂直交通应分开布置。</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⑶位于坡地上的低层、多层住宅建筑，其底部的挡墙或吊脚架空高度不得超过</w:t>
            </w:r>
            <w:r>
              <w:rPr>
                <w:rFonts w:ascii="宋体" w:hAnsi="宋体"/>
                <w:snapToGrid w:val="0"/>
                <w:kern w:val="0"/>
                <w:sz w:val="24"/>
                <w:szCs w:val="24"/>
              </w:rPr>
              <w:t>4.2m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⑷两户及以下使用的地下室，外墙不得超出首层建筑外墙范围，层高不得超过</w:t>
            </w:r>
            <w:r>
              <w:rPr>
                <w:rFonts w:ascii="宋体" w:hAnsi="宋体"/>
                <w:snapToGrid w:val="0"/>
                <w:kern w:val="0"/>
                <w:sz w:val="24"/>
                <w:szCs w:val="24"/>
              </w:rPr>
              <w:t>3.6m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⑸楼梯间、电梯间宜与地下车库连通，并采取安全防盗措施；严禁利用楼梯间、电梯间为地下车库进行自然通风。</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⑹自行车库应有单独出入口，不应与机动车库合并设置，且不得与机动车共用坡道出入。</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⑺公共出入口应有明显的识别标志，高层或超高层住宅的公共出入口宜设置门厅、管理室。</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⑻除设有集中管理邮件报刊的地区外，应在每栋住宅单元门地面一层楼梯口的适当位置，设置与该单元住户数相对应的信报箱或信报间。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⑼住宅户内的厨房应设置烟道将油烟排放出屋顶；裙房内设置的厨房不得与住宅紧邻。</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⑽屋面的设计应满足消防及安全疏散要求，并设有公共通道，方便本栋居民共同使用；屋面不得通过开门、开窗、预留洞口等方式与户内连通。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⑾应预留空调室外机的位置和电源，空调室外机应做好遮蔽处理。室内空调设备的冷凝水应能有组织地排放。</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⑿新建住宅区、住宅建筑及商住楼的规划设计、施工和验收等活动应当执行光纤到户国家标准，通信机房的设置应符合《深圳市城市规划标准与准则》的相关要求。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⒀水泵房、冷热源机房、变配电机房、变配电所等公共机电用房不应设置在与住宅单元直接相邻的位置。在无法满足上述要求贴临设置时，应增加隔声、减振等封闭处理措施。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6.4.1.2</w:t>
            </w:r>
          </w:p>
        </w:tc>
        <w:tc>
          <w:tcPr>
            <w:tcW w:w="8220"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一般不宜采用内天井式平面布局。</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⑴当</w:t>
            </w:r>
            <w:r>
              <w:rPr>
                <w:rFonts w:hint="eastAsia" w:ascii="宋体" w:hAnsi="宋体"/>
                <w:snapToGrid w:val="0"/>
                <w:kern w:val="0"/>
                <w:sz w:val="24"/>
                <w:szCs w:val="24"/>
              </w:rPr>
              <w:t>板式住宅</w:t>
            </w:r>
            <w:r>
              <w:rPr>
                <w:rFonts w:hint="eastAsia" w:ascii="宋体" w:hAnsi="宋体" w:cs="宋体"/>
                <w:snapToGrid w:val="0"/>
                <w:kern w:val="0"/>
                <w:sz w:val="24"/>
                <w:szCs w:val="24"/>
              </w:rPr>
              <w:t>设计为</w:t>
            </w:r>
            <w:r>
              <w:rPr>
                <w:rFonts w:hint="eastAsia" w:ascii="宋体" w:hAnsi="宋体"/>
                <w:snapToGrid w:val="0"/>
                <w:kern w:val="0"/>
                <w:sz w:val="24"/>
                <w:szCs w:val="24"/>
              </w:rPr>
              <w:t>单外廊形式，而某段外廊有其他住户必须穿行，且是某户居住空间采光通风唯一来源时，因视觉卫生需要，允许在该段外廊内侧与居住空间外墙之间，设置不超过该居住空间开间宽度，且进深不超过</w:t>
            </w:r>
            <w:r>
              <w:rPr>
                <w:rFonts w:ascii="宋体" w:hAnsi="宋体"/>
                <w:snapToGrid w:val="0"/>
                <w:kern w:val="0"/>
                <w:sz w:val="24"/>
                <w:szCs w:val="24"/>
              </w:rPr>
              <w:t>1.5m</w:t>
            </w:r>
            <w:r>
              <w:rPr>
                <w:rFonts w:hint="eastAsia" w:ascii="宋体" w:hAnsi="宋体"/>
                <w:snapToGrid w:val="0"/>
                <w:kern w:val="0"/>
                <w:sz w:val="24"/>
                <w:szCs w:val="24"/>
              </w:rPr>
              <w:t>的单边开敞式内天井。</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除上述情形外，因采光通风需要而采用内天井式平面布局时，应符合以下要求：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①应为</w:t>
            </w:r>
            <w:r>
              <w:rPr>
                <w:rFonts w:ascii="宋体" w:hAnsi="宋体" w:cs="宋体"/>
                <w:snapToGrid w:val="0"/>
                <w:kern w:val="0"/>
                <w:sz w:val="24"/>
                <w:szCs w:val="24"/>
              </w:rPr>
              <w:t>3户及以上共同使用且</w:t>
            </w:r>
            <w:r>
              <w:rPr>
                <w:rFonts w:hint="eastAsia" w:ascii="宋体" w:hAnsi="宋体" w:cs="宋体"/>
                <w:snapToGrid w:val="0"/>
                <w:kern w:val="0"/>
                <w:sz w:val="24"/>
                <w:szCs w:val="24"/>
              </w:rPr>
              <w:t>集中设置，每栋（座）住宅不得超过</w:t>
            </w:r>
            <w:r>
              <w:rPr>
                <w:rFonts w:ascii="宋体" w:hAnsi="宋体" w:cs="宋体"/>
                <w:snapToGrid w:val="0"/>
                <w:kern w:val="0"/>
                <w:sz w:val="24"/>
                <w:szCs w:val="24"/>
              </w:rPr>
              <w:t>1个</w:t>
            </w:r>
            <w:r>
              <w:rPr>
                <w:rFonts w:hint="eastAsia" w:ascii="宋体" w:hAnsi="宋体" w:cs="宋体"/>
                <w:snapToGrid w:val="0"/>
                <w:kern w:val="0"/>
                <w:sz w:val="24"/>
                <w:szCs w:val="24"/>
              </w:rPr>
              <w:t>。</w:t>
            </w:r>
          </w:p>
          <w:p>
            <w:pPr>
              <w:tabs>
                <w:tab w:val="left" w:pos="1170"/>
              </w:tabs>
              <w:topLinePunct/>
              <w:snapToGrid w:val="0"/>
              <w:rPr>
                <w:rFonts w:ascii="宋体" w:hAnsi="宋体"/>
                <w:snapToGrid w:val="0"/>
                <w:kern w:val="0"/>
                <w:sz w:val="24"/>
                <w:szCs w:val="24"/>
              </w:rPr>
            </w:pPr>
            <w:r>
              <w:rPr>
                <w:rFonts w:hint="eastAsia" w:ascii="宋体" w:hAnsi="宋体" w:cs="宋体"/>
                <w:snapToGrid w:val="0"/>
                <w:kern w:val="0"/>
                <w:sz w:val="24"/>
                <w:szCs w:val="24"/>
              </w:rPr>
              <w:t>②四周均被封闭建筑空间围合的内天井</w:t>
            </w:r>
            <w:r>
              <w:rPr>
                <w:rFonts w:hint="eastAsia" w:ascii="宋体" w:hAnsi="宋体"/>
                <w:snapToGrid w:val="0"/>
                <w:kern w:val="0"/>
                <w:sz w:val="24"/>
                <w:szCs w:val="24"/>
              </w:rPr>
              <w:t>宜从第九层起每隔</w:t>
            </w:r>
            <w:r>
              <w:rPr>
                <w:rFonts w:ascii="宋体" w:hAnsi="宋体"/>
                <w:snapToGrid w:val="0"/>
                <w:kern w:val="0"/>
                <w:sz w:val="24"/>
                <w:szCs w:val="24"/>
              </w:rPr>
              <w:t>3～4层前后打通一个宽度不小于3m</w:t>
            </w:r>
            <w:r>
              <w:rPr>
                <w:rFonts w:hint="eastAsia" w:ascii="宋体" w:hAnsi="宋体"/>
                <w:snapToGrid w:val="0"/>
                <w:kern w:val="0"/>
                <w:sz w:val="24"/>
                <w:szCs w:val="24"/>
              </w:rPr>
              <w:t>的开间。</w:t>
            </w:r>
          </w:p>
          <w:p>
            <w:pPr>
              <w:tabs>
                <w:tab w:val="left" w:pos="1170"/>
              </w:tabs>
              <w:topLinePunct/>
              <w:snapToGrid w:val="0"/>
              <w:rPr>
                <w:rFonts w:ascii="宋体" w:hAnsi="宋体"/>
                <w:snapToGrid w:val="0"/>
                <w:kern w:val="0"/>
                <w:sz w:val="24"/>
                <w:szCs w:val="24"/>
              </w:rPr>
            </w:pPr>
            <w:r>
              <w:rPr>
                <w:rFonts w:hint="eastAsia" w:ascii="宋体" w:hAnsi="宋体" w:cs="宋体"/>
                <w:snapToGrid w:val="0"/>
                <w:kern w:val="0"/>
                <w:sz w:val="24"/>
                <w:szCs w:val="24"/>
              </w:rPr>
              <w:t>③</w:t>
            </w:r>
            <w:r>
              <w:rPr>
                <w:rFonts w:hint="eastAsia" w:ascii="宋体" w:hAnsi="宋体"/>
                <w:snapToGrid w:val="0"/>
                <w:kern w:val="0"/>
                <w:sz w:val="24"/>
                <w:szCs w:val="24"/>
              </w:rPr>
              <w:t>底层应有外接通道和排水设施。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④内天井</w:t>
            </w:r>
            <w:r>
              <w:rPr>
                <w:rFonts w:hint="eastAsia" w:ascii="宋体" w:hAnsi="宋体"/>
                <w:snapToGrid w:val="0"/>
                <w:kern w:val="0"/>
                <w:sz w:val="24"/>
                <w:szCs w:val="24"/>
              </w:rPr>
              <w:t>短边宽度应符合表</w:t>
            </w:r>
            <w:r>
              <w:rPr>
                <w:rFonts w:ascii="宋体" w:hAnsi="宋体"/>
                <w:snapToGrid w:val="0"/>
                <w:kern w:val="0"/>
                <w:sz w:val="24"/>
                <w:szCs w:val="24"/>
              </w:rPr>
              <w:t>6.4.1.2</w:t>
            </w:r>
            <w:r>
              <w:rPr>
                <w:rFonts w:hint="eastAsia" w:ascii="宋体" w:hAnsi="宋体" w:cs="宋体"/>
                <w:snapToGrid w:val="0"/>
                <w:kern w:val="0"/>
                <w:sz w:val="24"/>
                <w:szCs w:val="24"/>
              </w:rPr>
              <w:t>⑵的</w:t>
            </w:r>
            <w:r>
              <w:rPr>
                <w:rFonts w:hint="eastAsia" w:ascii="宋体" w:hAnsi="宋体"/>
                <w:snapToGrid w:val="0"/>
                <w:kern w:val="0"/>
                <w:sz w:val="24"/>
                <w:szCs w:val="24"/>
              </w:rPr>
              <w:t>要求：</w:t>
            </w:r>
          </w:p>
        </w:tc>
      </w:tr>
    </w:tbl>
    <w:p>
      <w:pPr>
        <w:topLinePunct/>
        <w:snapToGrid w:val="0"/>
        <w:ind w:firstLine="3150" w:firstLineChars="1500"/>
        <w:rPr>
          <w:rFonts w:ascii="宋体" w:hAnsi="宋体"/>
          <w:snapToGrid w:val="0"/>
          <w:kern w:val="0"/>
        </w:rPr>
      </w:pPr>
      <w:r>
        <w:rPr>
          <w:rFonts w:hint="eastAsia" w:ascii="宋体" w:hAnsi="宋体"/>
          <w:snapToGrid w:val="0"/>
          <w:kern w:val="0"/>
        </w:rPr>
        <w:t>表</w:t>
      </w:r>
      <w:r>
        <w:rPr>
          <w:rFonts w:ascii="宋体" w:hAnsi="宋体"/>
          <w:snapToGrid w:val="0"/>
          <w:kern w:val="0"/>
        </w:rPr>
        <w:t>6.4.1.2</w:t>
      </w:r>
      <w:r>
        <w:rPr>
          <w:rFonts w:hint="eastAsia" w:ascii="宋体" w:hAnsi="宋体" w:cs="宋体"/>
          <w:snapToGrid w:val="0"/>
          <w:kern w:val="0"/>
        </w:rPr>
        <w:t>⑵</w:t>
      </w:r>
      <w:r>
        <w:rPr>
          <w:rFonts w:ascii="宋体" w:hAnsi="宋体" w:cs="宋体"/>
          <w:snapToGrid w:val="0"/>
          <w:kern w:val="0"/>
        </w:rPr>
        <w:t xml:space="preserve">  </w:t>
      </w:r>
      <w:r>
        <w:rPr>
          <w:rFonts w:hint="eastAsia" w:ascii="宋体" w:hAnsi="宋体"/>
          <w:snapToGrid w:val="0"/>
          <w:kern w:val="0"/>
        </w:rPr>
        <w:t>内天井短边宽度</w:t>
      </w:r>
    </w:p>
    <w:tbl>
      <w:tblPr>
        <w:tblStyle w:val="19"/>
        <w:tblW w:w="4969"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3154"/>
        <w:gridCol w:w="181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天井用途</w:t>
            </w:r>
          </w:p>
        </w:tc>
        <w:tc>
          <w:tcPr>
            <w:tcW w:w="1815" w:type="dxa"/>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短边最小净宽</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仅用于非居住空间的采光通风</w:t>
            </w:r>
          </w:p>
        </w:tc>
        <w:tc>
          <w:tcPr>
            <w:tcW w:w="1815"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6m</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用于居住空间的采光通风</w:t>
            </w:r>
          </w:p>
        </w:tc>
        <w:tc>
          <w:tcPr>
            <w:tcW w:w="1815"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8m</w:t>
            </w:r>
          </w:p>
        </w:tc>
      </w:tr>
    </w:tbl>
    <w:tbl>
      <w:tblPr>
        <w:tblStyle w:val="20"/>
        <w:tblW w:w="9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
        <w:gridCol w:w="116"/>
        <w:gridCol w:w="8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6.4.1.3</w:t>
            </w:r>
          </w:p>
        </w:tc>
        <w:tc>
          <w:tcPr>
            <w:tcW w:w="8217" w:type="dxa"/>
            <w:gridSpan w:val="2"/>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凹槽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⑴功能性凹槽深度与开口宽度之比应不大于</w:t>
            </w:r>
            <w:r>
              <w:rPr>
                <w:rFonts w:ascii="宋体" w:hAnsi="宋体"/>
                <w:snapToGrid w:val="0"/>
                <w:kern w:val="0"/>
                <w:sz w:val="24"/>
                <w:szCs w:val="24"/>
              </w:rPr>
              <w:t>4</w:t>
            </w:r>
            <w:r>
              <w:rPr>
                <w:rFonts w:hint="eastAsia" w:ascii="宋体" w:hAnsi="宋体"/>
                <w:snapToGrid w:val="0"/>
                <w:kern w:val="0"/>
                <w:sz w:val="24"/>
                <w:szCs w:val="24"/>
              </w:rPr>
              <w:t>，深度超过</w:t>
            </w:r>
            <w:r>
              <w:rPr>
                <w:rFonts w:ascii="宋体" w:hAnsi="宋体"/>
                <w:snapToGrid w:val="0"/>
                <w:kern w:val="0"/>
                <w:sz w:val="24"/>
                <w:szCs w:val="24"/>
              </w:rPr>
              <w:t>8m</w:t>
            </w:r>
            <w:r>
              <w:rPr>
                <w:rFonts w:hint="eastAsia" w:ascii="宋体" w:hAnsi="宋体"/>
                <w:snapToGrid w:val="0"/>
                <w:kern w:val="0"/>
                <w:sz w:val="24"/>
                <w:szCs w:val="24"/>
              </w:rPr>
              <w:t>时按</w:t>
            </w:r>
            <w:r>
              <w:rPr>
                <w:rFonts w:ascii="宋体" w:hAnsi="宋体"/>
                <w:snapToGrid w:val="0"/>
                <w:kern w:val="0"/>
                <w:sz w:val="24"/>
                <w:szCs w:val="24"/>
              </w:rPr>
              <w:t>6.4.1.2</w:t>
            </w:r>
            <w:r>
              <w:rPr>
                <w:rFonts w:hint="eastAsia" w:ascii="宋体" w:hAnsi="宋体" w:cs="宋体"/>
                <w:snapToGrid w:val="0"/>
                <w:kern w:val="0"/>
                <w:sz w:val="24"/>
                <w:szCs w:val="24"/>
              </w:rPr>
              <w:t>⑵</w:t>
            </w:r>
            <w:r>
              <w:rPr>
                <w:rFonts w:hint="eastAsia" w:ascii="宋体" w:hAnsi="宋体"/>
                <w:snapToGrid w:val="0"/>
                <w:kern w:val="0"/>
                <w:sz w:val="24"/>
                <w:szCs w:val="24"/>
              </w:rPr>
              <w:t>控制。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⑵非功能性凹槽有</w:t>
            </w:r>
            <w:r>
              <w:rPr>
                <w:rFonts w:ascii="宋体" w:hAnsi="宋体"/>
                <w:snapToGrid w:val="0"/>
                <w:kern w:val="0"/>
                <w:sz w:val="24"/>
                <w:szCs w:val="24"/>
              </w:rPr>
              <w:t>3.1.6.1</w:t>
            </w:r>
            <w:r>
              <w:rPr>
                <w:rFonts w:hint="eastAsia" w:ascii="宋体" w:hAnsi="宋体"/>
                <w:snapToGrid w:val="0"/>
                <w:kern w:val="0"/>
                <w:sz w:val="24"/>
                <w:szCs w:val="24"/>
              </w:rPr>
              <w:t>所述情形的，其按层计算的总投影面积全部计入地上核减建筑面积。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6.4.1.4</w:t>
            </w:r>
          </w:p>
        </w:tc>
        <w:tc>
          <w:tcPr>
            <w:tcW w:w="8217" w:type="dxa"/>
            <w:gridSpan w:val="2"/>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⑴因结构需要设置的，作为三户（不含核心筒）及以上采光通风唯一来源的室外透空空间，其按层计算的投影面积可不计入地上核减建筑面积。</w:t>
            </w:r>
          </w:p>
          <w:p>
            <w:pPr>
              <w:tabs>
                <w:tab w:val="left" w:pos="1170"/>
              </w:tabs>
              <w:topLinePunct/>
              <w:snapToGrid w:val="0"/>
              <w:spacing w:before="211" w:beforeLines="50"/>
              <w:rPr>
                <w:rFonts w:ascii="宋体" w:hAnsi="宋体"/>
                <w:snapToGrid w:val="0"/>
                <w:color w:val="FF0000"/>
                <w:kern w:val="0"/>
                <w:sz w:val="24"/>
                <w:szCs w:val="24"/>
              </w:rPr>
            </w:pPr>
            <w:r>
              <w:rPr>
                <w:rFonts w:hint="eastAsia" w:ascii="宋体" w:hAnsi="宋体"/>
                <w:snapToGrid w:val="0"/>
                <w:kern w:val="0"/>
                <w:sz w:val="24"/>
                <w:szCs w:val="24"/>
              </w:rPr>
              <w:t>⑵非超高层的住宅建筑因结构需要，</w:t>
            </w:r>
            <w:r>
              <w:rPr>
                <w:rFonts w:hint="eastAsia" w:ascii="宋体" w:hAnsi="宋体" w:cs="Times New Roman"/>
                <w:snapToGrid w:val="0"/>
                <w:kern w:val="0"/>
                <w:sz w:val="24"/>
                <w:szCs w:val="24"/>
              </w:rPr>
              <w:t>在</w:t>
            </w:r>
            <w:r>
              <w:rPr>
                <w:rFonts w:hint="eastAsia" w:ascii="宋体" w:hAnsi="宋体"/>
                <w:snapToGrid w:val="0"/>
                <w:kern w:val="0"/>
                <w:sz w:val="24"/>
                <w:szCs w:val="24"/>
              </w:rPr>
              <w:t>户与户之间、户与核心筒之间隔层设置，作为户内房间（均不含阳台）采光通风唯一来源的室外透空空间，其按层计算的总投影面积超过该层计规定建筑面积部分水平投影面积的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⑶超高层住宅建筑因结构需要，在户与户之间、户与核心筒之间合理设置，作为户内房间（均不含阳台）采光通风唯一来源的室外透空空间，其按层计算的总投影面积超过该层计规定建筑面积部分水平投影面积的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fldChar w:fldCharType="begin"/>
            </w:r>
            <w:r>
              <w:rPr>
                <w:rFonts w:ascii="宋体" w:hAnsi="宋体"/>
                <w:snapToGrid w:val="0"/>
                <w:kern w:val="0"/>
                <w:sz w:val="24"/>
                <w:szCs w:val="24"/>
              </w:rPr>
              <w:instrText xml:space="preserve"> </w:instrText>
            </w:r>
            <w:r>
              <w:rPr>
                <w:rFonts w:hint="eastAsia" w:ascii="宋体" w:hAnsi="宋体"/>
                <w:snapToGrid w:val="0"/>
                <w:kern w:val="0"/>
                <w:sz w:val="24"/>
                <w:szCs w:val="24"/>
              </w:rPr>
              <w:instrText xml:space="preserve">= 4 \* GB2</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hint="eastAsia" w:ascii="宋体" w:hAnsi="宋体"/>
                <w:snapToGrid w:val="0"/>
                <w:kern w:val="0"/>
                <w:sz w:val="24"/>
                <w:szCs w:val="24"/>
              </w:rPr>
              <w:t>⑷</w:t>
            </w:r>
            <w:r>
              <w:rPr>
                <w:rFonts w:ascii="宋体" w:hAnsi="宋体"/>
                <w:snapToGrid w:val="0"/>
                <w:kern w:val="0"/>
                <w:sz w:val="24"/>
                <w:szCs w:val="24"/>
              </w:rPr>
              <w:fldChar w:fldCharType="end"/>
            </w:r>
            <w:r>
              <w:rPr>
                <w:rFonts w:hint="eastAsia" w:ascii="宋体" w:hAnsi="宋体"/>
                <w:snapToGrid w:val="0"/>
                <w:kern w:val="0"/>
                <w:sz w:val="24"/>
                <w:szCs w:val="24"/>
              </w:rPr>
              <w:t>除上述三种情形外的其他室外透空空间，其按层计算的总投影面积全部计入地上核减建筑面积。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6.4.2</w:t>
            </w:r>
          </w:p>
        </w:tc>
        <w:tc>
          <w:tcPr>
            <w:tcW w:w="8217" w:type="dxa"/>
            <w:gridSpan w:val="2"/>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6.4.2.1</w:t>
            </w:r>
          </w:p>
        </w:tc>
        <w:tc>
          <w:tcPr>
            <w:tcW w:w="8217" w:type="dxa"/>
            <w:gridSpan w:val="2"/>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⑴住宅户内空间应按户型设计，每户应设卧室、起居室（厅）、厨房和卫生间等基本功能空间，且基本功能空间应满足相关规范的最小使用面积要求。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⑵复式住宅每层室内空间均须满足基本的居住使用需求。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6.4.2.2</w:t>
            </w:r>
          </w:p>
        </w:tc>
        <w:tc>
          <w:tcPr>
            <w:tcW w:w="8217" w:type="dxa"/>
            <w:gridSpan w:val="2"/>
            <w:vAlign w:val="top"/>
          </w:tcPr>
          <w:p>
            <w:pPr>
              <w:tabs>
                <w:tab w:val="left" w:pos="1170"/>
              </w:tabs>
              <w:topLinePunct/>
              <w:snapToGrid w:val="0"/>
              <w:spacing w:before="211" w:beforeLines="50"/>
              <w:rPr>
                <w:rFonts w:ascii="宋体" w:hAnsi="宋体"/>
                <w:b/>
                <w:snapToGrid w:val="0"/>
                <w:color w:val="auto"/>
                <w:kern w:val="0"/>
                <w:sz w:val="24"/>
                <w:szCs w:val="24"/>
              </w:rPr>
            </w:pPr>
            <w:r>
              <w:rPr>
                <w:rFonts w:hint="eastAsia" w:ascii="宋体" w:hAnsi="宋体"/>
                <w:b/>
                <w:snapToGrid w:val="0"/>
                <w:color w:val="auto"/>
                <w:kern w:val="0"/>
                <w:sz w:val="24"/>
                <w:szCs w:val="24"/>
              </w:rPr>
              <w:t>室内透空空间</w:t>
            </w:r>
          </w:p>
          <w:p>
            <w:pPr>
              <w:tabs>
                <w:tab w:val="left" w:pos="1170"/>
              </w:tabs>
              <w:topLinePunct/>
              <w:snapToGrid w:val="0"/>
              <w:spacing w:before="211" w:beforeLines="50"/>
              <w:rPr>
                <w:rFonts w:ascii="宋体" w:hAnsi="宋体"/>
                <w:snapToGrid w:val="0"/>
                <w:color w:val="auto"/>
                <w:kern w:val="0"/>
                <w:sz w:val="24"/>
                <w:szCs w:val="24"/>
              </w:rPr>
            </w:pPr>
            <w:r>
              <w:rPr>
                <w:rFonts w:hint="eastAsia" w:ascii="宋体" w:hAnsi="宋体"/>
                <w:snapToGrid w:val="0"/>
                <w:color w:val="auto"/>
                <w:kern w:val="0"/>
                <w:sz w:val="24"/>
                <w:szCs w:val="24"/>
              </w:rPr>
              <w:t>(</w:t>
            </w:r>
            <w:r>
              <w:rPr>
                <w:rFonts w:ascii="宋体" w:hAnsi="宋体"/>
                <w:snapToGrid w:val="0"/>
                <w:color w:val="auto"/>
                <w:kern w:val="0"/>
                <w:sz w:val="24"/>
                <w:szCs w:val="24"/>
              </w:rPr>
              <w:t>1)</w:t>
            </w:r>
            <w:r>
              <w:rPr>
                <w:rFonts w:hint="eastAsia" w:ascii="宋体" w:hAnsi="宋体"/>
                <w:snapToGrid w:val="0"/>
                <w:color w:val="auto"/>
                <w:kern w:val="0"/>
                <w:sz w:val="24"/>
                <w:szCs w:val="24"/>
              </w:rPr>
              <w:t>套内建筑面积不超过</w:t>
            </w:r>
            <w:r>
              <w:rPr>
                <w:rFonts w:ascii="宋体" w:hAnsi="宋体"/>
                <w:snapToGrid w:val="0"/>
                <w:color w:val="auto"/>
                <w:kern w:val="0"/>
                <w:sz w:val="24"/>
                <w:szCs w:val="24"/>
              </w:rPr>
              <w:t>90㎡</w:t>
            </w:r>
            <w:r>
              <w:rPr>
                <w:rFonts w:hint="eastAsia" w:ascii="宋体" w:hAnsi="宋体"/>
                <w:snapToGrid w:val="0"/>
                <w:color w:val="auto"/>
                <w:kern w:val="0"/>
                <w:sz w:val="24"/>
                <w:szCs w:val="24"/>
              </w:rPr>
              <w:t>的</w:t>
            </w:r>
            <w:r>
              <w:rPr>
                <w:rFonts w:ascii="宋体" w:hAnsi="宋体"/>
                <w:snapToGrid w:val="0"/>
                <w:color w:val="auto"/>
                <w:kern w:val="0"/>
                <w:sz w:val="24"/>
                <w:szCs w:val="24"/>
              </w:rPr>
              <w:t>复式住宅户内的室内透空空间，</w:t>
            </w:r>
            <w:r>
              <w:rPr>
                <w:rFonts w:hint="eastAsia" w:ascii="宋体" w:hAnsi="宋体"/>
                <w:snapToGrid w:val="0"/>
                <w:color w:val="auto"/>
                <w:kern w:val="0"/>
                <w:sz w:val="24"/>
                <w:szCs w:val="24"/>
              </w:rPr>
              <w:t>其</w:t>
            </w:r>
            <w:r>
              <w:rPr>
                <w:rFonts w:ascii="宋体" w:hAnsi="宋体"/>
                <w:snapToGrid w:val="0"/>
                <w:color w:val="auto"/>
                <w:kern w:val="0"/>
                <w:sz w:val="24"/>
                <w:szCs w:val="24"/>
              </w:rPr>
              <w:t>按</w:t>
            </w:r>
            <w:r>
              <w:rPr>
                <w:rFonts w:hint="eastAsia" w:ascii="宋体" w:hAnsi="宋体"/>
                <w:snapToGrid w:val="0"/>
                <w:color w:val="auto"/>
                <w:kern w:val="0"/>
                <w:sz w:val="24"/>
                <w:szCs w:val="24"/>
              </w:rPr>
              <w:t>层计算的总投影面积全部计入地上核减建筑面积。</w:t>
            </w:r>
            <w:r>
              <w:rPr>
                <w:rFonts w:ascii="宋体" w:hAnsi="宋体"/>
                <w:snapToGrid w:val="0"/>
                <w:color w:val="auto"/>
                <w:kern w:val="0"/>
                <w:sz w:val="24"/>
                <w:szCs w:val="24"/>
              </w:rPr>
              <w:t xml:space="preserve"> </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color w:val="auto"/>
                <w:kern w:val="0"/>
                <w:sz w:val="24"/>
                <w:szCs w:val="24"/>
              </w:rPr>
              <w:t>(</w:t>
            </w:r>
            <w:r>
              <w:rPr>
                <w:rFonts w:ascii="宋体" w:hAnsi="宋体"/>
                <w:snapToGrid w:val="0"/>
                <w:color w:val="auto"/>
                <w:kern w:val="0"/>
                <w:sz w:val="24"/>
                <w:szCs w:val="24"/>
              </w:rPr>
              <w:t>2)套内建筑面积超过90</w:t>
            </w:r>
            <w:r>
              <w:rPr>
                <w:rFonts w:hint="eastAsia" w:ascii="宋体" w:hAnsi="宋体"/>
                <w:snapToGrid w:val="0"/>
                <w:color w:val="auto"/>
                <w:kern w:val="0"/>
                <w:sz w:val="24"/>
                <w:szCs w:val="24"/>
              </w:rPr>
              <w:t>m²</w:t>
            </w:r>
            <w:r>
              <w:rPr>
                <w:rFonts w:ascii="宋体" w:hAnsi="宋体"/>
                <w:snapToGrid w:val="0"/>
                <w:color w:val="auto"/>
                <w:kern w:val="0"/>
                <w:sz w:val="24"/>
                <w:szCs w:val="24"/>
              </w:rPr>
              <w:t>的复式住宅，户内仅限起居室(厅)、餐厅可设置室内透空空间，其高度不得超过两个标准层，总投影面积超过该户套内建筑面积(阳台除外)的20%或60</w:t>
            </w:r>
            <w:r>
              <w:rPr>
                <w:rFonts w:hint="eastAsia" w:ascii="宋体" w:hAnsi="宋体"/>
                <w:snapToGrid w:val="0"/>
                <w:color w:val="auto"/>
                <w:kern w:val="0"/>
                <w:sz w:val="24"/>
                <w:szCs w:val="24"/>
              </w:rPr>
              <w:t>m²</w:t>
            </w:r>
            <w:r>
              <w:rPr>
                <w:rFonts w:ascii="宋体" w:hAnsi="宋体"/>
                <w:snapToGrid w:val="0"/>
                <w:color w:val="auto"/>
                <w:kern w:val="0"/>
                <w:sz w:val="24"/>
                <w:szCs w:val="24"/>
              </w:rPr>
              <w:t>时，按3.1.6.3(1)公式1另行计算地上核减建筑面积。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⑶错层式住宅户内仅限起居室（厅）可设置室内透空空间，其高度不得超过</w:t>
            </w:r>
            <w:r>
              <w:rPr>
                <w:rFonts w:ascii="宋体" w:hAnsi="宋体"/>
                <w:snapToGrid w:val="0"/>
                <w:kern w:val="0"/>
                <w:sz w:val="24"/>
                <w:szCs w:val="24"/>
              </w:rPr>
              <w:t>4.5m</w:t>
            </w:r>
            <w:r>
              <w:rPr>
                <w:rFonts w:hint="eastAsia" w:ascii="宋体" w:hAnsi="宋体"/>
                <w:snapToGrid w:val="0"/>
                <w:kern w:val="0"/>
                <w:sz w:val="24"/>
                <w:szCs w:val="24"/>
              </w:rPr>
              <w:t>，总投影面积超过该户除所有阳台以外户内建筑面积的</w:t>
            </w:r>
            <w:r>
              <w:rPr>
                <w:rFonts w:ascii="宋体" w:hAnsi="宋体"/>
                <w:snapToGrid w:val="0"/>
                <w:kern w:val="0"/>
                <w:sz w:val="24"/>
                <w:szCs w:val="24"/>
              </w:rPr>
              <w:t>15%</w:t>
            </w:r>
            <w:r>
              <w:rPr>
                <w:rFonts w:hint="eastAsia" w:ascii="宋体" w:hAnsi="宋体"/>
                <w:snapToGrid w:val="0"/>
                <w:kern w:val="0"/>
                <w:sz w:val="24"/>
                <w:szCs w:val="24"/>
              </w:rPr>
              <w:t>或</w:t>
            </w:r>
            <w:r>
              <w:rPr>
                <w:rFonts w:ascii="宋体" w:hAnsi="宋体"/>
                <w:snapToGrid w:val="0"/>
                <w:kern w:val="0"/>
                <w:sz w:val="24"/>
                <w:szCs w:val="24"/>
              </w:rPr>
              <w:t xml:space="preserve"> 40㎡时</w:t>
            </w:r>
            <w:r>
              <w:rPr>
                <w:rFonts w:hint="eastAsia" w:ascii="宋体" w:hAnsi="宋体"/>
                <w:snapToGrid w:val="0"/>
                <w:kern w:val="0"/>
                <w:sz w:val="24"/>
                <w:szCs w:val="24"/>
              </w:rPr>
              <w:t>，按</w:t>
            </w:r>
            <w:r>
              <w:rPr>
                <w:rFonts w:ascii="宋体" w:hAnsi="宋体"/>
                <w:snapToGrid w:val="0"/>
                <w:kern w:val="0"/>
                <w:sz w:val="24"/>
                <w:szCs w:val="24"/>
              </w:rPr>
              <w:t>3.1.6.3⑴</w:t>
            </w:r>
            <w:r>
              <w:rPr>
                <w:rFonts w:hint="eastAsia" w:ascii="宋体" w:hAnsi="宋体"/>
                <w:snapToGrid w:val="0"/>
                <w:kern w:val="0"/>
                <w:sz w:val="24"/>
                <w:szCs w:val="24"/>
              </w:rPr>
              <w:t>公式</w:t>
            </w:r>
            <w:r>
              <w:rPr>
                <w:rFonts w:ascii="宋体" w:hAnsi="宋体"/>
                <w:snapToGrid w:val="0"/>
                <w:kern w:val="0"/>
                <w:sz w:val="24"/>
                <w:szCs w:val="24"/>
              </w:rPr>
              <w:t>1</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6.4.2.3</w:t>
            </w:r>
          </w:p>
        </w:tc>
        <w:tc>
          <w:tcPr>
            <w:tcW w:w="8217" w:type="dxa"/>
            <w:gridSpan w:val="2"/>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作为公共大堂层高超过</w:t>
            </w:r>
            <w:r>
              <w:rPr>
                <w:rFonts w:ascii="宋体" w:hAnsi="宋体"/>
                <w:snapToGrid w:val="0"/>
                <w:kern w:val="0"/>
                <w:sz w:val="24"/>
                <w:szCs w:val="24"/>
              </w:rPr>
              <w:t>6m，或住宅</w:t>
            </w:r>
            <w:r>
              <w:rPr>
                <w:rFonts w:hint="eastAsia" w:ascii="宋体" w:hAnsi="宋体"/>
                <w:snapToGrid w:val="0"/>
                <w:kern w:val="0"/>
                <w:sz w:val="24"/>
                <w:szCs w:val="24"/>
              </w:rPr>
              <w:t>楼层层高超过</w:t>
            </w:r>
            <w:r>
              <w:rPr>
                <w:rFonts w:ascii="宋体" w:hAnsi="宋体"/>
                <w:snapToGrid w:val="0"/>
                <w:kern w:val="0"/>
                <w:sz w:val="24"/>
                <w:szCs w:val="24"/>
              </w:rPr>
              <w:t>3.6m</w:t>
            </w:r>
            <w:r>
              <w:rPr>
                <w:rFonts w:hint="eastAsia" w:ascii="宋体" w:hAnsi="宋体"/>
                <w:snapToGrid w:val="0"/>
                <w:kern w:val="0"/>
                <w:sz w:val="24"/>
                <w:szCs w:val="24"/>
              </w:rPr>
              <w:t>时，按</w:t>
            </w:r>
            <w:r>
              <w:rPr>
                <w:rFonts w:ascii="宋体" w:hAnsi="宋体"/>
                <w:snapToGrid w:val="0"/>
                <w:kern w:val="0"/>
                <w:sz w:val="24"/>
                <w:szCs w:val="24"/>
              </w:rPr>
              <w:t>3.1.6.4</w:t>
            </w:r>
            <w:r>
              <w:rPr>
                <w:rFonts w:hint="eastAsia" w:ascii="宋体" w:hAnsi="宋体"/>
                <w:snapToGrid w:val="0"/>
                <w:kern w:val="0"/>
                <w:sz w:val="24"/>
                <w:szCs w:val="24"/>
              </w:rPr>
              <w:t>公式</w:t>
            </w:r>
            <w:r>
              <w:rPr>
                <w:rFonts w:ascii="宋体" w:hAnsi="宋体"/>
                <w:snapToGrid w:val="0"/>
                <w:kern w:val="0"/>
                <w:sz w:val="24"/>
                <w:szCs w:val="24"/>
              </w:rPr>
              <w:t>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2.2m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9"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6.4.2.4</w:t>
            </w:r>
          </w:p>
        </w:tc>
        <w:tc>
          <w:tcPr>
            <w:tcW w:w="8217" w:type="dxa"/>
            <w:gridSpan w:val="2"/>
            <w:vAlign w:val="top"/>
          </w:tcPr>
          <w:p>
            <w:pPr>
              <w:tabs>
                <w:tab w:val="left" w:pos="1170"/>
              </w:tabs>
              <w:topLinePunct/>
              <w:snapToGrid w:val="0"/>
              <w:spacing w:before="211" w:beforeLines="50"/>
              <w:rPr>
                <w:rFonts w:ascii="宋体" w:hAnsi="宋体"/>
                <w:b/>
                <w:snapToGrid w:val="0"/>
                <w:color w:val="auto"/>
                <w:kern w:val="0"/>
                <w:sz w:val="24"/>
                <w:szCs w:val="24"/>
              </w:rPr>
            </w:pPr>
            <w:r>
              <w:rPr>
                <w:rFonts w:hint="eastAsia" w:ascii="宋体" w:hAnsi="宋体"/>
                <w:b/>
                <w:snapToGrid w:val="0"/>
                <w:color w:val="auto"/>
                <w:kern w:val="0"/>
                <w:sz w:val="24"/>
                <w:szCs w:val="24"/>
              </w:rPr>
              <w:t>阳台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⑴计一半面积且无必要交通功能的公共阳台，还需按其规定建筑面积的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此外，两户及以下使用的多层高外走廊以及无必要交通功能的多层高公共阳台，其上部空间按层计算的总投影面积按</w:t>
            </w:r>
            <w:r>
              <w:rPr>
                <w:rFonts w:ascii="宋体" w:hAnsi="宋体"/>
                <w:snapToGrid w:val="0"/>
                <w:kern w:val="0"/>
                <w:sz w:val="24"/>
                <w:szCs w:val="24"/>
              </w:rPr>
              <w:t>3.1.6.6公式4另行计算地上核减建筑面积。</w:t>
            </w:r>
          </w:p>
          <w:p>
            <w:pPr>
              <w:tabs>
                <w:tab w:val="left" w:pos="1170"/>
              </w:tabs>
              <w:topLinePunct/>
              <w:snapToGrid w:val="0"/>
              <w:spacing w:before="211" w:beforeLines="50"/>
              <w:rPr>
                <w:rFonts w:hint="eastAsia" w:ascii="宋体" w:hAnsi="宋体"/>
                <w:snapToGrid w:val="0"/>
                <w:color w:val="auto"/>
                <w:sz w:val="24"/>
                <w:szCs w:val="24"/>
              </w:rPr>
            </w:pPr>
            <w:r>
              <w:rPr>
                <w:rFonts w:hint="eastAsia" w:ascii="宋体" w:hAnsi="宋体"/>
                <w:snapToGrid w:val="0"/>
                <w:color w:val="auto"/>
                <w:kern w:val="0"/>
                <w:sz w:val="24"/>
                <w:szCs w:val="24"/>
              </w:rPr>
              <w:t>⑵户内仅</w:t>
            </w:r>
            <w:r>
              <w:rPr>
                <w:rFonts w:hint="eastAsia" w:ascii="宋体" w:hAnsi="宋体"/>
                <w:snapToGrid w:val="0"/>
                <w:color w:val="auto"/>
                <w:sz w:val="24"/>
                <w:szCs w:val="24"/>
              </w:rPr>
              <w:t>限面宽、进深均不小于</w:t>
            </w:r>
            <w:r>
              <w:rPr>
                <w:rFonts w:ascii="宋体" w:hAnsi="宋体"/>
                <w:snapToGrid w:val="0"/>
                <w:color w:val="auto"/>
                <w:sz w:val="24"/>
                <w:szCs w:val="24"/>
              </w:rPr>
              <w:t>2.4m</w:t>
            </w:r>
            <w:r>
              <w:rPr>
                <w:rFonts w:hint="eastAsia" w:ascii="宋体" w:hAnsi="宋体"/>
                <w:snapToGrid w:val="0"/>
                <w:color w:val="auto"/>
                <w:kern w:val="0"/>
                <w:sz w:val="24"/>
                <w:szCs w:val="24"/>
              </w:rPr>
              <w:t>的起居室、客厅、餐厅、卧室可分别设置一个计一半面积的阳台；</w:t>
            </w:r>
            <w:r>
              <w:rPr>
                <w:rFonts w:hint="eastAsia" w:ascii="宋体" w:hAnsi="宋体"/>
                <w:snapToGrid w:val="0"/>
                <w:color w:val="auto"/>
                <w:sz w:val="24"/>
                <w:szCs w:val="24"/>
              </w:rPr>
              <w:t>厨房（或与其连通的卫生间）可设置</w:t>
            </w:r>
            <w:r>
              <w:rPr>
                <w:rFonts w:hint="eastAsia" w:ascii="宋体" w:hAnsi="宋体"/>
                <w:snapToGrid w:val="0"/>
                <w:color w:val="auto"/>
                <w:kern w:val="0"/>
                <w:sz w:val="24"/>
                <w:szCs w:val="24"/>
              </w:rPr>
              <w:t>不超过</w:t>
            </w:r>
            <w:r>
              <w:rPr>
                <w:rFonts w:hint="eastAsia" w:ascii="宋体" w:hAnsi="宋体"/>
                <w:snapToGrid w:val="0"/>
                <w:color w:val="auto"/>
                <w:sz w:val="24"/>
                <w:szCs w:val="24"/>
              </w:rPr>
              <w:t>一个计一半面积的阳台。</w:t>
            </w:r>
          </w:p>
          <w:p>
            <w:pPr>
              <w:tabs>
                <w:tab w:val="left" w:pos="1170"/>
              </w:tabs>
              <w:topLinePunct/>
              <w:snapToGrid w:val="0"/>
              <w:spacing w:before="211" w:beforeLines="50"/>
              <w:rPr>
                <w:rFonts w:ascii="宋体" w:hAnsi="宋体"/>
                <w:snapToGrid w:val="0"/>
                <w:color w:val="auto"/>
                <w:kern w:val="0"/>
                <w:sz w:val="24"/>
                <w:szCs w:val="24"/>
              </w:rPr>
            </w:pPr>
            <w:r>
              <w:rPr>
                <w:rFonts w:hint="eastAsia" w:ascii="宋体" w:hAnsi="宋体"/>
                <w:snapToGrid w:val="0"/>
                <w:color w:val="auto"/>
                <w:kern w:val="0"/>
                <w:sz w:val="24"/>
                <w:szCs w:val="24"/>
              </w:rPr>
              <w:t>该类阳台总投影面积之和（含与其相连的花池、空调机位等平台，下同）超过</w:t>
            </w:r>
            <w:r>
              <w:rPr>
                <w:rFonts w:ascii="宋体" w:hAnsi="宋体"/>
                <w:snapToGrid w:val="0"/>
                <w:color w:val="auto"/>
                <w:kern w:val="0"/>
                <w:sz w:val="24"/>
                <w:szCs w:val="24"/>
              </w:rPr>
              <w:t>6㎡</w:t>
            </w:r>
            <w:r>
              <w:rPr>
                <w:rFonts w:hint="eastAsia" w:ascii="宋体" w:hAnsi="宋体"/>
                <w:snapToGrid w:val="0"/>
                <w:color w:val="auto"/>
                <w:kern w:val="0"/>
                <w:sz w:val="24"/>
                <w:szCs w:val="24"/>
              </w:rPr>
              <w:t>时，按以下情形分别控制：</w:t>
            </w:r>
          </w:p>
          <w:p>
            <w:pPr>
              <w:tabs>
                <w:tab w:val="left" w:pos="1170"/>
              </w:tabs>
              <w:topLinePunct/>
              <w:snapToGrid w:val="0"/>
              <w:spacing w:before="211" w:beforeLines="50"/>
              <w:rPr>
                <w:rFonts w:ascii="宋体" w:hAnsi="宋体"/>
                <w:snapToGrid w:val="0"/>
                <w:color w:val="auto"/>
                <w:kern w:val="0"/>
                <w:sz w:val="24"/>
                <w:szCs w:val="24"/>
              </w:rPr>
            </w:pPr>
            <w:r>
              <w:rPr>
                <w:rFonts w:hint="eastAsia" w:ascii="宋体" w:hAnsi="宋体" w:cs="宋体"/>
                <w:snapToGrid w:val="0"/>
                <w:color w:val="auto"/>
                <w:kern w:val="0"/>
                <w:sz w:val="24"/>
                <w:szCs w:val="24"/>
              </w:rPr>
              <w:t>①户内未设置室内透空空间的户型，</w:t>
            </w:r>
            <w:r>
              <w:rPr>
                <w:rFonts w:hint="eastAsia" w:ascii="宋体" w:hAnsi="宋体"/>
                <w:snapToGrid w:val="0"/>
                <w:color w:val="auto"/>
                <w:kern w:val="0"/>
                <w:sz w:val="24"/>
                <w:szCs w:val="24"/>
              </w:rPr>
              <w:t>阳台总投影面积之和超过该户除所有阳台以外户内建筑面积的</w:t>
            </w:r>
            <w:r>
              <w:rPr>
                <w:rFonts w:ascii="宋体" w:hAnsi="宋体"/>
                <w:snapToGrid w:val="0"/>
                <w:color w:val="auto"/>
                <w:kern w:val="0"/>
                <w:sz w:val="24"/>
                <w:szCs w:val="24"/>
              </w:rPr>
              <w:t>20%</w:t>
            </w:r>
            <w:r>
              <w:rPr>
                <w:rFonts w:hint="eastAsia" w:ascii="宋体" w:hAnsi="宋体"/>
                <w:snapToGrid w:val="0"/>
                <w:color w:val="auto"/>
                <w:kern w:val="0"/>
                <w:sz w:val="24"/>
                <w:szCs w:val="24"/>
              </w:rPr>
              <w:t>或</w:t>
            </w:r>
            <w:r>
              <w:rPr>
                <w:rFonts w:ascii="宋体" w:hAnsi="宋体"/>
                <w:snapToGrid w:val="0"/>
                <w:color w:val="auto"/>
                <w:kern w:val="0"/>
                <w:sz w:val="24"/>
                <w:szCs w:val="24"/>
              </w:rPr>
              <w:t>60</w:t>
            </w:r>
            <w:r>
              <w:rPr>
                <w:rFonts w:hint="eastAsia" w:ascii="宋体" w:hAnsi="宋体" w:cs="宋体"/>
                <w:snapToGrid w:val="0"/>
                <w:color w:val="auto"/>
                <w:kern w:val="0"/>
                <w:sz w:val="24"/>
                <w:szCs w:val="24"/>
              </w:rPr>
              <w:t>㎡时，</w:t>
            </w:r>
            <w:r>
              <w:rPr>
                <w:rFonts w:hint="eastAsia" w:ascii="宋体" w:hAnsi="宋体"/>
                <w:snapToGrid w:val="0"/>
                <w:color w:val="auto"/>
                <w:kern w:val="0"/>
                <w:sz w:val="24"/>
                <w:szCs w:val="24"/>
              </w:rPr>
              <w:t>按</w:t>
            </w:r>
            <w:r>
              <w:rPr>
                <w:rFonts w:ascii="宋体" w:hAnsi="宋体"/>
                <w:snapToGrid w:val="0"/>
                <w:color w:val="auto"/>
                <w:kern w:val="0"/>
                <w:sz w:val="24"/>
                <w:szCs w:val="24"/>
              </w:rPr>
              <w:t>3.1.6.5</w:t>
            </w:r>
            <w:r>
              <w:rPr>
                <w:rFonts w:hint="eastAsia" w:ascii="宋体" w:hAnsi="宋体"/>
                <w:snapToGrid w:val="0"/>
                <w:color w:val="auto"/>
                <w:kern w:val="0"/>
                <w:sz w:val="24"/>
                <w:szCs w:val="24"/>
              </w:rPr>
              <w:t>⑴公式</w:t>
            </w:r>
            <w:r>
              <w:rPr>
                <w:rFonts w:ascii="宋体" w:hAnsi="宋体"/>
                <w:snapToGrid w:val="0"/>
                <w:color w:val="auto"/>
                <w:kern w:val="0"/>
                <w:sz w:val="24"/>
                <w:szCs w:val="24"/>
              </w:rPr>
              <w:t>3</w:t>
            </w:r>
            <w:r>
              <w:rPr>
                <w:rFonts w:hint="eastAsia" w:ascii="宋体" w:hAnsi="宋体"/>
                <w:snapToGrid w:val="0"/>
                <w:color w:val="auto"/>
                <w:kern w:val="0"/>
                <w:sz w:val="24"/>
                <w:szCs w:val="24"/>
              </w:rPr>
              <w:t>另行计算地上核减建筑面积。</w:t>
            </w:r>
          </w:p>
          <w:p>
            <w:pPr>
              <w:tabs>
                <w:tab w:val="left" w:pos="1170"/>
              </w:tabs>
              <w:topLinePunct/>
              <w:snapToGrid w:val="0"/>
              <w:spacing w:before="211" w:beforeLines="50"/>
              <w:rPr>
                <w:rFonts w:hint="eastAsia" w:ascii="宋体" w:hAnsi="宋体"/>
                <w:snapToGrid w:val="0"/>
                <w:color w:val="auto"/>
                <w:kern w:val="0"/>
                <w:sz w:val="24"/>
                <w:szCs w:val="24"/>
              </w:rPr>
            </w:pPr>
            <w:r>
              <w:rPr>
                <w:rFonts w:hint="eastAsia" w:ascii="宋体" w:hAnsi="宋体"/>
                <w:snapToGrid w:val="0"/>
                <w:color w:val="auto"/>
                <w:kern w:val="0"/>
                <w:sz w:val="24"/>
                <w:szCs w:val="24"/>
              </w:rPr>
              <w:t>②</w:t>
            </w:r>
            <w:r>
              <w:rPr>
                <w:rFonts w:hint="eastAsia" w:ascii="宋体" w:hAnsi="宋体" w:cs="宋体"/>
                <w:snapToGrid w:val="0"/>
                <w:color w:val="auto"/>
                <w:kern w:val="0"/>
                <w:sz w:val="24"/>
                <w:szCs w:val="24"/>
              </w:rPr>
              <w:t>户内设置室内透空空间的复式、错层式户型，</w:t>
            </w:r>
            <w:r>
              <w:rPr>
                <w:rFonts w:hint="eastAsia" w:ascii="宋体" w:hAnsi="宋体"/>
                <w:snapToGrid w:val="0"/>
                <w:color w:val="auto"/>
                <w:kern w:val="0"/>
                <w:sz w:val="24"/>
                <w:szCs w:val="24"/>
              </w:rPr>
              <w:t>阳台总投影面积之和超过该户除所有阳台以外户内建筑面积的</w:t>
            </w:r>
            <w:r>
              <w:rPr>
                <w:rFonts w:ascii="宋体" w:hAnsi="宋体"/>
                <w:snapToGrid w:val="0"/>
                <w:color w:val="auto"/>
                <w:kern w:val="0"/>
                <w:sz w:val="24"/>
                <w:szCs w:val="24"/>
              </w:rPr>
              <w:t>10%</w:t>
            </w:r>
            <w:r>
              <w:rPr>
                <w:rFonts w:hint="eastAsia" w:ascii="宋体" w:hAnsi="宋体"/>
                <w:snapToGrid w:val="0"/>
                <w:color w:val="auto"/>
                <w:kern w:val="0"/>
                <w:sz w:val="24"/>
                <w:szCs w:val="24"/>
              </w:rPr>
              <w:t>或</w:t>
            </w:r>
            <w:r>
              <w:rPr>
                <w:rFonts w:ascii="宋体" w:hAnsi="宋体"/>
                <w:snapToGrid w:val="0"/>
                <w:color w:val="auto"/>
                <w:kern w:val="0"/>
                <w:sz w:val="24"/>
                <w:szCs w:val="24"/>
              </w:rPr>
              <w:t>30</w:t>
            </w:r>
            <w:r>
              <w:rPr>
                <w:rFonts w:hint="eastAsia" w:ascii="宋体" w:hAnsi="宋体" w:cs="宋体"/>
                <w:snapToGrid w:val="0"/>
                <w:color w:val="auto"/>
                <w:kern w:val="0"/>
                <w:sz w:val="24"/>
                <w:szCs w:val="24"/>
              </w:rPr>
              <w:t>㎡</w:t>
            </w:r>
            <w:r>
              <w:rPr>
                <w:rFonts w:hint="eastAsia" w:ascii="宋体" w:hAnsi="宋体"/>
                <w:snapToGrid w:val="0"/>
                <w:color w:val="auto"/>
                <w:kern w:val="0"/>
                <w:sz w:val="24"/>
                <w:szCs w:val="24"/>
              </w:rPr>
              <w:t>时，按</w:t>
            </w:r>
            <w:r>
              <w:rPr>
                <w:rFonts w:ascii="宋体" w:hAnsi="宋体"/>
                <w:snapToGrid w:val="0"/>
                <w:color w:val="auto"/>
                <w:kern w:val="0"/>
                <w:sz w:val="24"/>
                <w:szCs w:val="24"/>
              </w:rPr>
              <w:t>3.1.6.5</w:t>
            </w:r>
            <w:r>
              <w:rPr>
                <w:rFonts w:hint="eastAsia" w:ascii="宋体" w:hAnsi="宋体"/>
                <w:snapToGrid w:val="0"/>
                <w:color w:val="auto"/>
                <w:kern w:val="0"/>
                <w:sz w:val="24"/>
                <w:szCs w:val="24"/>
              </w:rPr>
              <w:t>⑴公式</w:t>
            </w:r>
            <w:r>
              <w:rPr>
                <w:rFonts w:ascii="宋体" w:hAnsi="宋体"/>
                <w:snapToGrid w:val="0"/>
                <w:color w:val="auto"/>
                <w:kern w:val="0"/>
                <w:sz w:val="24"/>
                <w:szCs w:val="24"/>
              </w:rPr>
              <w:t>3</w:t>
            </w:r>
            <w:r>
              <w:rPr>
                <w:rFonts w:hint="eastAsia" w:ascii="宋体" w:hAnsi="宋体"/>
                <w:snapToGrid w:val="0"/>
                <w:color w:val="auto"/>
                <w:kern w:val="0"/>
                <w:sz w:val="24"/>
                <w:szCs w:val="24"/>
              </w:rPr>
              <w:t>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⑶户内除</w:t>
            </w:r>
            <w:r>
              <w:rPr>
                <w:rFonts w:ascii="宋体" w:hAnsi="宋体"/>
                <w:snapToGrid w:val="0"/>
                <w:kern w:val="0"/>
                <w:sz w:val="24"/>
                <w:szCs w:val="24"/>
              </w:rPr>
              <w:t>6.4.2.4</w:t>
            </w:r>
            <w:r>
              <w:rPr>
                <w:rFonts w:hint="eastAsia" w:ascii="宋体" w:hAnsi="宋体"/>
                <w:snapToGrid w:val="0"/>
                <w:kern w:val="0"/>
                <w:sz w:val="24"/>
                <w:szCs w:val="24"/>
              </w:rPr>
              <w:t>⑵规定情形外的其他空间设置的计一半面积的阳台，还需按其规定建筑面积的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⑷户内的多层高阳台，其上部空间按层计算的总投影面积按</w:t>
            </w:r>
            <w:r>
              <w:rPr>
                <w:rFonts w:ascii="宋体" w:hAnsi="宋体"/>
                <w:snapToGrid w:val="0"/>
                <w:kern w:val="0"/>
                <w:sz w:val="24"/>
                <w:szCs w:val="24"/>
              </w:rPr>
              <w:t>3.1.6.6</w:t>
            </w:r>
            <w:r>
              <w:rPr>
                <w:rFonts w:hint="eastAsia" w:ascii="宋体" w:hAnsi="宋体"/>
                <w:snapToGrid w:val="0"/>
                <w:kern w:val="0"/>
                <w:sz w:val="24"/>
                <w:szCs w:val="24"/>
              </w:rPr>
              <w:t>公式</w:t>
            </w:r>
            <w:r>
              <w:rPr>
                <w:rFonts w:ascii="宋体" w:hAnsi="宋体"/>
                <w:snapToGrid w:val="0"/>
                <w:kern w:val="0"/>
                <w:sz w:val="24"/>
                <w:szCs w:val="24"/>
              </w:rPr>
              <w:t>4另行计算地上核减建筑面积。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⑸相邻阳台（包括水平、上下及错落相邻）应采取措施解决相邻住宅单元间安全及视线干扰问题。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6.5</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宿舍建筑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6.5.1</w:t>
            </w:r>
          </w:p>
        </w:tc>
        <w:tc>
          <w:tcPr>
            <w:tcW w:w="8101" w:type="dxa"/>
          </w:tcPr>
          <w:p>
            <w:pPr>
              <w:tabs>
                <w:tab w:val="left" w:pos="1170"/>
              </w:tabs>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6.5.1.1</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⑴宿舍位置宜接近工作和学习地点，并宜靠近公用食堂、商业网点、公共浴室等方便生活的服务配套设施，其距离不宜大于</w:t>
            </w:r>
            <w:r>
              <w:rPr>
                <w:rFonts w:ascii="宋体" w:hAnsi="宋体"/>
                <w:snapToGrid w:val="0"/>
                <w:kern w:val="0"/>
                <w:sz w:val="24"/>
                <w:szCs w:val="24"/>
              </w:rPr>
              <w:t>250m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⑵建筑间距除满足日照要求外，还应满足《深圳市城市规划标准与准则》中有关非住宅建筑间距的控制要求。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⑶学生宿舍不宜与教学楼合建，男女生宿舍宜分区设置。</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⑷配套的公共服务设施出入口应与宿舍出入口分开设置。</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⑸每栋宿舍应设置一个（处）户内建筑面积不小于</w:t>
            </w:r>
            <w:r>
              <w:rPr>
                <w:rFonts w:ascii="宋体" w:hAnsi="宋体"/>
                <w:snapToGrid w:val="0"/>
                <w:kern w:val="0"/>
                <w:sz w:val="24"/>
                <w:szCs w:val="24"/>
              </w:rPr>
              <w:t>40㎡的公共活动室（空间）和一个</w:t>
            </w:r>
            <w:r>
              <w:rPr>
                <w:rFonts w:hint="eastAsia" w:ascii="宋体" w:hAnsi="宋体"/>
                <w:snapToGrid w:val="0"/>
                <w:kern w:val="0"/>
                <w:sz w:val="24"/>
                <w:szCs w:val="24"/>
              </w:rPr>
              <w:t>户内建筑面积不小于</w:t>
            </w:r>
            <w:r>
              <w:rPr>
                <w:rFonts w:ascii="宋体" w:hAnsi="宋体"/>
                <w:snapToGrid w:val="0"/>
                <w:kern w:val="0"/>
                <w:sz w:val="24"/>
                <w:szCs w:val="24"/>
              </w:rPr>
              <w:t>10㎡的管理室，管理室</w:t>
            </w:r>
            <w:r>
              <w:rPr>
                <w:rFonts w:hint="eastAsia" w:ascii="宋体" w:hAnsi="宋体"/>
                <w:snapToGrid w:val="0"/>
                <w:kern w:val="0"/>
                <w:sz w:val="24"/>
                <w:szCs w:val="24"/>
              </w:rPr>
              <w:t>宜设置在主要出入口处。</w:t>
            </w:r>
          </w:p>
          <w:p>
            <w:pPr>
              <w:tabs>
                <w:tab w:val="left" w:pos="1170"/>
              </w:tabs>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⑹宿舍居室不应布置在地下室。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6.5.1.2</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内天井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一般不宜采用内天井式平面布局，因采光通风需要而采用内天井式平面布局时，应符合</w:t>
            </w:r>
            <w:r>
              <w:rPr>
                <w:rFonts w:ascii="宋体" w:hAnsi="宋体"/>
                <w:snapToGrid w:val="0"/>
                <w:kern w:val="0"/>
                <w:sz w:val="24"/>
                <w:szCs w:val="24"/>
              </w:rPr>
              <w:t>6.4.1.2</w:t>
            </w:r>
            <w:r>
              <w:rPr>
                <w:rFonts w:hint="eastAsia" w:ascii="宋体" w:hAnsi="宋体"/>
                <w:snapToGrid w:val="0"/>
                <w:kern w:val="0"/>
                <w:sz w:val="24"/>
                <w:szCs w:val="24"/>
              </w:rPr>
              <w:t>⑵规定。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6.5.1.3</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凹槽</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⑴功能性凹槽开口的深度与宽度之比应不大于</w:t>
            </w:r>
            <w:r>
              <w:rPr>
                <w:rFonts w:ascii="宋体" w:hAnsi="宋体"/>
                <w:snapToGrid w:val="0"/>
                <w:kern w:val="0"/>
                <w:sz w:val="24"/>
                <w:szCs w:val="24"/>
              </w:rPr>
              <w:t>4，深度超过8m</w:t>
            </w:r>
            <w:r>
              <w:rPr>
                <w:rFonts w:hint="eastAsia" w:ascii="宋体" w:hAnsi="宋体"/>
                <w:snapToGrid w:val="0"/>
                <w:kern w:val="0"/>
                <w:sz w:val="24"/>
                <w:szCs w:val="24"/>
              </w:rPr>
              <w:t>时按内天井控制。</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⑵非功能性凹槽有</w:t>
            </w:r>
            <w:r>
              <w:rPr>
                <w:rFonts w:ascii="宋体" w:hAnsi="宋体"/>
                <w:snapToGrid w:val="0"/>
                <w:kern w:val="0"/>
                <w:sz w:val="24"/>
                <w:szCs w:val="24"/>
              </w:rPr>
              <w:t>3.1.6.1</w:t>
            </w:r>
            <w:r>
              <w:rPr>
                <w:rFonts w:hint="eastAsia" w:ascii="宋体" w:hAnsi="宋体"/>
                <w:snapToGrid w:val="0"/>
                <w:kern w:val="0"/>
                <w:sz w:val="24"/>
                <w:szCs w:val="24"/>
              </w:rPr>
              <w:t>所述情形的，其按层计算的总投影面积全部计入地上核减建筑面积。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6.5.1.4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⑴因结构需要设置的，作为三户（不含核心筒）及以上采光通风唯一来源的室外透空空间，其按层计算的投影面积可不计入地上核减建筑面积。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⑵非超高层的宿舍建筑因结构需要，</w:t>
            </w:r>
            <w:r>
              <w:rPr>
                <w:rFonts w:hint="eastAsia" w:ascii="宋体" w:hAnsi="宋体" w:cs="Times New Roman"/>
                <w:snapToGrid w:val="0"/>
                <w:kern w:val="0"/>
                <w:sz w:val="24"/>
                <w:szCs w:val="24"/>
              </w:rPr>
              <w:t>在</w:t>
            </w:r>
            <w:r>
              <w:rPr>
                <w:rFonts w:hint="eastAsia" w:ascii="宋体" w:hAnsi="宋体"/>
                <w:snapToGrid w:val="0"/>
                <w:kern w:val="0"/>
                <w:sz w:val="24"/>
                <w:szCs w:val="24"/>
              </w:rPr>
              <w:t>户与户之间、户与核心筒之间隔层设置，作为户内房间（均不含阳台）采光通风唯一来源的室外透空空间，其按层计算的总投影面积超过该层计规定建筑面积部分水平投影面积的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fldChar w:fldCharType="begin"/>
            </w:r>
            <w:r>
              <w:rPr>
                <w:rFonts w:ascii="宋体" w:hAnsi="宋体"/>
                <w:snapToGrid w:val="0"/>
                <w:kern w:val="0"/>
                <w:sz w:val="24"/>
                <w:szCs w:val="24"/>
              </w:rPr>
              <w:instrText xml:space="preserve"> </w:instrText>
            </w:r>
            <w:r>
              <w:rPr>
                <w:rFonts w:hint="eastAsia" w:ascii="宋体" w:hAnsi="宋体"/>
                <w:snapToGrid w:val="0"/>
                <w:kern w:val="0"/>
                <w:sz w:val="24"/>
                <w:szCs w:val="24"/>
              </w:rPr>
              <w:instrText xml:space="preserve">= 3 \* GB2</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hint="eastAsia" w:ascii="宋体" w:hAnsi="宋体"/>
                <w:snapToGrid w:val="0"/>
                <w:kern w:val="0"/>
                <w:sz w:val="24"/>
                <w:szCs w:val="24"/>
              </w:rPr>
              <w:t>⑶</w:t>
            </w:r>
            <w:r>
              <w:rPr>
                <w:rFonts w:ascii="宋体" w:hAnsi="宋体"/>
                <w:snapToGrid w:val="0"/>
                <w:kern w:val="0"/>
                <w:sz w:val="24"/>
                <w:szCs w:val="24"/>
              </w:rPr>
              <w:fldChar w:fldCharType="end"/>
            </w:r>
            <w:r>
              <w:rPr>
                <w:rFonts w:hint="eastAsia" w:ascii="宋体" w:hAnsi="宋体"/>
                <w:snapToGrid w:val="0"/>
                <w:kern w:val="0"/>
                <w:sz w:val="24"/>
                <w:szCs w:val="24"/>
              </w:rPr>
              <w:t>超高层宿舍建筑因结构需要，在户与户之间、户与核心筒之间合理设置，作为户内房间（均不含阳台）采光通风唯一来源的室外透空空间，其按层计算的总投影面积超过该层计规定建筑面积部分水平投影面积的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fldChar w:fldCharType="begin"/>
            </w:r>
            <w:r>
              <w:rPr>
                <w:rFonts w:ascii="宋体" w:hAnsi="宋体"/>
                <w:snapToGrid w:val="0"/>
                <w:kern w:val="0"/>
                <w:sz w:val="24"/>
                <w:szCs w:val="24"/>
              </w:rPr>
              <w:instrText xml:space="preserve"> </w:instrText>
            </w:r>
            <w:r>
              <w:rPr>
                <w:rFonts w:hint="eastAsia" w:ascii="宋体" w:hAnsi="宋体"/>
                <w:snapToGrid w:val="0"/>
                <w:kern w:val="0"/>
                <w:sz w:val="24"/>
                <w:szCs w:val="24"/>
              </w:rPr>
              <w:instrText xml:space="preserve">= 4 \* GB2</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hint="eastAsia" w:ascii="宋体" w:hAnsi="宋体"/>
                <w:snapToGrid w:val="0"/>
                <w:kern w:val="0"/>
                <w:sz w:val="24"/>
                <w:szCs w:val="24"/>
              </w:rPr>
              <w:t>⑷</w:t>
            </w:r>
            <w:r>
              <w:rPr>
                <w:rFonts w:ascii="宋体" w:hAnsi="宋体"/>
                <w:snapToGrid w:val="0"/>
                <w:kern w:val="0"/>
                <w:sz w:val="24"/>
                <w:szCs w:val="24"/>
              </w:rPr>
              <w:fldChar w:fldCharType="end"/>
            </w:r>
            <w:r>
              <w:rPr>
                <w:rFonts w:hint="eastAsia" w:ascii="宋体" w:hAnsi="宋体"/>
                <w:snapToGrid w:val="0"/>
                <w:kern w:val="0"/>
                <w:sz w:val="24"/>
                <w:szCs w:val="24"/>
              </w:rPr>
              <w:t>除上述三种情形外的其他室外透空空间，其按层计算的总投影面积全部计入地上核减建筑面积。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6.5.2</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6.5.2.1</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⑴单间式宿舍每个居室宜附设卫生间。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如因条件限制难以附设时，应每层集中设置公共厕所和公共盥洗室，且其卫生设备的数量应满足相关规范要求。</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⑵除食堂外，不得另行设置厨房。</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⑶单间式宿舍除阳台以外的户内建筑面积不得超过</w:t>
            </w:r>
            <w:r>
              <w:rPr>
                <w:rFonts w:ascii="宋体" w:hAnsi="宋体"/>
                <w:snapToGrid w:val="0"/>
                <w:kern w:val="0"/>
                <w:sz w:val="24"/>
                <w:szCs w:val="24"/>
              </w:rPr>
              <w:t>35</w:t>
            </w:r>
            <w:r>
              <w:rPr>
                <w:rFonts w:hint="eastAsia" w:ascii="宋体" w:hAnsi="宋体"/>
                <w:snapToGrid w:val="0"/>
                <w:kern w:val="0"/>
                <w:sz w:val="24"/>
                <w:szCs w:val="24"/>
              </w:rPr>
              <w:t>㎡，套间式宿舍不得超过</w:t>
            </w:r>
            <w:r>
              <w:rPr>
                <w:rFonts w:ascii="宋体" w:hAnsi="宋体"/>
                <w:snapToGrid w:val="0"/>
                <w:kern w:val="0"/>
                <w:sz w:val="24"/>
                <w:szCs w:val="24"/>
              </w:rPr>
              <w:t>70</w:t>
            </w:r>
            <w:r>
              <w:rPr>
                <w:rFonts w:hint="eastAsia" w:ascii="宋体" w:hAnsi="宋体"/>
                <w:snapToGrid w:val="0"/>
                <w:kern w:val="0"/>
                <w:sz w:val="24"/>
                <w:szCs w:val="24"/>
              </w:rPr>
              <w:t>㎡；且宗地内所有套间式宿舍规定建筑面积之和不得超过宿舍总规定建筑面积指标的</w:t>
            </w:r>
            <w:r>
              <w:rPr>
                <w:rFonts w:ascii="宋体" w:hAnsi="宋体"/>
                <w:snapToGrid w:val="0"/>
                <w:kern w:val="0"/>
                <w:sz w:val="24"/>
                <w:szCs w:val="24"/>
              </w:rPr>
              <w:t>30%</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⑷仅限单间式宿舍可设置双层床，套间式宿舍仅可设置单层床。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6.5.2.2</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宿舍建筑内部的室内透空空间，其按层计算的总投影面积全部计入地上核减建筑面积。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6.5.2.3</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首层作为</w:t>
            </w:r>
            <w:r>
              <w:rPr>
                <w:rFonts w:ascii="宋体" w:hAnsi="宋体"/>
                <w:snapToGrid w:val="0"/>
                <w:kern w:val="0"/>
                <w:sz w:val="24"/>
                <w:szCs w:val="24"/>
              </w:rPr>
              <w:t>公共活动室</w:t>
            </w:r>
            <w:r>
              <w:rPr>
                <w:rFonts w:hint="eastAsia" w:ascii="宋体" w:hAnsi="宋体"/>
                <w:snapToGrid w:val="0"/>
                <w:kern w:val="0"/>
                <w:sz w:val="24"/>
                <w:szCs w:val="24"/>
              </w:rPr>
              <w:t>层高超过</w:t>
            </w:r>
            <w:r>
              <w:rPr>
                <w:rFonts w:ascii="宋体" w:hAnsi="宋体"/>
                <w:snapToGrid w:val="0"/>
                <w:kern w:val="0"/>
                <w:sz w:val="24"/>
                <w:szCs w:val="24"/>
              </w:rPr>
              <w:t>6m，</w:t>
            </w:r>
            <w:r>
              <w:rPr>
                <w:rFonts w:hint="eastAsia" w:ascii="宋体" w:hAnsi="宋体"/>
                <w:snapToGrid w:val="0"/>
                <w:kern w:val="0"/>
                <w:sz w:val="24"/>
                <w:szCs w:val="24"/>
              </w:rPr>
              <w:t>或宿舍居室采用单层床层高超过</w:t>
            </w:r>
            <w:r>
              <w:rPr>
                <w:rFonts w:ascii="宋体" w:hAnsi="宋体"/>
                <w:snapToGrid w:val="0"/>
                <w:kern w:val="0"/>
                <w:sz w:val="24"/>
                <w:szCs w:val="24"/>
              </w:rPr>
              <w:t>3.3m</w:t>
            </w:r>
            <w:r>
              <w:rPr>
                <w:rFonts w:hint="eastAsia" w:ascii="宋体" w:hAnsi="宋体"/>
                <w:snapToGrid w:val="0"/>
                <w:kern w:val="0"/>
                <w:sz w:val="24"/>
                <w:szCs w:val="24"/>
              </w:rPr>
              <w:t>、采用双层床层高超过</w:t>
            </w:r>
            <w:r>
              <w:rPr>
                <w:rFonts w:ascii="宋体" w:hAnsi="宋体"/>
                <w:snapToGrid w:val="0"/>
                <w:kern w:val="0"/>
                <w:sz w:val="24"/>
                <w:szCs w:val="24"/>
              </w:rPr>
              <w:t>3.9m</w:t>
            </w:r>
            <w:r>
              <w:rPr>
                <w:rFonts w:hint="eastAsia" w:ascii="宋体" w:hAnsi="宋体"/>
                <w:snapToGrid w:val="0"/>
                <w:kern w:val="0"/>
                <w:sz w:val="24"/>
                <w:szCs w:val="24"/>
              </w:rPr>
              <w:t>时，按</w:t>
            </w:r>
            <w:r>
              <w:rPr>
                <w:rFonts w:ascii="宋体" w:hAnsi="宋体"/>
                <w:snapToGrid w:val="0"/>
                <w:kern w:val="0"/>
                <w:sz w:val="24"/>
                <w:szCs w:val="24"/>
              </w:rPr>
              <w:t>3.1.6.4</w:t>
            </w:r>
            <w:r>
              <w:rPr>
                <w:rFonts w:hint="eastAsia" w:ascii="宋体" w:hAnsi="宋体"/>
                <w:snapToGrid w:val="0"/>
                <w:kern w:val="0"/>
                <w:sz w:val="24"/>
                <w:szCs w:val="24"/>
              </w:rPr>
              <w:t>公式</w:t>
            </w:r>
            <w:r>
              <w:rPr>
                <w:rFonts w:ascii="宋体" w:hAnsi="宋体"/>
                <w:snapToGrid w:val="0"/>
                <w:kern w:val="0"/>
                <w:sz w:val="24"/>
                <w:szCs w:val="24"/>
              </w:rPr>
              <w:t>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2.2m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6.5.2.4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⑴计一半面积且无必要交通功能的公共阳台，还需按其规定建筑面积的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此外，两户及以下使用的多层高外走廊以及无必要交通功能的多层高公共阳台，其上部空间按层计算的总投影面积按</w:t>
            </w:r>
            <w:r>
              <w:rPr>
                <w:rFonts w:ascii="宋体" w:hAnsi="宋体"/>
                <w:snapToGrid w:val="0"/>
                <w:kern w:val="0"/>
                <w:sz w:val="24"/>
                <w:szCs w:val="24"/>
              </w:rPr>
              <w:t>3.1.6.6公式4另行计算地上核减建筑面积。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⑵户内计一半面积的阳台总投影面积（含与其相连的花池、空调机位等平台）超过</w:t>
            </w:r>
            <w:r>
              <w:rPr>
                <w:rFonts w:ascii="宋体" w:hAnsi="宋体"/>
                <w:snapToGrid w:val="0"/>
                <w:kern w:val="0"/>
                <w:sz w:val="24"/>
                <w:szCs w:val="24"/>
              </w:rPr>
              <w:t>6㎡</w:t>
            </w:r>
            <w:r>
              <w:rPr>
                <w:rFonts w:hint="eastAsia" w:ascii="宋体" w:hAnsi="宋体"/>
                <w:snapToGrid w:val="0"/>
                <w:kern w:val="0"/>
                <w:sz w:val="24"/>
                <w:szCs w:val="24"/>
              </w:rPr>
              <w:t>，且超过该户除阳台以外户内建筑面积的</w:t>
            </w:r>
            <w:r>
              <w:rPr>
                <w:rFonts w:ascii="宋体" w:hAnsi="宋体"/>
                <w:snapToGrid w:val="0"/>
                <w:kern w:val="0"/>
                <w:sz w:val="24"/>
                <w:szCs w:val="24"/>
              </w:rPr>
              <w:t>15%</w:t>
            </w:r>
            <w:r>
              <w:rPr>
                <w:rFonts w:hint="eastAsia" w:ascii="宋体" w:hAnsi="宋体"/>
                <w:snapToGrid w:val="0"/>
                <w:kern w:val="0"/>
                <w:sz w:val="24"/>
                <w:szCs w:val="24"/>
              </w:rPr>
              <w:t>时，按</w:t>
            </w:r>
            <w:r>
              <w:rPr>
                <w:rFonts w:ascii="宋体" w:hAnsi="宋体"/>
                <w:snapToGrid w:val="0"/>
                <w:kern w:val="0"/>
                <w:sz w:val="24"/>
                <w:szCs w:val="24"/>
              </w:rPr>
              <w:t>3.1.6.5</w:t>
            </w:r>
            <w:r>
              <w:rPr>
                <w:rFonts w:hint="eastAsia" w:ascii="宋体" w:hAnsi="宋体"/>
                <w:snapToGrid w:val="0"/>
                <w:kern w:val="0"/>
                <w:sz w:val="24"/>
                <w:szCs w:val="24"/>
              </w:rPr>
              <w:t>⑴公式</w:t>
            </w:r>
            <w:r>
              <w:rPr>
                <w:rFonts w:ascii="宋体" w:hAnsi="宋体"/>
                <w:snapToGrid w:val="0"/>
                <w:kern w:val="0"/>
                <w:sz w:val="24"/>
                <w:szCs w:val="24"/>
              </w:rPr>
              <w:t>3</w:t>
            </w:r>
            <w:r>
              <w:rPr>
                <w:rFonts w:hint="eastAsia" w:ascii="宋体" w:hAnsi="宋体"/>
                <w:snapToGrid w:val="0"/>
                <w:kern w:val="0"/>
                <w:sz w:val="24"/>
                <w:szCs w:val="24"/>
              </w:rPr>
              <w:t>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⑶户内多层高阳台上部空间按层计算的总投影面积，按</w:t>
            </w:r>
            <w:r>
              <w:rPr>
                <w:rFonts w:ascii="宋体" w:hAnsi="宋体"/>
                <w:snapToGrid w:val="0"/>
                <w:kern w:val="0"/>
                <w:sz w:val="24"/>
                <w:szCs w:val="24"/>
              </w:rPr>
              <w:t>3.1.6.6公式4另行计算地上核减建筑面积。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6.6</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8"/>
                <w:szCs w:val="28"/>
              </w:rPr>
              <w:t>办公建筑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6.6.1</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6.6.1.1</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spacing w:val="-8"/>
                <w:kern w:val="0"/>
                <w:sz w:val="24"/>
                <w:szCs w:val="24"/>
              </w:rPr>
              <w:t>主要立面应具备公共建筑的外立面形式和建筑特点，不得设置不计面积的凸窗，临城市主、次干道或重要景观一侧的外立面不得设置任何形式的凸阳台。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w:t>
            </w:r>
            <w:r>
              <w:rPr>
                <w:rFonts w:hint="eastAsia" w:ascii="宋体" w:hAnsi="宋体"/>
                <w:b/>
                <w:snapToGrid w:val="0"/>
                <w:kern w:val="0"/>
                <w:sz w:val="24"/>
                <w:szCs w:val="24"/>
              </w:rPr>
              <w:t>6</w:t>
            </w:r>
            <w:r>
              <w:rPr>
                <w:rFonts w:ascii="宋体" w:hAnsi="宋体"/>
                <w:b/>
                <w:snapToGrid w:val="0"/>
                <w:kern w:val="0"/>
                <w:sz w:val="24"/>
                <w:szCs w:val="24"/>
              </w:rPr>
              <w:t>.1.</w:t>
            </w:r>
            <w:r>
              <w:rPr>
                <w:rFonts w:hint="eastAsia" w:ascii="宋体" w:hAnsi="宋体"/>
                <w:b/>
                <w:snapToGrid w:val="0"/>
                <w:kern w:val="0"/>
                <w:sz w:val="24"/>
                <w:szCs w:val="24"/>
              </w:rPr>
              <w:t>2</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abs>
                <w:tab w:val="left" w:pos="1170"/>
              </w:tabs>
              <w:topLinePunct/>
              <w:snapToGrid w:val="0"/>
              <w:spacing w:before="211" w:beforeLines="50"/>
              <w:rPr>
                <w:rFonts w:ascii="宋体" w:hAnsi="宋体"/>
                <w:snapToGrid w:val="0"/>
                <w:kern w:val="0"/>
                <w:sz w:val="24"/>
                <w:szCs w:val="24"/>
              </w:rPr>
            </w:pPr>
            <w:r>
              <w:rPr>
                <w:rFonts w:ascii="宋体" w:hAnsi="宋体"/>
                <w:snapToGrid w:val="0"/>
                <w:kern w:val="0"/>
                <w:sz w:val="24"/>
                <w:szCs w:val="24"/>
              </w:rPr>
              <w:t>内天井</w:t>
            </w:r>
            <w:r>
              <w:rPr>
                <w:rFonts w:hint="eastAsia" w:ascii="宋体" w:hAnsi="宋体"/>
                <w:snapToGrid w:val="0"/>
                <w:kern w:val="0"/>
                <w:sz w:val="24"/>
                <w:szCs w:val="24"/>
              </w:rPr>
              <w:t>的最小短边24m；以及用于围合内天井四周建筑的最小进深均不应小于15</w:t>
            </w:r>
            <w:r>
              <w:rPr>
                <w:rFonts w:ascii="宋体" w:hAnsi="宋体"/>
                <w:snapToGrid w:val="0"/>
                <w:kern w:val="0"/>
                <w:sz w:val="24"/>
                <w:szCs w:val="24"/>
              </w:rPr>
              <w:t>m</w:t>
            </w:r>
            <w:r>
              <w:rPr>
                <w:rFonts w:hint="eastAsia" w:ascii="宋体" w:hAnsi="宋体"/>
                <w:snapToGrid w:val="0"/>
                <w:kern w:val="0"/>
                <w:sz w:val="24"/>
                <w:szCs w:val="24"/>
              </w:rPr>
              <w:t>，否则应按</w:t>
            </w:r>
            <w:r>
              <w:rPr>
                <w:rFonts w:ascii="宋体" w:hAnsi="宋体"/>
                <w:snapToGrid w:val="0"/>
                <w:kern w:val="0"/>
                <w:sz w:val="24"/>
                <w:szCs w:val="24"/>
              </w:rPr>
              <w:t>6.6.2.2</w:t>
            </w:r>
            <w:r>
              <w:rPr>
                <w:rFonts w:hint="eastAsia" w:ascii="宋体" w:hAnsi="宋体"/>
                <w:snapToGrid w:val="0"/>
                <w:kern w:val="0"/>
                <w:sz w:val="24"/>
                <w:szCs w:val="24"/>
              </w:rPr>
              <w:t>室内透空空间的相关要求控制。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6.6.1.3</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凹槽</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严格限制外墙凹槽的设置，因建筑造型需设置面宽5米以内的凹槽，凹槽面宽与进深之比应≥2；凹槽面宽与进深之比小于2的，按层计算的凹槽部分投影面积全部计入地上核减建筑面积。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6.6.1.4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⑴超高层办公建筑外围设置的任何室外透空空间，其按层计算的总投影面积全部计入地上核减建筑面积。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⑵非超高层办公建筑在户内房间与房间之间设置的任何室外透空空间，其按层计算的总投影面积全部计入地上核减建筑面积。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⑶因造型或结构需要，非超高层办公建筑在户与户之间、户与核心筒之间合理设置的室外透空空间，其按层计算的总投影面积超过该层计规定建筑面积部分水平投影面积的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6.6.2</w:t>
            </w:r>
          </w:p>
        </w:tc>
        <w:tc>
          <w:tcPr>
            <w:tcW w:w="8101" w:type="dxa"/>
          </w:tcPr>
          <w:p>
            <w:pPr>
              <w:tabs>
                <w:tab w:val="left" w:pos="1170"/>
              </w:tabs>
              <w:topLinePunct/>
              <w:snapToGrid w:val="0"/>
              <w:spacing w:before="211" w:beforeLines="50"/>
              <w:rPr>
                <w:rFonts w:ascii="宋体" w:hAnsi="宋体"/>
                <w:snapToGrid w:val="0"/>
                <w:kern w:val="0"/>
                <w:sz w:val="24"/>
                <w:szCs w:val="24"/>
              </w:rPr>
            </w:pPr>
            <w:r>
              <w:rPr>
                <w:rFonts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6.6.2.1</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⑴营业厅、营销展厅、咖啡厅、厨房、餐厅、职工食堂等建筑功能的建筑面积不得占用《建设用地规划许可证》中的办公功能规定建筑面积指标。</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⑵办公建筑不得设计为住宅的户型形式。</w:t>
            </w:r>
          </w:p>
          <w:p>
            <w:pPr>
              <w:tabs>
                <w:tab w:val="left" w:pos="1170"/>
              </w:tabs>
              <w:topLinePunct/>
              <w:snapToGrid w:val="0"/>
              <w:spacing w:before="211" w:beforeLines="50"/>
              <w:rPr>
                <w:rFonts w:ascii="宋体" w:hAnsi="宋体"/>
                <w:snapToGrid w:val="0"/>
                <w:color w:val="FF0000"/>
                <w:kern w:val="0"/>
                <w:sz w:val="24"/>
                <w:szCs w:val="24"/>
                <w:highlight w:val="yellow"/>
              </w:rPr>
            </w:pPr>
            <w:r>
              <w:rPr>
                <w:rFonts w:hint="eastAsia" w:ascii="宋体" w:hAnsi="宋体"/>
                <w:snapToGrid w:val="0"/>
                <w:kern w:val="0"/>
                <w:sz w:val="24"/>
                <w:szCs w:val="24"/>
              </w:rPr>
              <w:t>⑶单栋办公建筑同一楼层内，设有套内专用卫生间和茶水间的办公用房总建筑面积不得超过该楼层建筑面积的三分之一；套内建筑面积≤150</w:t>
            </w:r>
            <w:r>
              <w:rPr>
                <w:rFonts w:ascii="宋体" w:hAnsi="宋体"/>
                <w:snapToGrid w:val="0"/>
                <w:kern w:val="0"/>
                <w:sz w:val="24"/>
                <w:szCs w:val="24"/>
              </w:rPr>
              <w:t>㎡</w:t>
            </w:r>
            <w:r>
              <w:rPr>
                <w:rFonts w:hint="eastAsia" w:ascii="宋体" w:hAnsi="宋体"/>
                <w:snapToGrid w:val="0"/>
                <w:kern w:val="0"/>
                <w:sz w:val="24"/>
                <w:szCs w:val="24"/>
              </w:rPr>
              <w:t>的单套办公用房建筑面积之和，不得超过该层办公建筑面积的二分之一。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6.6.2.2</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abs>
                <w:tab w:val="left" w:pos="1170"/>
              </w:tabs>
              <w:topLinePunct/>
              <w:snapToGrid w:val="0"/>
              <w:spacing w:before="211" w:beforeLines="50"/>
              <w:rPr>
                <w:rFonts w:ascii="宋体" w:hAnsi="宋体"/>
                <w:snapToGrid w:val="0"/>
                <w:spacing w:val="-6"/>
                <w:kern w:val="0"/>
                <w:sz w:val="24"/>
                <w:szCs w:val="24"/>
              </w:rPr>
            </w:pPr>
            <w:r>
              <w:rPr>
                <w:rFonts w:hint="eastAsia" w:ascii="宋体" w:hAnsi="宋体"/>
                <w:snapToGrid w:val="0"/>
                <w:spacing w:val="-6"/>
                <w:kern w:val="0"/>
                <w:sz w:val="24"/>
                <w:szCs w:val="24"/>
              </w:rPr>
              <w:t>仅限</w:t>
            </w:r>
            <w:r>
              <w:rPr>
                <w:rFonts w:ascii="宋体" w:hAnsi="宋体"/>
                <w:snapToGrid w:val="0"/>
                <w:spacing w:val="-6"/>
                <w:kern w:val="0"/>
                <w:sz w:val="24"/>
                <w:szCs w:val="24"/>
              </w:rPr>
              <w:t>门厅、</w:t>
            </w:r>
            <w:r>
              <w:rPr>
                <w:rFonts w:hint="eastAsia" w:ascii="宋体" w:hAnsi="宋体"/>
                <w:snapToGrid w:val="0"/>
                <w:spacing w:val="-6"/>
                <w:kern w:val="0"/>
                <w:sz w:val="24"/>
                <w:szCs w:val="24"/>
              </w:rPr>
              <w:t>中庭、大堂（</w:t>
            </w:r>
            <w:r>
              <w:rPr>
                <w:rFonts w:ascii="宋体" w:hAnsi="宋体"/>
                <w:snapToGrid w:val="0"/>
                <w:spacing w:val="-6"/>
                <w:kern w:val="0"/>
                <w:sz w:val="24"/>
                <w:szCs w:val="24"/>
              </w:rPr>
              <w:t>含空中大堂</w:t>
            </w:r>
            <w:r>
              <w:rPr>
                <w:rFonts w:hint="eastAsia" w:ascii="宋体" w:hAnsi="宋体"/>
                <w:snapToGrid w:val="0"/>
                <w:spacing w:val="-6"/>
                <w:kern w:val="0"/>
                <w:sz w:val="24"/>
                <w:szCs w:val="24"/>
              </w:rPr>
              <w:t>）、公共阳台及水平投影面积超过</w:t>
            </w:r>
            <w:r>
              <w:rPr>
                <w:rFonts w:ascii="宋体" w:hAnsi="宋体"/>
                <w:snapToGrid w:val="0"/>
                <w:spacing w:val="-6"/>
                <w:kern w:val="0"/>
                <w:sz w:val="24"/>
                <w:szCs w:val="24"/>
              </w:rPr>
              <w:t>150</w:t>
            </w:r>
            <w:r>
              <w:rPr>
                <w:rFonts w:hint="eastAsia" w:ascii="宋体" w:hAnsi="宋体" w:cs="宋体"/>
                <w:snapToGrid w:val="0"/>
                <w:spacing w:val="-6"/>
                <w:kern w:val="0"/>
                <w:sz w:val="24"/>
                <w:szCs w:val="24"/>
              </w:rPr>
              <w:t>㎡</w:t>
            </w:r>
            <w:r>
              <w:rPr>
                <w:rFonts w:hint="eastAsia" w:ascii="宋体" w:hAnsi="宋体"/>
                <w:snapToGrid w:val="0"/>
                <w:spacing w:val="-6"/>
                <w:kern w:val="0"/>
                <w:sz w:val="24"/>
                <w:szCs w:val="24"/>
              </w:rPr>
              <w:t>的多功能厅、会议厅等可设置室内透空空间，其按层计算的总投影面积超过以下相应规模</w:t>
            </w:r>
            <w:r>
              <w:rPr>
                <w:rFonts w:hint="eastAsia" w:ascii="宋体" w:hAnsi="宋体" w:cs="宋体"/>
                <w:snapToGrid w:val="0"/>
                <w:spacing w:val="-6"/>
                <w:kern w:val="0"/>
                <w:sz w:val="24"/>
                <w:szCs w:val="24"/>
              </w:rPr>
              <w:t>建筑</w:t>
            </w:r>
            <w:r>
              <w:rPr>
                <w:rFonts w:hint="eastAsia" w:ascii="宋体" w:hAnsi="宋体"/>
                <w:snapToGrid w:val="0"/>
                <w:spacing w:val="-6"/>
                <w:kern w:val="0"/>
                <w:sz w:val="24"/>
                <w:szCs w:val="24"/>
              </w:rPr>
              <w:t>室内透空空间面积限值时，按</w:t>
            </w:r>
            <w:r>
              <w:rPr>
                <w:rFonts w:ascii="宋体" w:hAnsi="宋体"/>
                <w:snapToGrid w:val="0"/>
                <w:spacing w:val="-6"/>
                <w:kern w:val="0"/>
                <w:sz w:val="24"/>
                <w:szCs w:val="24"/>
              </w:rPr>
              <w:t>3.1.6.3⑴</w:t>
            </w:r>
            <w:r>
              <w:rPr>
                <w:rFonts w:hint="eastAsia" w:ascii="宋体" w:hAnsi="宋体"/>
                <w:snapToGrid w:val="0"/>
                <w:spacing w:val="-6"/>
                <w:kern w:val="0"/>
                <w:sz w:val="24"/>
                <w:szCs w:val="24"/>
              </w:rPr>
              <w:t>公式</w:t>
            </w:r>
            <w:r>
              <w:rPr>
                <w:rFonts w:ascii="宋体" w:hAnsi="宋体"/>
                <w:snapToGrid w:val="0"/>
                <w:spacing w:val="-6"/>
                <w:kern w:val="0"/>
                <w:sz w:val="24"/>
                <w:szCs w:val="24"/>
              </w:rPr>
              <w:t>1另行计算地上核减建筑面积。</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10%</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⑵当</w:t>
            </w:r>
            <w:r>
              <w:rPr>
                <w:rFonts w:ascii="宋体" w:hAnsi="宋体"/>
                <w:snapToGrid w:val="0"/>
                <w:kern w:val="0"/>
                <w:sz w:val="24"/>
                <w:szCs w:val="24"/>
              </w:rPr>
              <w:t>50000</w:t>
            </w:r>
            <w:r>
              <w:rPr>
                <w:rFonts w:hint="eastAsia" w:ascii="宋体" w:hAnsi="宋体"/>
                <w:snapToGrid w:val="0"/>
                <w:kern w:val="0"/>
                <w:sz w:val="24"/>
                <w:szCs w:val="24"/>
              </w:rPr>
              <w:t>＜</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100000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snapToGrid w:val="0"/>
                <w:kern w:val="0"/>
                <w:sz w:val="24"/>
                <w:szCs w:val="24"/>
              </w:rPr>
              <w:t>×</w:t>
            </w:r>
            <w:r>
              <w:rPr>
                <w:rFonts w:ascii="宋体" w:hAnsi="宋体"/>
                <w:snapToGrid w:val="0"/>
                <w:kern w:val="0"/>
                <w:sz w:val="24"/>
                <w:szCs w:val="24"/>
              </w:rPr>
              <w:t>10%＋（S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rPr>
              <w:t>5%</w:t>
            </w:r>
            <w:r>
              <w:rPr>
                <w:rFonts w:hint="eastAsia" w:ascii="宋体" w:hAnsi="宋体"/>
                <w:snapToGrid w:val="0"/>
                <w:kern w:val="0"/>
                <w:sz w:val="24"/>
                <w:szCs w:val="24"/>
              </w:rPr>
              <w:t>。</w:t>
            </w:r>
          </w:p>
          <w:p>
            <w:pPr>
              <w:pStyle w:val="38"/>
              <w:numPr>
                <w:ilvl w:val="0"/>
                <w:numId w:val="4"/>
              </w:numPr>
              <w:tabs>
                <w:tab w:val="left" w:pos="1170"/>
              </w:tabs>
              <w:topLinePunct/>
              <w:snapToGrid w:val="0"/>
              <w:spacing w:before="211" w:beforeLines="50"/>
              <w:ind w:firstLineChars="0"/>
              <w:rPr>
                <w:rFonts w:ascii="宋体" w:hAnsi="宋体"/>
                <w:snapToGrid w:val="0"/>
                <w:kern w:val="0"/>
                <w:sz w:val="24"/>
                <w:szCs w:val="24"/>
              </w:rPr>
            </w:pPr>
            <w:r>
              <w:rPr>
                <w:rFonts w:hint="eastAsia" w:ascii="宋体" w:hAnsi="宋体"/>
                <w:snapToGrid w:val="0"/>
                <w:kern w:val="0"/>
                <w:sz w:val="24"/>
                <w:szCs w:val="24"/>
              </w:rPr>
              <w:t>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100000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snapToGrid w:val="0"/>
                <w:kern w:val="0"/>
                <w:sz w:val="24"/>
                <w:szCs w:val="24"/>
              </w:rPr>
              <w:t>×</w:t>
            </w:r>
            <w:r>
              <w:rPr>
                <w:rFonts w:ascii="宋体" w:hAnsi="宋体"/>
                <w:snapToGrid w:val="0"/>
                <w:kern w:val="0"/>
                <w:sz w:val="24"/>
                <w:szCs w:val="24"/>
              </w:rPr>
              <w:t>10%＋50000</w:t>
            </w:r>
            <w:r>
              <w:rPr>
                <w:rFonts w:hint="eastAsia" w:ascii="宋体" w:hAnsi="宋体"/>
                <w:snapToGrid w:val="0"/>
                <w:kern w:val="0"/>
                <w:sz w:val="24"/>
                <w:szCs w:val="24"/>
              </w:rPr>
              <w:t>×</w:t>
            </w:r>
            <w:r>
              <w:rPr>
                <w:rFonts w:ascii="宋体" w:hAnsi="宋体"/>
                <w:snapToGrid w:val="0"/>
                <w:kern w:val="0"/>
                <w:sz w:val="24"/>
                <w:szCs w:val="24"/>
              </w:rPr>
              <w:t>5%＋（S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100000</w:t>
            </w:r>
            <w:r>
              <w:rPr>
                <w:rFonts w:hint="eastAsia" w:ascii="宋体" w:hAnsi="宋体" w:cs="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rPr>
              <w:t>3%</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其中</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为本栋办公功能建筑面积，</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为室内透空面积限值，单位为</w:t>
            </w:r>
            <w:r>
              <w:rPr>
                <w:rFonts w:hint="eastAsia" w:ascii="宋体" w:hAnsi="宋体" w:cs="宋体"/>
                <w:snapToGrid w:val="0"/>
                <w:kern w:val="0"/>
                <w:sz w:val="24"/>
                <w:szCs w:val="24"/>
              </w:rPr>
              <w:t>㎡</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6.6.2.3</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abs>
                <w:tab w:val="left" w:pos="1170"/>
              </w:tabs>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首层层高超过</w:t>
            </w:r>
            <w:r>
              <w:rPr>
                <w:rFonts w:ascii="宋体" w:hAnsi="宋体"/>
                <w:snapToGrid w:val="0"/>
                <w:kern w:val="0"/>
                <w:sz w:val="24"/>
                <w:szCs w:val="24"/>
              </w:rPr>
              <w:t>6m</w:t>
            </w:r>
            <w:r>
              <w:rPr>
                <w:rFonts w:hint="eastAsia" w:ascii="宋体" w:hAnsi="宋体"/>
                <w:snapToGrid w:val="0"/>
                <w:kern w:val="0"/>
                <w:sz w:val="24"/>
                <w:szCs w:val="24"/>
              </w:rPr>
              <w:t>，或二层及以上层高超过</w:t>
            </w:r>
            <w:r>
              <w:rPr>
                <w:rFonts w:ascii="宋体" w:hAnsi="宋体"/>
                <w:snapToGrid w:val="0"/>
                <w:kern w:val="0"/>
                <w:sz w:val="24"/>
                <w:szCs w:val="24"/>
              </w:rPr>
              <w:t>4.5m</w:t>
            </w:r>
            <w:r>
              <w:rPr>
                <w:rFonts w:hint="eastAsia" w:ascii="宋体" w:hAnsi="宋体"/>
                <w:snapToGrid w:val="0"/>
                <w:kern w:val="0"/>
                <w:sz w:val="24"/>
                <w:szCs w:val="24"/>
              </w:rPr>
              <w:t>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2.2m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6.6.2.4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计一半面积的阳台（含公共阳台）总投影面积之和（含与其相连的花池、空调机位等平台），超过本栋办公功能规定建筑面积的</w:t>
            </w:r>
            <w:r>
              <w:rPr>
                <w:rFonts w:ascii="宋体" w:hAnsi="宋体"/>
                <w:snapToGrid w:val="0"/>
                <w:kern w:val="0"/>
                <w:sz w:val="24"/>
                <w:szCs w:val="24"/>
              </w:rPr>
              <w:t>5%</w:t>
            </w:r>
            <w:r>
              <w:rPr>
                <w:rFonts w:hint="eastAsia" w:ascii="宋体" w:hAnsi="宋体"/>
                <w:snapToGrid w:val="0"/>
                <w:kern w:val="0"/>
                <w:sz w:val="24"/>
                <w:szCs w:val="24"/>
              </w:rPr>
              <w:t>时，按</w:t>
            </w:r>
            <w:r>
              <w:rPr>
                <w:rFonts w:ascii="宋体" w:hAnsi="宋体"/>
                <w:snapToGrid w:val="0"/>
                <w:kern w:val="0"/>
                <w:sz w:val="24"/>
                <w:szCs w:val="24"/>
              </w:rPr>
              <w:t>3.1.6.5</w:t>
            </w:r>
            <w:r>
              <w:rPr>
                <w:rFonts w:hint="eastAsia" w:ascii="宋体" w:hAnsi="宋体"/>
                <w:snapToGrid w:val="0"/>
                <w:kern w:val="0"/>
                <w:sz w:val="24"/>
                <w:szCs w:val="24"/>
              </w:rPr>
              <w:t>⑴公式</w:t>
            </w:r>
            <w:r>
              <w:rPr>
                <w:rFonts w:ascii="宋体" w:hAnsi="宋体"/>
                <w:snapToGrid w:val="0"/>
                <w:kern w:val="0"/>
                <w:sz w:val="24"/>
                <w:szCs w:val="24"/>
              </w:rPr>
              <w:t>3</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6.8</w:t>
            </w:r>
          </w:p>
        </w:tc>
        <w:tc>
          <w:tcPr>
            <w:tcW w:w="8101" w:type="dxa"/>
          </w:tcPr>
          <w:p>
            <w:pPr>
              <w:topLinePunct/>
              <w:snapToGrid w:val="0"/>
              <w:spacing w:before="211" w:beforeLines="50"/>
              <w:rPr>
                <w:rFonts w:ascii="宋体" w:hAnsi="宋体"/>
                <w:snapToGrid w:val="0"/>
                <w:kern w:val="0"/>
                <w:sz w:val="24"/>
                <w:szCs w:val="24"/>
              </w:rPr>
            </w:pPr>
            <w:r>
              <w:rPr>
                <w:rFonts w:ascii="宋体" w:hAnsi="宋体"/>
                <w:b/>
                <w:snapToGrid w:val="0"/>
                <w:kern w:val="0"/>
                <w:sz w:val="28"/>
                <w:szCs w:val="28"/>
              </w:rPr>
              <w:t>商业建筑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如设置厨房，必须设计专有烟道并保证烟气经处理后达标排放。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6.8.1.2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opLinePunct/>
              <w:snapToGrid w:val="0"/>
              <w:spacing w:before="211" w:beforeLines="50"/>
              <w:rPr>
                <w:rFonts w:ascii="宋体" w:hAnsi="宋体"/>
                <w:snapToGrid w:val="0"/>
                <w:kern w:val="0"/>
                <w:sz w:val="24"/>
                <w:szCs w:val="24"/>
              </w:rPr>
            </w:pPr>
            <w:r>
              <w:rPr>
                <w:rFonts w:ascii="宋体" w:hAnsi="宋体"/>
                <w:snapToGrid w:val="0"/>
                <w:kern w:val="0"/>
                <w:sz w:val="24"/>
                <w:szCs w:val="24"/>
              </w:rPr>
              <w:t>内天井</w:t>
            </w:r>
            <w:r>
              <w:rPr>
                <w:rFonts w:hint="eastAsia" w:ascii="宋体" w:hAnsi="宋体"/>
                <w:snapToGrid w:val="0"/>
                <w:kern w:val="0"/>
                <w:sz w:val="24"/>
                <w:szCs w:val="24"/>
              </w:rPr>
              <w:t>的最小短边24m；用于围合内天井四周建筑的最小进深均不应小于15</w:t>
            </w:r>
            <w:r>
              <w:rPr>
                <w:rFonts w:ascii="宋体" w:hAnsi="宋体"/>
                <w:snapToGrid w:val="0"/>
                <w:kern w:val="0"/>
                <w:sz w:val="24"/>
                <w:szCs w:val="24"/>
              </w:rPr>
              <w:t>m</w:t>
            </w:r>
            <w:r>
              <w:rPr>
                <w:rFonts w:hint="eastAsia" w:ascii="宋体" w:hAnsi="宋体"/>
                <w:snapToGrid w:val="0"/>
                <w:kern w:val="0"/>
                <w:sz w:val="24"/>
                <w:szCs w:val="24"/>
              </w:rPr>
              <w:t>，否则应按</w:t>
            </w:r>
            <w:r>
              <w:rPr>
                <w:rFonts w:ascii="宋体" w:hAnsi="宋体"/>
                <w:snapToGrid w:val="0"/>
                <w:kern w:val="0"/>
                <w:sz w:val="24"/>
                <w:szCs w:val="24"/>
              </w:rPr>
              <w:t>6.8.2.1</w:t>
            </w:r>
            <w:r>
              <w:rPr>
                <w:rFonts w:hint="eastAsia" w:ascii="宋体" w:hAnsi="宋体"/>
                <w:snapToGrid w:val="0"/>
                <w:kern w:val="0"/>
                <w:sz w:val="24"/>
                <w:szCs w:val="24"/>
              </w:rPr>
              <w:t>室内透空空间的相关要求控制。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6.8.1.</w:t>
            </w:r>
            <w:r>
              <w:rPr>
                <w:rFonts w:hint="eastAsia" w:ascii="宋体" w:hAnsi="宋体"/>
                <w:b/>
                <w:snapToGrid w:val="0"/>
                <w:kern w:val="0"/>
                <w:sz w:val="24"/>
                <w:szCs w:val="24"/>
              </w:rPr>
              <w:t>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⑴户内房间与房间之间设置的任何室外透空空间，其按层计算的总投影面积全部计入地上核减建筑面积。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⑵因造型或结构需要，在户与户之间、户与核心筒之间合理设置的室外透空空间，其按层计算的总投影面积超过该层计规定建筑面积部分水平投影面积的</w:t>
            </w:r>
            <w:r>
              <w:rPr>
                <w:rFonts w:ascii="宋体" w:hAnsi="宋体"/>
                <w:snapToGrid w:val="0"/>
                <w:kern w:val="0"/>
                <w:sz w:val="24"/>
                <w:szCs w:val="24"/>
              </w:rPr>
              <w:t>3%</w:t>
            </w:r>
            <w:r>
              <w:rPr>
                <w:rFonts w:hint="eastAsia" w:ascii="宋体" w:hAnsi="宋体"/>
                <w:snapToGrid w:val="0"/>
                <w:kern w:val="0"/>
                <w:sz w:val="24"/>
                <w:szCs w:val="24"/>
              </w:rPr>
              <w:t>时，全部计入地上核减建筑面积。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⑴相同建筑功能的大堂（门厅）应集中合并设置。</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⑵商业用房各层之间原则上应设置扶手电梯或梯段宽度不小于2.4米的开放式楼梯；对于包含有商业功能的综合楼，商业用房原则上应在裙楼内集中布置。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ind w:left="1080" w:hanging="1080" w:hangingChars="450"/>
              <w:rPr>
                <w:rFonts w:ascii="宋体" w:hAnsi="宋体"/>
                <w:snapToGrid w:val="0"/>
                <w:kern w:val="0"/>
                <w:sz w:val="24"/>
                <w:szCs w:val="24"/>
              </w:rPr>
            </w:pPr>
            <w:r>
              <w:rPr>
                <w:rFonts w:hint="eastAsia" w:ascii="宋体" w:hAnsi="宋体"/>
                <w:snapToGrid w:val="0"/>
                <w:kern w:val="0"/>
                <w:sz w:val="24"/>
                <w:szCs w:val="24"/>
              </w:rPr>
              <w:t>⑴旅馆（酒店）建筑：</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仅限</w:t>
            </w:r>
            <w:r>
              <w:rPr>
                <w:rFonts w:ascii="宋体" w:hAnsi="宋体"/>
                <w:snapToGrid w:val="0"/>
                <w:kern w:val="0"/>
                <w:sz w:val="24"/>
                <w:szCs w:val="24"/>
              </w:rPr>
              <w:t>门厅、</w:t>
            </w:r>
            <w:r>
              <w:rPr>
                <w:rFonts w:hint="eastAsia" w:ascii="宋体" w:hAnsi="宋体"/>
                <w:snapToGrid w:val="0"/>
                <w:kern w:val="0"/>
                <w:sz w:val="24"/>
                <w:szCs w:val="24"/>
              </w:rPr>
              <w:t>中庭、大堂（</w:t>
            </w:r>
            <w:r>
              <w:rPr>
                <w:rFonts w:ascii="宋体" w:hAnsi="宋体"/>
                <w:snapToGrid w:val="0"/>
                <w:kern w:val="0"/>
                <w:sz w:val="24"/>
                <w:szCs w:val="24"/>
              </w:rPr>
              <w:t>含空中大堂</w:t>
            </w:r>
            <w:r>
              <w:rPr>
                <w:rFonts w:hint="eastAsia" w:ascii="宋体" w:hAnsi="宋体"/>
                <w:snapToGrid w:val="0"/>
                <w:kern w:val="0"/>
                <w:sz w:val="24"/>
                <w:szCs w:val="24"/>
              </w:rPr>
              <w:t>）、公共阳台及水平投影面积超过</w:t>
            </w:r>
            <w:r>
              <w:rPr>
                <w:rFonts w:ascii="宋体" w:hAnsi="宋体"/>
                <w:snapToGrid w:val="0"/>
                <w:kern w:val="0"/>
                <w:sz w:val="24"/>
                <w:szCs w:val="24"/>
              </w:rPr>
              <w:t>150</w:t>
            </w:r>
            <w:r>
              <w:rPr>
                <w:rFonts w:hint="eastAsia" w:ascii="宋体" w:hAnsi="宋体" w:cs="宋体"/>
                <w:snapToGrid w:val="0"/>
                <w:kern w:val="0"/>
                <w:sz w:val="24"/>
                <w:szCs w:val="24"/>
              </w:rPr>
              <w:t>㎡</w:t>
            </w:r>
            <w:r>
              <w:rPr>
                <w:rFonts w:hint="eastAsia" w:ascii="宋体" w:hAnsi="宋体"/>
                <w:snapToGrid w:val="0"/>
                <w:kern w:val="0"/>
                <w:sz w:val="24"/>
                <w:szCs w:val="24"/>
              </w:rPr>
              <w:t>的多功能厅、宴会厅、会议厅等可设置室内透空空间，其按层计算的总投影面积超过本栋旅馆（酒店）功能规定建筑面积的15</w:t>
            </w:r>
            <w:r>
              <w:rPr>
                <w:rFonts w:ascii="宋体" w:hAnsi="宋体"/>
                <w:snapToGrid w:val="0"/>
                <w:kern w:val="0"/>
                <w:sz w:val="24"/>
                <w:szCs w:val="24"/>
              </w:rPr>
              <w:t>％时按3.1.6.3⑴</w:t>
            </w:r>
            <w:r>
              <w:rPr>
                <w:rFonts w:hint="eastAsia" w:ascii="宋体" w:hAnsi="宋体"/>
                <w:snapToGrid w:val="0"/>
                <w:kern w:val="0"/>
                <w:sz w:val="24"/>
                <w:szCs w:val="24"/>
              </w:rPr>
              <w:t>公式</w:t>
            </w:r>
            <w:r>
              <w:rPr>
                <w:rFonts w:ascii="宋体" w:hAnsi="宋体"/>
                <w:snapToGrid w:val="0"/>
                <w:kern w:val="0"/>
                <w:sz w:val="24"/>
                <w:szCs w:val="24"/>
              </w:rPr>
              <w:t>1另行计算地上核减建筑面积。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⑵除旅馆（酒店）以外的商业建筑：</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①普通商业建筑仅限门厅、中庭、大堂（</w:t>
            </w:r>
            <w:r>
              <w:rPr>
                <w:rFonts w:ascii="宋体" w:hAnsi="宋体"/>
                <w:snapToGrid w:val="0"/>
                <w:kern w:val="0"/>
                <w:sz w:val="24"/>
                <w:szCs w:val="24"/>
              </w:rPr>
              <w:t>含空中大堂）</w:t>
            </w:r>
            <w:r>
              <w:rPr>
                <w:rFonts w:hint="eastAsia" w:ascii="宋体" w:hAnsi="宋体"/>
                <w:snapToGrid w:val="0"/>
                <w:kern w:val="0"/>
                <w:sz w:val="24"/>
                <w:szCs w:val="24"/>
              </w:rPr>
              <w:t>可设置室内透空空间，其按层计算的总投影面积超过本栋商业功能规定建筑面积的</w:t>
            </w:r>
            <w:r>
              <w:rPr>
                <w:rFonts w:ascii="宋体" w:hAnsi="宋体"/>
                <w:snapToGrid w:val="0"/>
                <w:kern w:val="0"/>
                <w:sz w:val="24"/>
                <w:szCs w:val="24"/>
              </w:rPr>
              <w:t>10％时</w:t>
            </w:r>
            <w:r>
              <w:rPr>
                <w:rFonts w:hint="eastAsia" w:ascii="宋体" w:hAnsi="宋体"/>
                <w:snapToGrid w:val="0"/>
                <w:kern w:val="0"/>
                <w:sz w:val="24"/>
                <w:szCs w:val="24"/>
              </w:rPr>
              <w:t>，按</w:t>
            </w:r>
            <w:r>
              <w:rPr>
                <w:rFonts w:ascii="宋体" w:hAnsi="宋体"/>
                <w:snapToGrid w:val="0"/>
                <w:kern w:val="0"/>
                <w:sz w:val="24"/>
                <w:szCs w:val="24"/>
              </w:rPr>
              <w:t>3.1.6.3⑴</w:t>
            </w:r>
            <w:r>
              <w:rPr>
                <w:rFonts w:hint="eastAsia" w:ascii="宋体" w:hAnsi="宋体"/>
                <w:snapToGrid w:val="0"/>
                <w:kern w:val="0"/>
                <w:sz w:val="24"/>
                <w:szCs w:val="24"/>
              </w:rPr>
              <w:t>公式</w:t>
            </w:r>
            <w:r>
              <w:rPr>
                <w:rFonts w:ascii="宋体" w:hAnsi="宋体"/>
                <w:snapToGrid w:val="0"/>
                <w:kern w:val="0"/>
                <w:sz w:val="24"/>
                <w:szCs w:val="24"/>
              </w:rPr>
              <w:t>1另行计算地上核减建筑面积。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②集中大型商业建筑仅限门厅、中庭、大堂（</w:t>
            </w:r>
            <w:r>
              <w:rPr>
                <w:rFonts w:ascii="宋体" w:hAnsi="宋体"/>
                <w:snapToGrid w:val="0"/>
                <w:kern w:val="0"/>
                <w:sz w:val="24"/>
                <w:szCs w:val="24"/>
              </w:rPr>
              <w:t>含空中大堂</w:t>
            </w:r>
            <w:r>
              <w:rPr>
                <w:rFonts w:hint="eastAsia" w:ascii="宋体" w:hAnsi="宋体"/>
                <w:snapToGrid w:val="0"/>
                <w:kern w:val="0"/>
                <w:sz w:val="24"/>
                <w:szCs w:val="24"/>
              </w:rPr>
              <w:t>）、公共阳台及水平投影面积超过</w:t>
            </w:r>
            <w:r>
              <w:rPr>
                <w:rFonts w:ascii="宋体" w:hAnsi="宋体"/>
                <w:snapToGrid w:val="0"/>
                <w:kern w:val="0"/>
                <w:sz w:val="24"/>
                <w:szCs w:val="24"/>
              </w:rPr>
              <w:t>150</w:t>
            </w:r>
            <w:r>
              <w:rPr>
                <w:rFonts w:hint="eastAsia" w:ascii="宋体" w:hAnsi="宋体"/>
                <w:snapToGrid w:val="0"/>
                <w:kern w:val="0"/>
                <w:sz w:val="24"/>
                <w:szCs w:val="24"/>
              </w:rPr>
              <w:t>㎡的多功能厅、商业影厅、宴会厅等可设置室内透空空间，其按层计算的总投影面积超过本栋商业功能规定建筑面积的</w:t>
            </w:r>
            <w:r>
              <w:rPr>
                <w:rFonts w:ascii="宋体" w:hAnsi="宋体"/>
                <w:snapToGrid w:val="0"/>
                <w:kern w:val="0"/>
                <w:sz w:val="24"/>
                <w:szCs w:val="24"/>
              </w:rPr>
              <w:t>15％时</w:t>
            </w:r>
            <w:r>
              <w:rPr>
                <w:rFonts w:hint="eastAsia" w:ascii="宋体" w:hAnsi="宋体"/>
                <w:snapToGrid w:val="0"/>
                <w:kern w:val="0"/>
                <w:sz w:val="24"/>
                <w:szCs w:val="24"/>
              </w:rPr>
              <w:t>，按</w:t>
            </w:r>
            <w:r>
              <w:rPr>
                <w:rFonts w:ascii="宋体" w:hAnsi="宋体"/>
                <w:snapToGrid w:val="0"/>
                <w:kern w:val="0"/>
                <w:sz w:val="24"/>
                <w:szCs w:val="24"/>
              </w:rPr>
              <w:t>3.1.6.3⑴</w:t>
            </w:r>
            <w:r>
              <w:rPr>
                <w:rFonts w:hint="eastAsia" w:ascii="宋体" w:hAnsi="宋体"/>
                <w:snapToGrid w:val="0"/>
                <w:kern w:val="0"/>
                <w:sz w:val="24"/>
                <w:szCs w:val="24"/>
              </w:rPr>
              <w:t>公式</w:t>
            </w:r>
            <w:r>
              <w:rPr>
                <w:rFonts w:ascii="宋体" w:hAnsi="宋体"/>
                <w:snapToGrid w:val="0"/>
                <w:kern w:val="0"/>
                <w:sz w:val="24"/>
                <w:szCs w:val="24"/>
              </w:rPr>
              <w:t>1另行计算地上核减建筑面积。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经特别申报并专题论证后确认有特殊层高需求的仓储式商业建筑，</w:t>
            </w:r>
            <w:r>
              <w:rPr>
                <w:rFonts w:ascii="宋体" w:hAnsi="宋体"/>
                <w:snapToGrid w:val="0"/>
                <w:kern w:val="0"/>
                <w:sz w:val="24"/>
                <w:szCs w:val="24"/>
              </w:rPr>
              <w:t>层高超过8m时按3.1.6.4公式2计算地上核减建筑面积（层高标准值为8m）。</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除上述情形外的商业建筑层高有以下情形的，均按</w:t>
            </w:r>
            <w:r>
              <w:rPr>
                <w:rFonts w:ascii="宋体" w:hAnsi="宋体"/>
                <w:snapToGrid w:val="0"/>
                <w:kern w:val="0"/>
                <w:sz w:val="24"/>
                <w:szCs w:val="24"/>
              </w:rPr>
              <w:t>3.1.6.4公式2计算核减建筑面积（层高标准值为2.2m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⑴旅馆（酒店）建筑：</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作为大堂（门厅）的楼</w:t>
            </w:r>
            <w:r>
              <w:rPr>
                <w:rFonts w:ascii="宋体" w:hAnsi="宋体"/>
                <w:snapToGrid w:val="0"/>
                <w:kern w:val="0"/>
                <w:sz w:val="24"/>
                <w:szCs w:val="24"/>
              </w:rPr>
              <w:t>层</w:t>
            </w:r>
            <w:r>
              <w:rPr>
                <w:rFonts w:hint="eastAsia" w:ascii="宋体" w:hAnsi="宋体"/>
                <w:snapToGrid w:val="0"/>
                <w:kern w:val="0"/>
                <w:sz w:val="24"/>
                <w:szCs w:val="24"/>
              </w:rPr>
              <w:t>层高超过</w:t>
            </w:r>
            <w:r>
              <w:rPr>
                <w:rFonts w:ascii="宋体" w:hAnsi="宋体"/>
                <w:snapToGrid w:val="0"/>
                <w:kern w:val="0"/>
                <w:sz w:val="24"/>
                <w:szCs w:val="24"/>
              </w:rPr>
              <w:t>6m</w:t>
            </w:r>
            <w:r>
              <w:rPr>
                <w:rFonts w:hint="eastAsia" w:ascii="宋体" w:hAnsi="宋体"/>
                <w:snapToGrid w:val="0"/>
                <w:kern w:val="0"/>
                <w:sz w:val="24"/>
                <w:szCs w:val="24"/>
              </w:rPr>
              <w:t>，酒店餐厅、康体中心等公共配套区域层高超过5.4米，客房层层高超过</w:t>
            </w:r>
            <w:r>
              <w:rPr>
                <w:rFonts w:ascii="宋体" w:hAnsi="宋体"/>
                <w:snapToGrid w:val="0"/>
                <w:kern w:val="0"/>
                <w:sz w:val="24"/>
                <w:szCs w:val="24"/>
              </w:rPr>
              <w:t>4.2m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⑵除旅馆（酒店）以外的商业建筑：</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①普通商业建筑：六层及以下部分层高超过5.4</w:t>
            </w:r>
            <w:r>
              <w:rPr>
                <w:rFonts w:ascii="宋体" w:hAnsi="宋体"/>
                <w:snapToGrid w:val="0"/>
                <w:kern w:val="0"/>
                <w:sz w:val="24"/>
                <w:szCs w:val="24"/>
              </w:rPr>
              <w:t>m</w:t>
            </w:r>
            <w:r>
              <w:rPr>
                <w:rFonts w:hint="eastAsia" w:ascii="宋体" w:hAnsi="宋体"/>
                <w:snapToGrid w:val="0"/>
                <w:kern w:val="0"/>
                <w:sz w:val="24"/>
                <w:szCs w:val="24"/>
              </w:rPr>
              <w:t>，或七层及以上部分层高超过</w:t>
            </w:r>
            <w:r>
              <w:rPr>
                <w:rFonts w:ascii="宋体" w:hAnsi="宋体"/>
                <w:snapToGrid w:val="0"/>
                <w:kern w:val="0"/>
                <w:sz w:val="24"/>
                <w:szCs w:val="24"/>
              </w:rPr>
              <w:t>4.5m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②户内建筑面积不超过</w:t>
            </w:r>
            <w:r>
              <w:rPr>
                <w:rFonts w:ascii="宋体" w:hAnsi="宋体"/>
                <w:snapToGrid w:val="0"/>
                <w:kern w:val="0"/>
                <w:sz w:val="24"/>
                <w:szCs w:val="24"/>
              </w:rPr>
              <w:t>90㎡的商铺占该层商业建筑面积50%</w:t>
            </w:r>
            <w:r>
              <w:rPr>
                <w:rFonts w:hint="eastAsia" w:ascii="宋体" w:hAnsi="宋体"/>
                <w:snapToGrid w:val="0"/>
                <w:kern w:val="0"/>
                <w:sz w:val="24"/>
                <w:szCs w:val="24"/>
              </w:rPr>
              <w:t>以上的商业建筑楼层：六层及以下部分层高超过5.4</w:t>
            </w:r>
            <w:r>
              <w:rPr>
                <w:rFonts w:ascii="宋体" w:hAnsi="宋体"/>
                <w:snapToGrid w:val="0"/>
                <w:kern w:val="0"/>
                <w:sz w:val="24"/>
                <w:szCs w:val="24"/>
              </w:rPr>
              <w:t>m</w:t>
            </w:r>
            <w:r>
              <w:rPr>
                <w:rFonts w:hint="eastAsia" w:ascii="宋体" w:hAnsi="宋体"/>
                <w:snapToGrid w:val="0"/>
                <w:kern w:val="0"/>
                <w:sz w:val="24"/>
                <w:szCs w:val="24"/>
              </w:rPr>
              <w:t>，或七层及以上部分层高超过</w:t>
            </w:r>
            <w:r>
              <w:rPr>
                <w:rFonts w:ascii="宋体" w:hAnsi="宋体"/>
                <w:snapToGrid w:val="0"/>
                <w:kern w:val="0"/>
                <w:sz w:val="24"/>
                <w:szCs w:val="24"/>
              </w:rPr>
              <w:t>4.5m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③除</w:t>
            </w:r>
            <w:r>
              <w:rPr>
                <w:rFonts w:ascii="宋体" w:hAnsi="宋体"/>
                <w:snapToGrid w:val="0"/>
                <w:kern w:val="0"/>
                <w:sz w:val="24"/>
                <w:szCs w:val="24"/>
              </w:rPr>
              <w:t>6.8.2.2</w:t>
            </w:r>
            <w:r>
              <w:rPr>
                <w:rFonts w:hint="eastAsia" w:ascii="宋体" w:hAnsi="宋体"/>
                <w:snapToGrid w:val="0"/>
                <w:kern w:val="0"/>
                <w:sz w:val="24"/>
                <w:szCs w:val="24"/>
              </w:rPr>
              <w:t>⑵②情形以外的集中大型商业建筑：</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单层商业用房建筑面积不大于</w:t>
            </w:r>
            <w:r>
              <w:rPr>
                <w:rFonts w:ascii="宋体" w:hAnsi="宋体"/>
                <w:snapToGrid w:val="0"/>
                <w:kern w:val="0"/>
                <w:sz w:val="24"/>
                <w:szCs w:val="24"/>
              </w:rPr>
              <w:t>8000㎡的，首层层高</w:t>
            </w:r>
            <w:r>
              <w:rPr>
                <w:rFonts w:hint="eastAsia" w:ascii="宋体" w:hAnsi="宋体"/>
                <w:snapToGrid w:val="0"/>
                <w:kern w:val="0"/>
                <w:sz w:val="24"/>
                <w:szCs w:val="24"/>
              </w:rPr>
              <w:t>超过</w:t>
            </w:r>
            <w:r>
              <w:rPr>
                <w:rFonts w:ascii="宋体" w:hAnsi="宋体"/>
                <w:snapToGrid w:val="0"/>
                <w:kern w:val="0"/>
                <w:sz w:val="24"/>
                <w:szCs w:val="24"/>
              </w:rPr>
              <w:t>6.6m</w:t>
            </w:r>
            <w:r>
              <w:rPr>
                <w:rFonts w:hint="eastAsia" w:ascii="宋体" w:hAnsi="宋体"/>
                <w:snapToGrid w:val="0"/>
                <w:kern w:val="0"/>
                <w:sz w:val="24"/>
                <w:szCs w:val="24"/>
              </w:rPr>
              <w:t>，或二至六层部分层高超过5.4</w:t>
            </w:r>
            <w:r>
              <w:rPr>
                <w:rFonts w:ascii="宋体" w:hAnsi="宋体"/>
                <w:snapToGrid w:val="0"/>
                <w:kern w:val="0"/>
                <w:sz w:val="24"/>
                <w:szCs w:val="24"/>
              </w:rPr>
              <w:t>m</w:t>
            </w:r>
            <w:r>
              <w:rPr>
                <w:rFonts w:hint="eastAsia" w:ascii="宋体" w:hAnsi="宋体"/>
                <w:snapToGrid w:val="0"/>
                <w:kern w:val="0"/>
                <w:sz w:val="24"/>
                <w:szCs w:val="24"/>
              </w:rPr>
              <w:t>，或七层及以上部分层高超过4.5</w:t>
            </w:r>
            <w:r>
              <w:rPr>
                <w:rFonts w:ascii="宋体" w:hAnsi="宋体"/>
                <w:snapToGrid w:val="0"/>
                <w:kern w:val="0"/>
                <w:sz w:val="24"/>
                <w:szCs w:val="24"/>
              </w:rPr>
              <w:t>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单层商业用房建筑面积大于</w:t>
            </w:r>
            <w:r>
              <w:rPr>
                <w:rFonts w:ascii="宋体" w:hAnsi="宋体"/>
                <w:snapToGrid w:val="0"/>
                <w:kern w:val="0"/>
                <w:sz w:val="24"/>
                <w:szCs w:val="24"/>
              </w:rPr>
              <w:t>8000㎡的，六层及以下部分层高</w:t>
            </w:r>
            <w:r>
              <w:rPr>
                <w:rFonts w:hint="eastAsia" w:ascii="宋体" w:hAnsi="宋体"/>
                <w:snapToGrid w:val="0"/>
                <w:kern w:val="0"/>
                <w:sz w:val="24"/>
                <w:szCs w:val="24"/>
              </w:rPr>
              <w:t>超过</w:t>
            </w:r>
            <w:r>
              <w:rPr>
                <w:rFonts w:ascii="宋体" w:hAnsi="宋体"/>
                <w:snapToGrid w:val="0"/>
                <w:kern w:val="0"/>
                <w:sz w:val="24"/>
                <w:szCs w:val="24"/>
              </w:rPr>
              <w:t>6.6m</w:t>
            </w:r>
            <w:r>
              <w:rPr>
                <w:rFonts w:hint="eastAsia" w:ascii="宋体" w:hAnsi="宋体"/>
                <w:snapToGrid w:val="0"/>
                <w:kern w:val="0"/>
                <w:sz w:val="24"/>
                <w:szCs w:val="24"/>
              </w:rPr>
              <w:t>，或七层及以上部分层高超过5.4</w:t>
            </w:r>
            <w:r>
              <w:rPr>
                <w:rFonts w:ascii="宋体" w:hAnsi="宋体"/>
                <w:snapToGrid w:val="0"/>
                <w:kern w:val="0"/>
                <w:sz w:val="24"/>
                <w:szCs w:val="24"/>
              </w:rPr>
              <w:t>m</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⑶与地铁等交通枢纽或地下城市公共通道相连接的地下商业建筑层高根据需要设置。除此以外的半地下及地下商业建筑层高超过6.6m。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w:t>
            </w:r>
            <w:r>
              <w:rPr>
                <w:rFonts w:hint="eastAsia" w:ascii="宋体" w:hAnsi="宋体"/>
                <w:b/>
                <w:snapToGrid w:val="0"/>
                <w:kern w:val="0"/>
                <w:sz w:val="24"/>
                <w:szCs w:val="24"/>
              </w:rPr>
              <w:t>4</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⑴旅馆（酒店）建筑中，计一半面积的阳台（含公共阳台）总投影面积之和（含与其相连的花池、空调机位等平台）超过本栋旅馆（酒店）功能规定建筑面积的</w:t>
            </w:r>
            <w:r>
              <w:rPr>
                <w:rFonts w:ascii="宋体" w:hAnsi="宋体"/>
                <w:snapToGrid w:val="0"/>
                <w:kern w:val="0"/>
                <w:sz w:val="24"/>
                <w:szCs w:val="24"/>
              </w:rPr>
              <w:t>10%时</w:t>
            </w:r>
            <w:r>
              <w:rPr>
                <w:rFonts w:hint="eastAsia" w:ascii="宋体" w:hAnsi="宋体"/>
                <w:snapToGrid w:val="0"/>
                <w:kern w:val="0"/>
                <w:sz w:val="24"/>
                <w:szCs w:val="24"/>
              </w:rPr>
              <w:t>，按</w:t>
            </w:r>
            <w:r>
              <w:rPr>
                <w:rFonts w:ascii="宋体" w:hAnsi="宋体"/>
                <w:snapToGrid w:val="0"/>
                <w:kern w:val="0"/>
                <w:sz w:val="24"/>
                <w:szCs w:val="24"/>
              </w:rPr>
              <w:t>3.1.6.5</w:t>
            </w:r>
            <w:r>
              <w:rPr>
                <w:rFonts w:hint="eastAsia" w:ascii="宋体" w:hAnsi="宋体"/>
                <w:snapToGrid w:val="0"/>
                <w:kern w:val="0"/>
                <w:sz w:val="24"/>
                <w:szCs w:val="24"/>
              </w:rPr>
              <w:t>⑴公式</w:t>
            </w:r>
            <w:r>
              <w:rPr>
                <w:rFonts w:ascii="宋体" w:hAnsi="宋体"/>
                <w:snapToGrid w:val="0"/>
                <w:kern w:val="0"/>
                <w:sz w:val="24"/>
                <w:szCs w:val="24"/>
              </w:rPr>
              <w:t>3</w:t>
            </w:r>
            <w:r>
              <w:rPr>
                <w:rFonts w:hint="eastAsia" w:ascii="宋体" w:hAnsi="宋体"/>
                <w:snapToGrid w:val="0"/>
                <w:kern w:val="0"/>
                <w:sz w:val="24"/>
                <w:szCs w:val="24"/>
              </w:rPr>
              <w:t>另行计算地上核减建筑面积。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⑵除旅馆（酒店）以外的商业建筑中，计一半面积的阳台（含公共阳台）总投影面积之和（含与其相连的花池、空调机位等平台）超过本栋商业功能规定建筑面积的</w:t>
            </w:r>
            <w:r>
              <w:rPr>
                <w:rFonts w:ascii="宋体" w:hAnsi="宋体"/>
                <w:snapToGrid w:val="0"/>
                <w:kern w:val="0"/>
                <w:sz w:val="24"/>
                <w:szCs w:val="24"/>
              </w:rPr>
              <w:t>5%时</w:t>
            </w:r>
            <w:r>
              <w:rPr>
                <w:rFonts w:hint="eastAsia" w:ascii="宋体" w:hAnsi="宋体"/>
                <w:snapToGrid w:val="0"/>
                <w:kern w:val="0"/>
                <w:sz w:val="24"/>
                <w:szCs w:val="24"/>
              </w:rPr>
              <w:t>，按</w:t>
            </w:r>
            <w:r>
              <w:rPr>
                <w:rFonts w:ascii="宋体" w:hAnsi="宋体"/>
                <w:snapToGrid w:val="0"/>
                <w:kern w:val="0"/>
                <w:sz w:val="24"/>
                <w:szCs w:val="24"/>
              </w:rPr>
              <w:t>3.1.6.5</w:t>
            </w:r>
            <w:r>
              <w:rPr>
                <w:rFonts w:hint="eastAsia" w:ascii="宋体" w:hAnsi="宋体"/>
                <w:snapToGrid w:val="0"/>
                <w:kern w:val="0"/>
                <w:sz w:val="24"/>
                <w:szCs w:val="24"/>
              </w:rPr>
              <w:t>⑴公式</w:t>
            </w:r>
            <w:r>
              <w:rPr>
                <w:rFonts w:ascii="宋体" w:hAnsi="宋体"/>
                <w:snapToGrid w:val="0"/>
                <w:kern w:val="0"/>
                <w:sz w:val="24"/>
                <w:szCs w:val="24"/>
              </w:rPr>
              <w:t>3</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6.8.2.</w:t>
            </w:r>
            <w:r>
              <w:rPr>
                <w:rFonts w:hint="eastAsia" w:ascii="宋体" w:hAnsi="宋体"/>
                <w:b/>
                <w:snapToGrid w:val="0"/>
                <w:kern w:val="0"/>
                <w:sz w:val="24"/>
                <w:szCs w:val="24"/>
              </w:rPr>
              <w:t>5</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房间分隔</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需独立办理产权登记的商业用房必须为实体分隔。施工图设计已经核准的商业建筑需增加实体分隔进一步细分的，应满足以下规定：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⑴增加实体分隔后仍应满足相关标准和规范。</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⑵原层高超过5.4</w:t>
            </w:r>
            <w:r>
              <w:rPr>
                <w:rFonts w:ascii="宋体" w:hAnsi="宋体"/>
                <w:snapToGrid w:val="0"/>
                <w:kern w:val="0"/>
                <w:sz w:val="24"/>
                <w:szCs w:val="24"/>
              </w:rPr>
              <w:t>m</w:t>
            </w:r>
            <w:r>
              <w:rPr>
                <w:rFonts w:hint="eastAsia" w:ascii="宋体" w:hAnsi="宋体"/>
                <w:snapToGrid w:val="0"/>
                <w:kern w:val="0"/>
                <w:sz w:val="24"/>
                <w:szCs w:val="24"/>
              </w:rPr>
              <w:t>或设计为室内</w:t>
            </w:r>
            <w:r>
              <w:rPr>
                <w:rFonts w:ascii="宋体" w:hAnsi="宋体"/>
                <w:snapToGrid w:val="0"/>
                <w:kern w:val="0"/>
                <w:sz w:val="24"/>
                <w:szCs w:val="24"/>
              </w:rPr>
              <w:t>透空</w:t>
            </w:r>
            <w:r>
              <w:rPr>
                <w:rFonts w:hint="eastAsia" w:ascii="宋体" w:hAnsi="宋体"/>
                <w:snapToGrid w:val="0"/>
                <w:kern w:val="0"/>
                <w:sz w:val="24"/>
                <w:szCs w:val="24"/>
              </w:rPr>
              <w:t>空间的商业用房，不得增加实体分隔进一步细分。</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⑶原层高超过</w:t>
            </w:r>
            <w:r>
              <w:rPr>
                <w:rFonts w:ascii="宋体" w:hAnsi="宋体"/>
                <w:snapToGrid w:val="0"/>
                <w:kern w:val="0"/>
                <w:sz w:val="24"/>
                <w:szCs w:val="24"/>
              </w:rPr>
              <w:t>4.5m</w:t>
            </w:r>
            <w:r>
              <w:rPr>
                <w:rFonts w:hint="eastAsia" w:ascii="宋体" w:hAnsi="宋体"/>
                <w:snapToGrid w:val="0"/>
                <w:kern w:val="0"/>
                <w:sz w:val="24"/>
                <w:szCs w:val="24"/>
              </w:rPr>
              <w:t>的商业用房，进一步细分后的户内建筑面积不得小于</w:t>
            </w:r>
            <w:r>
              <w:rPr>
                <w:rFonts w:ascii="宋体" w:hAnsi="宋体"/>
                <w:snapToGrid w:val="0"/>
                <w:kern w:val="0"/>
                <w:sz w:val="24"/>
                <w:szCs w:val="24"/>
              </w:rPr>
              <w:t>30㎡</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⑷原层高不超过</w:t>
            </w:r>
            <w:r>
              <w:rPr>
                <w:rFonts w:ascii="宋体" w:hAnsi="宋体"/>
                <w:snapToGrid w:val="0"/>
                <w:kern w:val="0"/>
                <w:sz w:val="24"/>
                <w:szCs w:val="24"/>
              </w:rPr>
              <w:t>4.5m</w:t>
            </w:r>
            <w:r>
              <w:rPr>
                <w:rFonts w:hint="eastAsia" w:ascii="宋体" w:hAnsi="宋体"/>
                <w:snapToGrid w:val="0"/>
                <w:kern w:val="0"/>
                <w:sz w:val="24"/>
                <w:szCs w:val="24"/>
              </w:rPr>
              <w:t>的商业用房，进一步细分后的户内建筑面积不得小于</w:t>
            </w:r>
            <w:r>
              <w:rPr>
                <w:rFonts w:ascii="宋体" w:hAnsi="宋体"/>
                <w:snapToGrid w:val="0"/>
                <w:kern w:val="0"/>
                <w:sz w:val="24"/>
                <w:szCs w:val="24"/>
              </w:rPr>
              <w:t>10㎡</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6.9</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城市综合体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6.9.1</w:t>
            </w:r>
          </w:p>
        </w:tc>
        <w:tc>
          <w:tcPr>
            <w:tcW w:w="8101" w:type="dxa"/>
          </w:tcPr>
          <w:p>
            <w:pPr>
              <w:topLinePunct/>
              <w:snapToGrid w:val="0"/>
              <w:spacing w:before="211" w:beforeLines="50"/>
              <w:rPr>
                <w:rFonts w:ascii="宋体" w:hAnsi="宋体"/>
                <w:b/>
                <w:snapToGrid w:val="0"/>
                <w:spacing w:val="-6"/>
                <w:kern w:val="0"/>
                <w:sz w:val="28"/>
                <w:szCs w:val="28"/>
              </w:rPr>
            </w:pPr>
            <w:r>
              <w:rPr>
                <w:rFonts w:ascii="宋体" w:hAnsi="宋体"/>
                <w:snapToGrid w:val="0"/>
                <w:spacing w:val="-6"/>
                <w:kern w:val="0"/>
                <w:sz w:val="24"/>
                <w:szCs w:val="24"/>
              </w:rPr>
              <w:t>城市综合体项目应根据</w:t>
            </w:r>
            <w:r>
              <w:rPr>
                <w:rFonts w:hint="eastAsia" w:ascii="宋体" w:hAnsi="宋体"/>
                <w:snapToGrid w:val="0"/>
                <w:spacing w:val="-6"/>
                <w:kern w:val="0"/>
                <w:sz w:val="24"/>
                <w:szCs w:val="24"/>
              </w:rPr>
              <w:t>《</w:t>
            </w:r>
            <w:r>
              <w:rPr>
                <w:rFonts w:ascii="宋体" w:hAnsi="宋体"/>
                <w:snapToGrid w:val="0"/>
                <w:spacing w:val="-6"/>
                <w:kern w:val="0"/>
                <w:sz w:val="24"/>
                <w:szCs w:val="24"/>
              </w:rPr>
              <w:t>建设用地规划许可证</w:t>
            </w:r>
            <w:r>
              <w:rPr>
                <w:rFonts w:hint="eastAsia" w:ascii="宋体" w:hAnsi="宋体"/>
                <w:snapToGrid w:val="0"/>
                <w:spacing w:val="-6"/>
                <w:kern w:val="0"/>
                <w:sz w:val="24"/>
                <w:szCs w:val="24"/>
              </w:rPr>
              <w:t>》</w:t>
            </w:r>
            <w:r>
              <w:rPr>
                <w:rFonts w:ascii="宋体" w:hAnsi="宋体"/>
                <w:snapToGrid w:val="0"/>
                <w:spacing w:val="-6"/>
                <w:kern w:val="0"/>
                <w:sz w:val="24"/>
                <w:szCs w:val="24"/>
              </w:rPr>
              <w:t>所确定的建设内容和要求进行</w:t>
            </w:r>
            <w:r>
              <w:rPr>
                <w:rFonts w:hint="eastAsia" w:ascii="宋体" w:hAnsi="宋体"/>
                <w:snapToGrid w:val="0"/>
                <w:spacing w:val="-6"/>
                <w:kern w:val="0"/>
                <w:sz w:val="24"/>
                <w:szCs w:val="24"/>
              </w:rPr>
              <w:t>设计，其</w:t>
            </w:r>
            <w:r>
              <w:rPr>
                <w:rFonts w:ascii="宋体" w:hAnsi="宋体"/>
                <w:snapToGrid w:val="0"/>
                <w:spacing w:val="-6"/>
                <w:kern w:val="0"/>
                <w:sz w:val="24"/>
                <w:szCs w:val="24"/>
              </w:rPr>
              <w:t>各类功能建筑</w:t>
            </w:r>
            <w:r>
              <w:rPr>
                <w:rFonts w:hint="eastAsia" w:ascii="宋体" w:hAnsi="宋体"/>
                <w:snapToGrid w:val="0"/>
                <w:spacing w:val="-6"/>
                <w:kern w:val="0"/>
                <w:sz w:val="24"/>
                <w:szCs w:val="24"/>
              </w:rPr>
              <w:t>的</w:t>
            </w:r>
            <w:r>
              <w:rPr>
                <w:rFonts w:ascii="宋体" w:hAnsi="宋体"/>
                <w:snapToGrid w:val="0"/>
                <w:spacing w:val="-6"/>
                <w:kern w:val="0"/>
                <w:sz w:val="24"/>
                <w:szCs w:val="24"/>
              </w:rPr>
              <w:t>设计应满足相应类</w:t>
            </w:r>
            <w:r>
              <w:rPr>
                <w:rFonts w:hint="eastAsia" w:ascii="宋体" w:hAnsi="宋体"/>
                <w:snapToGrid w:val="0"/>
                <w:spacing w:val="-6"/>
                <w:kern w:val="0"/>
                <w:sz w:val="24"/>
                <w:szCs w:val="24"/>
              </w:rPr>
              <w:t>别</w:t>
            </w:r>
            <w:r>
              <w:rPr>
                <w:rFonts w:ascii="宋体" w:hAnsi="宋体"/>
                <w:snapToGrid w:val="0"/>
                <w:spacing w:val="-6"/>
                <w:kern w:val="0"/>
                <w:sz w:val="24"/>
                <w:szCs w:val="24"/>
              </w:rPr>
              <w:t>建筑设计</w:t>
            </w:r>
            <w:r>
              <w:rPr>
                <w:rFonts w:hint="eastAsia" w:ascii="宋体" w:hAnsi="宋体"/>
                <w:snapToGrid w:val="0"/>
                <w:spacing w:val="-6"/>
                <w:kern w:val="0"/>
                <w:sz w:val="24"/>
                <w:szCs w:val="24"/>
              </w:rPr>
              <w:t>的相关规范和</w:t>
            </w:r>
            <w:r>
              <w:rPr>
                <w:rFonts w:ascii="宋体" w:hAnsi="宋体"/>
                <w:snapToGrid w:val="0"/>
                <w:spacing w:val="-6"/>
                <w:kern w:val="0"/>
                <w:sz w:val="24"/>
                <w:szCs w:val="24"/>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6.9.2</w:t>
            </w:r>
          </w:p>
        </w:tc>
        <w:tc>
          <w:tcPr>
            <w:tcW w:w="8101" w:type="dxa"/>
          </w:tcPr>
          <w:p>
            <w:pPr>
              <w:topLinePunct/>
              <w:snapToGrid w:val="0"/>
              <w:spacing w:before="211" w:beforeLines="50"/>
              <w:rPr>
                <w:rFonts w:ascii="宋体" w:hAnsi="宋体"/>
                <w:b/>
                <w:snapToGrid w:val="0"/>
                <w:kern w:val="0"/>
                <w:sz w:val="28"/>
                <w:szCs w:val="28"/>
              </w:rPr>
            </w:pPr>
            <w:r>
              <w:rPr>
                <w:rFonts w:ascii="宋体" w:hAnsi="宋体"/>
                <w:snapToGrid w:val="0"/>
                <w:kern w:val="0"/>
                <w:sz w:val="24"/>
                <w:szCs w:val="24"/>
              </w:rPr>
              <w:t>城市综合体应考虑与城市公共交通及轨道交通的接驳，并以公交优先的原则综合设置相应交通配套设施，保证公共交通及步行优先</w:t>
            </w:r>
            <w:r>
              <w:rPr>
                <w:rFonts w:hint="eastAsia" w:ascii="宋体" w:hAnsi="宋体"/>
                <w:snapToGrid w:val="0"/>
                <w:kern w:val="0"/>
                <w:sz w:val="24"/>
                <w:szCs w:val="24"/>
              </w:rPr>
              <w:t>，以</w:t>
            </w:r>
            <w:r>
              <w:rPr>
                <w:rFonts w:ascii="宋体" w:hAnsi="宋体"/>
                <w:snapToGrid w:val="0"/>
                <w:kern w:val="0"/>
                <w:sz w:val="24"/>
                <w:szCs w:val="24"/>
              </w:rPr>
              <w:t>安全舒适</w:t>
            </w:r>
            <w:r>
              <w:rPr>
                <w:rFonts w:hint="eastAsia" w:ascii="宋体" w:hAnsi="宋体"/>
                <w:snapToGrid w:val="0"/>
                <w:kern w:val="0"/>
                <w:sz w:val="24"/>
                <w:szCs w:val="24"/>
              </w:rPr>
              <w:t>为</w:t>
            </w:r>
            <w:r>
              <w:rPr>
                <w:rFonts w:ascii="宋体" w:hAnsi="宋体"/>
                <w:snapToGrid w:val="0"/>
                <w:kern w:val="0"/>
                <w:sz w:val="24"/>
                <w:szCs w:val="24"/>
              </w:rPr>
              <w:t>原则</w:t>
            </w:r>
            <w:r>
              <w:rPr>
                <w:rFonts w:hint="eastAsia" w:ascii="宋体" w:hAnsi="宋体"/>
                <w:snapToGrid w:val="0"/>
                <w:kern w:val="0"/>
                <w:sz w:val="24"/>
                <w:szCs w:val="24"/>
              </w:rPr>
              <w:t>，</w:t>
            </w:r>
            <w:r>
              <w:rPr>
                <w:rFonts w:ascii="宋体" w:hAnsi="宋体"/>
                <w:snapToGrid w:val="0"/>
                <w:kern w:val="0"/>
                <w:sz w:val="24"/>
                <w:szCs w:val="24"/>
              </w:rPr>
              <w:t>处理</w:t>
            </w:r>
            <w:r>
              <w:rPr>
                <w:rFonts w:hint="eastAsia" w:ascii="宋体" w:hAnsi="宋体"/>
                <w:snapToGrid w:val="0"/>
                <w:kern w:val="0"/>
                <w:sz w:val="24"/>
                <w:szCs w:val="24"/>
              </w:rPr>
              <w:t>好人、</w:t>
            </w:r>
            <w:r>
              <w:rPr>
                <w:rFonts w:ascii="宋体" w:hAnsi="宋体"/>
                <w:snapToGrid w:val="0"/>
                <w:kern w:val="0"/>
                <w:sz w:val="24"/>
                <w:szCs w:val="24"/>
              </w:rPr>
              <w:t>车分流。其公共交通部分应24小时开放。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6.9.3</w:t>
            </w:r>
          </w:p>
        </w:tc>
        <w:tc>
          <w:tcPr>
            <w:tcW w:w="8101" w:type="dxa"/>
          </w:tcPr>
          <w:p>
            <w:pPr>
              <w:topLinePunct/>
              <w:snapToGrid w:val="0"/>
              <w:spacing w:before="211" w:beforeLines="50"/>
              <w:rPr>
                <w:rFonts w:ascii="宋体" w:hAnsi="宋体"/>
                <w:snapToGrid w:val="0"/>
                <w:kern w:val="0"/>
                <w:sz w:val="24"/>
                <w:szCs w:val="24"/>
              </w:rPr>
            </w:pPr>
            <w:r>
              <w:rPr>
                <w:rFonts w:ascii="宋体" w:hAnsi="宋体"/>
                <w:snapToGrid w:val="0"/>
                <w:kern w:val="0"/>
                <w:sz w:val="24"/>
                <w:szCs w:val="24"/>
              </w:rPr>
              <w:t>机动车出入口</w:t>
            </w:r>
            <w:r>
              <w:rPr>
                <w:rFonts w:hint="eastAsia" w:ascii="宋体" w:hAnsi="宋体"/>
                <w:snapToGrid w:val="0"/>
                <w:kern w:val="0"/>
                <w:sz w:val="24"/>
                <w:szCs w:val="24"/>
              </w:rPr>
              <w:t>道</w:t>
            </w:r>
            <w:r>
              <w:rPr>
                <w:rFonts w:ascii="宋体" w:hAnsi="宋体"/>
                <w:snapToGrid w:val="0"/>
                <w:kern w:val="0"/>
                <w:sz w:val="24"/>
                <w:szCs w:val="24"/>
              </w:rPr>
              <w:t>闸与道路上机动车开口之间的</w:t>
            </w:r>
            <w:r>
              <w:rPr>
                <w:rFonts w:hint="eastAsia" w:ascii="宋体" w:hAnsi="宋体"/>
                <w:snapToGrid w:val="0"/>
                <w:kern w:val="0"/>
                <w:sz w:val="24"/>
                <w:szCs w:val="24"/>
              </w:rPr>
              <w:t>场地</w:t>
            </w:r>
            <w:r>
              <w:rPr>
                <w:rFonts w:ascii="宋体" w:hAnsi="宋体"/>
                <w:snapToGrid w:val="0"/>
                <w:kern w:val="0"/>
                <w:sz w:val="24"/>
                <w:szCs w:val="24"/>
              </w:rPr>
              <w:t>内部通道长度应符合以下要求：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⑴总规定建筑面积不大于</w:t>
            </w:r>
            <w:r>
              <w:rPr>
                <w:rFonts w:ascii="宋体" w:hAnsi="宋体"/>
                <w:snapToGrid w:val="0"/>
                <w:kern w:val="0"/>
                <w:sz w:val="24"/>
                <w:szCs w:val="24"/>
              </w:rPr>
              <w:t>30万平方米的，</w:t>
            </w:r>
            <w:r>
              <w:rPr>
                <w:rFonts w:hint="eastAsia" w:ascii="宋体" w:hAnsi="宋体"/>
                <w:snapToGrid w:val="0"/>
                <w:kern w:val="0"/>
                <w:sz w:val="24"/>
                <w:szCs w:val="24"/>
              </w:rPr>
              <w:t>场地</w:t>
            </w:r>
            <w:r>
              <w:rPr>
                <w:rFonts w:ascii="宋体" w:hAnsi="宋体"/>
                <w:snapToGrid w:val="0"/>
                <w:kern w:val="0"/>
                <w:sz w:val="24"/>
                <w:szCs w:val="24"/>
              </w:rPr>
              <w:t>内部通道长度应不小于60m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⑵总规定建筑面积大于</w:t>
            </w:r>
            <w:r>
              <w:rPr>
                <w:rFonts w:ascii="宋体" w:hAnsi="宋体"/>
                <w:snapToGrid w:val="0"/>
                <w:kern w:val="0"/>
                <w:sz w:val="24"/>
                <w:szCs w:val="24"/>
              </w:rPr>
              <w:t>30万平方米的，</w:t>
            </w:r>
            <w:r>
              <w:rPr>
                <w:rFonts w:hint="eastAsia" w:ascii="宋体" w:hAnsi="宋体"/>
                <w:snapToGrid w:val="0"/>
                <w:kern w:val="0"/>
                <w:sz w:val="24"/>
                <w:szCs w:val="24"/>
              </w:rPr>
              <w:t>场地</w:t>
            </w:r>
            <w:r>
              <w:rPr>
                <w:rFonts w:ascii="宋体" w:hAnsi="宋体"/>
                <w:snapToGrid w:val="0"/>
                <w:kern w:val="0"/>
                <w:sz w:val="24"/>
                <w:szCs w:val="24"/>
              </w:rPr>
              <w:t>内部通道长度应不小于90m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6.9.4</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地下室机动车出入口坡道地面起坡点，后退规划宽度不小于</w:t>
            </w:r>
            <w:r>
              <w:rPr>
                <w:rFonts w:ascii="宋体" w:hAnsi="宋体"/>
                <w:snapToGrid w:val="0"/>
                <w:kern w:val="0"/>
                <w:sz w:val="24"/>
                <w:szCs w:val="24"/>
              </w:rPr>
              <w:t>30m</w:t>
            </w:r>
            <w:r>
              <w:rPr>
                <w:rFonts w:hint="eastAsia" w:ascii="宋体" w:hAnsi="宋体"/>
                <w:snapToGrid w:val="0"/>
                <w:kern w:val="0"/>
                <w:sz w:val="24"/>
                <w:szCs w:val="24"/>
              </w:rPr>
              <w:t>道路红线的车行距离应不小于</w:t>
            </w:r>
            <w:r>
              <w:rPr>
                <w:rFonts w:ascii="宋体" w:hAnsi="宋体"/>
                <w:snapToGrid w:val="0"/>
                <w:kern w:val="0"/>
                <w:sz w:val="24"/>
                <w:szCs w:val="24"/>
              </w:rPr>
              <w:t>18m</w:t>
            </w:r>
            <w:r>
              <w:rPr>
                <w:rFonts w:hint="eastAsia" w:ascii="宋体" w:hAnsi="宋体"/>
                <w:snapToGrid w:val="0"/>
                <w:kern w:val="0"/>
                <w:sz w:val="24"/>
                <w:szCs w:val="24"/>
              </w:rPr>
              <w:t>，后退其余宽度道路红线的车行距离应不小于</w:t>
            </w:r>
            <w:r>
              <w:rPr>
                <w:rFonts w:ascii="宋体" w:hAnsi="宋体"/>
                <w:snapToGrid w:val="0"/>
                <w:kern w:val="0"/>
                <w:sz w:val="24"/>
                <w:szCs w:val="24"/>
              </w:rPr>
              <w:t>12m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6.9.5</w:t>
            </w:r>
          </w:p>
        </w:tc>
        <w:tc>
          <w:tcPr>
            <w:tcW w:w="8101" w:type="dxa"/>
          </w:tcPr>
          <w:p>
            <w:pPr>
              <w:topLinePunct/>
              <w:snapToGrid w:val="0"/>
              <w:spacing w:before="211" w:beforeLines="50"/>
              <w:rPr>
                <w:rFonts w:ascii="宋体" w:hAnsi="宋体"/>
                <w:b/>
                <w:snapToGrid w:val="0"/>
                <w:spacing w:val="-2"/>
                <w:kern w:val="0"/>
                <w:sz w:val="28"/>
                <w:szCs w:val="28"/>
              </w:rPr>
            </w:pPr>
            <w:r>
              <w:rPr>
                <w:rFonts w:hint="eastAsia" w:ascii="宋体" w:hAnsi="宋体"/>
                <w:snapToGrid w:val="0"/>
                <w:spacing w:val="-2"/>
                <w:kern w:val="0"/>
                <w:sz w:val="24"/>
                <w:szCs w:val="24"/>
              </w:rPr>
              <w:t>应设置户外活动及疏散广场，其占地面积应不小于建设用地面积的</w:t>
            </w:r>
            <w:r>
              <w:rPr>
                <w:rFonts w:ascii="宋体" w:hAnsi="宋体"/>
                <w:snapToGrid w:val="0"/>
                <w:spacing w:val="-2"/>
                <w:kern w:val="0"/>
                <w:sz w:val="24"/>
                <w:szCs w:val="24"/>
              </w:rPr>
              <w:t>5%，并结合城市空间景观环境设计。室外疏散及集散广场不得兼作停车场。公共广场等部位应完善安全、卫生、交通、休息、交谊等行为所需要的设施配置。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6.10</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教育建筑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6.10.1</w:t>
            </w:r>
          </w:p>
        </w:tc>
        <w:tc>
          <w:tcPr>
            <w:tcW w:w="8101" w:type="dxa"/>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通用规定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6.10.1.1</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学校、托儿所、幼儿园大门不应开向城市交通干道，其主要人行出入口与城市道路红线之间应有</w:t>
            </w:r>
            <w:r>
              <w:rPr>
                <w:rFonts w:ascii="宋体" w:hAnsi="宋体"/>
                <w:snapToGrid w:val="0"/>
                <w:kern w:val="0"/>
                <w:sz w:val="24"/>
                <w:szCs w:val="24"/>
              </w:rPr>
              <w:t>10m</w:t>
            </w:r>
            <w:r>
              <w:rPr>
                <w:rFonts w:hint="eastAsia" w:ascii="宋体" w:hAnsi="宋体"/>
                <w:snapToGrid w:val="0"/>
                <w:kern w:val="0"/>
                <w:sz w:val="24"/>
                <w:szCs w:val="24"/>
              </w:rPr>
              <w:t>以上的缓冲距离，与其他机动车出入口距离应不小于</w:t>
            </w:r>
            <w:r>
              <w:rPr>
                <w:rFonts w:ascii="宋体" w:hAnsi="宋体"/>
                <w:snapToGrid w:val="0"/>
                <w:kern w:val="0"/>
                <w:sz w:val="24"/>
                <w:szCs w:val="24"/>
              </w:rPr>
              <w:t>20m</w:t>
            </w:r>
            <w:r>
              <w:rPr>
                <w:rFonts w:hint="eastAsia" w:ascii="宋体" w:hAnsi="宋体"/>
                <w:snapToGrid w:val="0"/>
                <w:kern w:val="0"/>
                <w:sz w:val="24"/>
                <w:szCs w:val="24"/>
              </w:rPr>
              <w:t>，并应提供</w:t>
            </w:r>
            <w:r>
              <w:rPr>
                <w:rFonts w:ascii="宋体" w:hAnsi="宋体"/>
                <w:snapToGrid w:val="0"/>
                <w:kern w:val="0"/>
                <w:sz w:val="24"/>
                <w:szCs w:val="24"/>
              </w:rPr>
              <w:t>2辆及以上</w:t>
            </w:r>
            <w:r>
              <w:rPr>
                <w:rFonts w:hint="eastAsia" w:ascii="宋体" w:hAnsi="宋体"/>
                <w:snapToGrid w:val="0"/>
                <w:kern w:val="0"/>
                <w:sz w:val="24"/>
                <w:szCs w:val="24"/>
              </w:rPr>
              <w:t>接送学生大巴的停车位。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6.10.1.2</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场地与建筑设计应符合无障碍设计要求。无障碍厕所或设有无障碍厕位的公共厕所应每层设置；主要教学用房应设置无障碍电梯。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6.10.1.3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总图设计时应综合考虑总平面布局与市政交通的关系，接送学生的车辆不得影响周边道路的通行。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6.10.1.4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学校、托儿所、幼儿园设有电梯、地下室的，应有避免学生单独进入的安全措施。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w:t>
            </w:r>
          </w:p>
        </w:tc>
        <w:tc>
          <w:tcPr>
            <w:tcW w:w="8101" w:type="dxa"/>
          </w:tcPr>
          <w:p>
            <w:pPr>
              <w:topLinePunct/>
              <w:snapToGrid w:val="0"/>
              <w:spacing w:before="211" w:beforeLines="50"/>
              <w:rPr>
                <w:rFonts w:ascii="宋体" w:hAnsi="宋体"/>
                <w:snapToGrid w:val="0"/>
                <w:kern w:val="0"/>
                <w:sz w:val="24"/>
                <w:szCs w:val="24"/>
              </w:rPr>
            </w:pPr>
            <w:r>
              <w:rPr>
                <w:rFonts w:ascii="宋体" w:hAnsi="宋体"/>
                <w:b/>
                <w:snapToGrid w:val="0"/>
                <w:kern w:val="0"/>
                <w:sz w:val="24"/>
                <w:szCs w:val="24"/>
              </w:rPr>
              <w:t>托儿所、幼儿园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6.10.2.1</w:t>
            </w:r>
          </w:p>
        </w:tc>
        <w:tc>
          <w:tcPr>
            <w:tcW w:w="8101" w:type="dxa"/>
          </w:tcPr>
          <w:p>
            <w:pPr>
              <w:topLinePunct/>
              <w:snapToGrid w:val="0"/>
              <w:spacing w:before="211" w:beforeLines="50"/>
              <w:rPr>
                <w:rFonts w:ascii="宋体" w:hAnsi="宋体"/>
                <w:snapToGrid w:val="0"/>
                <w:spacing w:val="-2"/>
                <w:kern w:val="0"/>
                <w:sz w:val="24"/>
                <w:szCs w:val="24"/>
              </w:rPr>
            </w:pPr>
            <w:r>
              <w:rPr>
                <w:rFonts w:hint="eastAsia" w:ascii="宋体" w:hAnsi="宋体"/>
                <w:snapToGrid w:val="0"/>
                <w:spacing w:val="-2"/>
                <w:kern w:val="0"/>
                <w:sz w:val="24"/>
                <w:szCs w:val="24"/>
              </w:rPr>
              <w:t>四个班及以上的托儿所、幼儿园应有独立的建筑基地、独立院落和出入口。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建筑外墙及其正投影外轮廓线与甲类火灾危险性场所之间的水平距离不应小于</w:t>
            </w:r>
            <w:r>
              <w:rPr>
                <w:rFonts w:ascii="宋体" w:hAnsi="宋体"/>
                <w:snapToGrid w:val="0"/>
                <w:kern w:val="0"/>
                <w:sz w:val="24"/>
                <w:szCs w:val="24"/>
              </w:rPr>
              <w:t>50m</w:t>
            </w:r>
            <w:r>
              <w:rPr>
                <w:rFonts w:hint="eastAsia" w:ascii="宋体" w:hAnsi="宋体"/>
                <w:snapToGrid w:val="0"/>
                <w:kern w:val="0"/>
                <w:sz w:val="24"/>
                <w:szCs w:val="24"/>
              </w:rPr>
              <w:t>，与乙类火灾危险性场所之间的水平距离不宜小于</w:t>
            </w:r>
            <w:r>
              <w:rPr>
                <w:rFonts w:ascii="宋体" w:hAnsi="宋体"/>
                <w:snapToGrid w:val="0"/>
                <w:kern w:val="0"/>
                <w:sz w:val="24"/>
                <w:szCs w:val="24"/>
              </w:rPr>
              <w:t>50m</w:t>
            </w:r>
            <w:r>
              <w:rPr>
                <w:rFonts w:hint="eastAsia" w:ascii="宋体" w:hAnsi="宋体"/>
                <w:snapToGrid w:val="0"/>
                <w:kern w:val="0"/>
                <w:sz w:val="24"/>
                <w:szCs w:val="24"/>
              </w:rPr>
              <w:t>；托儿所、幼儿园的生活用房与其它建筑的距离不应小于</w:t>
            </w:r>
            <w:r>
              <w:rPr>
                <w:rFonts w:ascii="宋体" w:hAnsi="宋体"/>
                <w:snapToGrid w:val="0"/>
                <w:kern w:val="0"/>
                <w:sz w:val="24"/>
                <w:szCs w:val="24"/>
              </w:rPr>
              <w:t>18m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w:t>
            </w:r>
            <w:r>
              <w:rPr>
                <w:rFonts w:hint="eastAsia" w:ascii="宋体" w:hAnsi="宋体"/>
                <w:b/>
                <w:snapToGrid w:val="0"/>
                <w:kern w:val="0"/>
                <w:sz w:val="24"/>
                <w:szCs w:val="24"/>
              </w:rPr>
              <w:t>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自用的停车场所、设备用房，其出入口、行车区域以及排风排烟设施不应设置在幼儿可到达的区域，并应设置便于有效管理的隔离措施。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w:t>
            </w:r>
            <w:r>
              <w:rPr>
                <w:rFonts w:hint="eastAsia" w:ascii="宋体" w:hAnsi="宋体"/>
                <w:b/>
                <w:snapToGrid w:val="0"/>
                <w:kern w:val="0"/>
                <w:sz w:val="24"/>
                <w:szCs w:val="24"/>
              </w:rPr>
              <w:t>4</w:t>
            </w:r>
          </w:p>
        </w:tc>
        <w:tc>
          <w:tcPr>
            <w:tcW w:w="8101" w:type="dxa"/>
          </w:tcPr>
          <w:p>
            <w:pPr>
              <w:topLinePunct/>
              <w:snapToGrid w:val="0"/>
              <w:spacing w:before="211" w:beforeLines="50"/>
              <w:rPr>
                <w:rFonts w:ascii="宋体" w:hAnsi="宋体"/>
                <w:snapToGrid w:val="0"/>
                <w:spacing w:val="-2"/>
                <w:kern w:val="0"/>
                <w:sz w:val="24"/>
                <w:szCs w:val="24"/>
              </w:rPr>
            </w:pPr>
            <w:r>
              <w:rPr>
                <w:rFonts w:hint="eastAsia" w:ascii="宋体" w:hAnsi="宋体"/>
                <w:snapToGrid w:val="0"/>
                <w:spacing w:val="-2"/>
                <w:kern w:val="0"/>
                <w:sz w:val="24"/>
                <w:szCs w:val="24"/>
              </w:rPr>
              <w:t>托儿所、幼儿园合建时，托儿所生活部分应单独分区，并设置单独出入口。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w:t>
            </w:r>
            <w:r>
              <w:rPr>
                <w:rFonts w:hint="eastAsia" w:ascii="宋体" w:hAnsi="宋体"/>
                <w:b/>
                <w:snapToGrid w:val="0"/>
                <w:kern w:val="0"/>
                <w:sz w:val="24"/>
                <w:szCs w:val="24"/>
              </w:rPr>
              <w:t>5</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生活用房和儿童游乐厅等儿童活动场所不应设置在四层及以上楼层或地下、半地下建筑（室）内。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6.10.2.</w:t>
            </w:r>
            <w:r>
              <w:rPr>
                <w:rFonts w:hint="eastAsia" w:ascii="宋体" w:hAnsi="宋体"/>
                <w:b/>
                <w:snapToGrid w:val="0"/>
                <w:kern w:val="0"/>
                <w:sz w:val="24"/>
                <w:szCs w:val="24"/>
              </w:rPr>
              <w:t>6</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生活用房及办公、后勤部分的层高不得超过</w:t>
            </w:r>
            <w:r>
              <w:rPr>
                <w:rFonts w:ascii="宋体" w:hAnsi="宋体"/>
                <w:snapToGrid w:val="0"/>
                <w:kern w:val="0"/>
                <w:sz w:val="24"/>
                <w:szCs w:val="24"/>
              </w:rPr>
              <w:t>4.2m</w:t>
            </w:r>
            <w:r>
              <w:rPr>
                <w:rFonts w:hint="eastAsia" w:ascii="宋体" w:hAnsi="宋体"/>
                <w:snapToGrid w:val="0"/>
                <w:kern w:val="0"/>
                <w:sz w:val="24"/>
                <w:szCs w:val="24"/>
              </w:rPr>
              <w:t>，音体活动室的层高一般不超过</w:t>
            </w:r>
            <w:r>
              <w:rPr>
                <w:rFonts w:ascii="宋体" w:hAnsi="宋体"/>
                <w:snapToGrid w:val="0"/>
                <w:kern w:val="0"/>
                <w:sz w:val="24"/>
                <w:szCs w:val="24"/>
              </w:rPr>
              <w:t>6m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6.10.3</w:t>
            </w:r>
          </w:p>
        </w:tc>
        <w:tc>
          <w:tcPr>
            <w:tcW w:w="8101" w:type="dxa"/>
          </w:tcPr>
          <w:p>
            <w:pPr>
              <w:topLinePunct/>
              <w:snapToGrid w:val="0"/>
              <w:spacing w:before="211" w:beforeLines="50"/>
              <w:rPr>
                <w:rFonts w:ascii="宋体" w:hAnsi="宋体"/>
                <w:snapToGrid w:val="0"/>
                <w:kern w:val="0"/>
                <w:sz w:val="24"/>
                <w:szCs w:val="24"/>
              </w:rPr>
            </w:pPr>
            <w:r>
              <w:rPr>
                <w:rFonts w:ascii="宋体" w:hAnsi="宋体"/>
                <w:b/>
                <w:snapToGrid w:val="0"/>
                <w:kern w:val="0"/>
                <w:sz w:val="24"/>
                <w:szCs w:val="24"/>
              </w:rPr>
              <w:t>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6.10.3.1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本规则中的中小学校泛指对青少年实施中等和初等教育的各种学校，除中学、小学、九年一贯制学校以外，也包括职业技术学校、特殊教育学校及中等专科学校等。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6.10.3.2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color w:val="auto"/>
                <w:kern w:val="0"/>
                <w:sz w:val="24"/>
                <w:szCs w:val="24"/>
              </w:rPr>
              <w:t>建筑退让除满足建筑退红线要求及日照要求外，尚应满足中小学校相关建筑规范要求</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6.10.3.3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color w:val="auto"/>
                <w:kern w:val="0"/>
                <w:sz w:val="24"/>
                <w:szCs w:val="24"/>
              </w:rPr>
              <w:t>鼓励校园功能高效叠合布置方式，积极探索多种类型空间复合使用，满足合班、分班、走班等教学改革需求</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6.10.3.4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校园内停车场地及地下车库的出入口不应直接通向师生人流集中的道路。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6.11</w:t>
            </w:r>
          </w:p>
        </w:tc>
        <w:tc>
          <w:tcPr>
            <w:tcW w:w="8101" w:type="dxa"/>
          </w:tcPr>
          <w:p>
            <w:pPr>
              <w:topLinePunct/>
              <w:snapToGrid w:val="0"/>
              <w:spacing w:before="211" w:beforeLines="50"/>
              <w:rPr>
                <w:rFonts w:ascii="宋体" w:hAnsi="宋体"/>
                <w:snapToGrid w:val="0"/>
                <w:kern w:val="0"/>
                <w:sz w:val="24"/>
                <w:szCs w:val="24"/>
              </w:rPr>
            </w:pPr>
            <w:r>
              <w:rPr>
                <w:rFonts w:ascii="宋体" w:hAnsi="宋体"/>
                <w:b/>
                <w:snapToGrid w:val="0"/>
                <w:kern w:val="0"/>
                <w:sz w:val="28"/>
                <w:szCs w:val="28"/>
              </w:rPr>
              <w:t>垃圾转运站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总平面布置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6.11.1.1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转运规模在</w:t>
            </w:r>
            <w:r>
              <w:rPr>
                <w:rFonts w:ascii="宋体" w:hAnsi="宋体"/>
                <w:snapToGrid w:val="0"/>
                <w:kern w:val="0"/>
                <w:sz w:val="24"/>
                <w:szCs w:val="24"/>
              </w:rPr>
              <w:t>50吨/</w:t>
            </w:r>
            <w:r>
              <w:rPr>
                <w:rFonts w:hint="eastAsia" w:ascii="宋体" w:hAnsi="宋体"/>
                <w:snapToGrid w:val="0"/>
                <w:kern w:val="0"/>
                <w:sz w:val="24"/>
                <w:szCs w:val="24"/>
              </w:rPr>
              <w:t>天以下的垃圾转运站，其站房四周可不设置围墙，站房建筑的外墙与相邻建筑之间的距离应不小于</w:t>
            </w:r>
            <w:r>
              <w:rPr>
                <w:rFonts w:ascii="宋体" w:hAnsi="宋体"/>
                <w:snapToGrid w:val="0"/>
                <w:kern w:val="0"/>
                <w:sz w:val="24"/>
                <w:szCs w:val="24"/>
              </w:rPr>
              <w:t>8m</w:t>
            </w:r>
            <w:r>
              <w:rPr>
                <w:rFonts w:hint="eastAsia" w:ascii="宋体" w:hAnsi="宋体"/>
                <w:snapToGrid w:val="0"/>
                <w:kern w:val="0"/>
                <w:sz w:val="24"/>
                <w:szCs w:val="24"/>
              </w:rPr>
              <w:t>。其他规模的小型垃圾转运站，其站房与周围建筑物（非环卫设施）的间隔应不小于</w:t>
            </w:r>
            <w:r>
              <w:rPr>
                <w:rFonts w:ascii="宋体" w:hAnsi="宋体"/>
                <w:snapToGrid w:val="0"/>
                <w:kern w:val="0"/>
                <w:sz w:val="24"/>
                <w:szCs w:val="24"/>
              </w:rPr>
              <w:t>10m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6.11.1.2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转运车间出口前的回转场地应满足转运车辆的回转要求，场地进深应不小于</w:t>
            </w:r>
            <w:r>
              <w:rPr>
                <w:rFonts w:ascii="宋体" w:hAnsi="宋体"/>
                <w:snapToGrid w:val="0"/>
                <w:kern w:val="0"/>
                <w:sz w:val="24"/>
                <w:szCs w:val="24"/>
              </w:rPr>
              <w:t>15m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6.11.1.</w:t>
            </w:r>
            <w:r>
              <w:rPr>
                <w:rFonts w:hint="eastAsia" w:ascii="宋体" w:hAnsi="宋体"/>
                <w:b/>
                <w:snapToGrid w:val="0"/>
                <w:kern w:val="0"/>
                <w:sz w:val="24"/>
                <w:szCs w:val="24"/>
              </w:rPr>
              <w:t>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室外回转场地应坡向转运站内的排水沟，以避免污水流向市政道路，其坡度不应小于</w:t>
            </w:r>
            <w:r>
              <w:rPr>
                <w:rFonts w:ascii="宋体" w:hAnsi="宋体"/>
                <w:snapToGrid w:val="0"/>
                <w:kern w:val="0"/>
                <w:sz w:val="24"/>
                <w:szCs w:val="24"/>
              </w:rPr>
              <w:t>1%</w:t>
            </w:r>
            <w:r>
              <w:rPr>
                <w:rFonts w:hint="eastAsia" w:ascii="宋体" w:hAnsi="宋体"/>
                <w:snapToGrid w:val="0"/>
                <w:kern w:val="0"/>
                <w:sz w:val="24"/>
                <w:szCs w:val="24"/>
              </w:rPr>
              <w:t>但</w:t>
            </w:r>
            <w:r>
              <w:rPr>
                <w:rFonts w:ascii="宋体" w:hAnsi="宋体"/>
                <w:snapToGrid w:val="0"/>
                <w:kern w:val="0"/>
                <w:sz w:val="24"/>
                <w:szCs w:val="24"/>
              </w:rPr>
              <w:t>不宜大于6%</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6.11.1.</w:t>
            </w:r>
            <w:r>
              <w:rPr>
                <w:rFonts w:hint="eastAsia" w:ascii="宋体" w:hAnsi="宋体"/>
                <w:b/>
                <w:snapToGrid w:val="0"/>
                <w:kern w:val="0"/>
                <w:sz w:val="24"/>
                <w:szCs w:val="24"/>
              </w:rPr>
              <w:t>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再生资源回收站一般以回收间的形式设置在转运站一侧，应有单独的出入口，建筑面积不小于</w:t>
            </w:r>
            <w:r>
              <w:rPr>
                <w:rFonts w:ascii="宋体" w:hAnsi="宋体"/>
                <w:snapToGrid w:val="0"/>
                <w:kern w:val="0"/>
                <w:sz w:val="24"/>
                <w:szCs w:val="24"/>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转运站采用分体式压缩机时，转运站外应设置收集车卸料坡道，坡道宽度不小于</w:t>
            </w:r>
            <w:r>
              <w:rPr>
                <w:rFonts w:ascii="宋体" w:hAnsi="宋体"/>
                <w:snapToGrid w:val="0"/>
                <w:kern w:val="0"/>
                <w:sz w:val="24"/>
                <w:szCs w:val="24"/>
              </w:rPr>
              <w:t>2.4m</w:t>
            </w:r>
            <w:r>
              <w:rPr>
                <w:rFonts w:hint="eastAsia" w:ascii="宋体" w:hAnsi="宋体"/>
                <w:snapToGrid w:val="0"/>
                <w:kern w:val="0"/>
                <w:sz w:val="24"/>
                <w:szCs w:val="24"/>
              </w:rPr>
              <w:t>，坡度不大于</w:t>
            </w:r>
            <w:r>
              <w:rPr>
                <w:rFonts w:ascii="宋体" w:hAnsi="宋体"/>
                <w:snapToGrid w:val="0"/>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转运车间室内地坪标高应高于室外地面</w:t>
            </w:r>
            <w:r>
              <w:rPr>
                <w:rFonts w:ascii="宋体" w:hAnsi="宋体"/>
                <w:snapToGrid w:val="0"/>
                <w:kern w:val="0"/>
                <w:sz w:val="24"/>
                <w:szCs w:val="24"/>
              </w:rPr>
              <w:t>0.15m</w:t>
            </w:r>
            <w:r>
              <w:rPr>
                <w:rFonts w:hint="eastAsia" w:ascii="宋体" w:hAnsi="宋体"/>
                <w:snapToGrid w:val="0"/>
                <w:kern w:val="0"/>
                <w:sz w:val="24"/>
                <w:szCs w:val="24"/>
              </w:rPr>
              <w:t>，但不宜高于</w:t>
            </w:r>
            <w:r>
              <w:rPr>
                <w:rFonts w:ascii="宋体" w:hAnsi="宋体"/>
                <w:snapToGrid w:val="0"/>
                <w:kern w:val="0"/>
                <w:sz w:val="24"/>
                <w:szCs w:val="24"/>
              </w:rPr>
              <w:t>0.3m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6.11.2.3</w:t>
            </w:r>
          </w:p>
        </w:tc>
        <w:tc>
          <w:tcPr>
            <w:tcW w:w="8101" w:type="dxa"/>
          </w:tcPr>
          <w:p>
            <w:pPr>
              <w:topLinePunct/>
              <w:snapToGrid w:val="0"/>
              <w:spacing w:before="211" w:beforeLines="50"/>
              <w:rPr>
                <w:rFonts w:ascii="宋体" w:hAnsi="宋体"/>
                <w:snapToGrid w:val="0"/>
                <w:kern w:val="0"/>
                <w:sz w:val="24"/>
                <w:szCs w:val="24"/>
              </w:rPr>
            </w:pPr>
            <w:r>
              <w:rPr>
                <w:rFonts w:ascii="宋体" w:hAnsi="宋体"/>
                <w:snapToGrid w:val="0"/>
                <w:kern w:val="0"/>
                <w:sz w:val="24"/>
                <w:szCs w:val="24"/>
              </w:rPr>
              <w:t>转运站内垃圾运输车通行门</w:t>
            </w:r>
            <w:r>
              <w:rPr>
                <w:rFonts w:hint="eastAsia" w:ascii="宋体" w:hAnsi="宋体"/>
                <w:snapToGrid w:val="0"/>
                <w:kern w:val="0"/>
                <w:sz w:val="24"/>
                <w:szCs w:val="24"/>
              </w:rPr>
              <w:t>的</w:t>
            </w:r>
            <w:r>
              <w:rPr>
                <w:rFonts w:ascii="宋体" w:hAnsi="宋体"/>
                <w:snapToGrid w:val="0"/>
                <w:kern w:val="0"/>
                <w:sz w:val="24"/>
                <w:szCs w:val="24"/>
              </w:rPr>
              <w:t>净尺寸（宽×高）应不小于3.6m×3.4m</w:t>
            </w:r>
            <w:r>
              <w:rPr>
                <w:rFonts w:hint="eastAsia" w:ascii="宋体" w:hAnsi="宋体"/>
                <w:snapToGrid w:val="0"/>
                <w:kern w:val="0"/>
                <w:sz w:val="24"/>
                <w:szCs w:val="24"/>
              </w:rPr>
              <w:t>（大型机动车进出口的</w:t>
            </w:r>
            <w:r>
              <w:rPr>
                <w:rFonts w:ascii="宋体" w:hAnsi="宋体"/>
                <w:snapToGrid w:val="0"/>
                <w:kern w:val="0"/>
                <w:sz w:val="24"/>
                <w:szCs w:val="24"/>
              </w:rPr>
              <w:t>净尺寸</w:t>
            </w:r>
            <w:r>
              <w:rPr>
                <w:rFonts w:hint="eastAsia" w:ascii="宋体" w:hAnsi="宋体"/>
                <w:snapToGrid w:val="0"/>
                <w:kern w:val="0"/>
                <w:sz w:val="24"/>
                <w:szCs w:val="24"/>
              </w:rPr>
              <w:t>应不小于</w:t>
            </w:r>
            <w:r>
              <w:rPr>
                <w:rFonts w:ascii="宋体" w:hAnsi="宋体"/>
                <w:snapToGrid w:val="0"/>
                <w:kern w:val="0"/>
                <w:sz w:val="24"/>
                <w:szCs w:val="24"/>
              </w:rPr>
              <w:t>4m×5m</w:t>
            </w:r>
            <w:r>
              <w:rPr>
                <w:rFonts w:hint="eastAsia" w:ascii="宋体" w:hAnsi="宋体"/>
                <w:snapToGrid w:val="0"/>
                <w:kern w:val="0"/>
                <w:sz w:val="24"/>
                <w:szCs w:val="24"/>
              </w:rPr>
              <w:t>）；人力收集车通行门的净尺寸应不小于</w:t>
            </w:r>
            <w:r>
              <w:rPr>
                <w:rFonts w:ascii="宋体" w:hAnsi="宋体"/>
                <w:snapToGrid w:val="0"/>
                <w:kern w:val="0"/>
                <w:sz w:val="24"/>
                <w:szCs w:val="24"/>
              </w:rPr>
              <w:t>2.4m</w:t>
            </w:r>
            <w:r>
              <w:rPr>
                <w:rFonts w:hint="eastAsia" w:ascii="宋体" w:hAnsi="宋体"/>
                <w:snapToGrid w:val="0"/>
                <w:kern w:val="0"/>
                <w:sz w:val="24"/>
                <w:szCs w:val="24"/>
              </w:rPr>
              <w:t>×</w:t>
            </w:r>
            <w:r>
              <w:rPr>
                <w:rFonts w:ascii="宋体" w:hAnsi="宋体"/>
                <w:snapToGrid w:val="0"/>
                <w:kern w:val="0"/>
                <w:sz w:val="24"/>
                <w:szCs w:val="24"/>
              </w:rPr>
              <w:t>2.1m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转运车间室内净高应不小于车辆、设备最大伸展高度，且应不小于</w:t>
            </w:r>
            <w:r>
              <w:rPr>
                <w:rFonts w:ascii="宋体" w:hAnsi="宋体"/>
                <w:snapToGrid w:val="0"/>
                <w:kern w:val="0"/>
                <w:sz w:val="24"/>
                <w:szCs w:val="24"/>
              </w:rPr>
              <w:t>6m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6.11.2.5</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公厕、环卫工人作息场所等可设置在转运站的二层或三层。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附设式垃圾转运站的附加要求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应为小型垃圾转运站，且应与所附建筑统一规划、统一设计。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宜靠近服务区域中心或垃圾产生量多且交通运输方便的位置，垃圾转运站应设置通往市政道路的单独出入口。垃圾转运站与相邻建筑门窗洞口的间距不应小于</w:t>
            </w:r>
            <w:r>
              <w:rPr>
                <w:rFonts w:ascii="宋体" w:hAnsi="宋体"/>
                <w:snapToGrid w:val="0"/>
                <w:kern w:val="0"/>
                <w:sz w:val="24"/>
                <w:szCs w:val="24"/>
              </w:rPr>
              <w:t>10m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甲类、乙类、丙类厂房不应附设垃圾转运站。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垃圾转运站不应邻近托幼学校、餐饮店等群众日常生活聚集场所，不宜附设于文化、教育、体育、医疗卫生等功能的建筑内。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6.11.3.5</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垃圾转运站应避开人流、车流集中区域及主要人流、车流路线。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6.11.3.6</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垃圾转运站设于地下或半地下时，应独立于建筑物的其它功能区域，并单独设置出入口。车行通道与人行（人力车）通道应分隔，车行通道净宽≥</w:t>
            </w:r>
            <w:r>
              <w:rPr>
                <w:rFonts w:ascii="宋体" w:hAnsi="宋体"/>
                <w:snapToGrid w:val="0"/>
                <w:kern w:val="0"/>
                <w:sz w:val="24"/>
                <w:szCs w:val="24"/>
              </w:rPr>
              <w:t>4m</w:t>
            </w:r>
            <w:r>
              <w:rPr>
                <w:rFonts w:hint="eastAsia" w:ascii="宋体" w:hAnsi="宋体"/>
                <w:snapToGrid w:val="0"/>
                <w:kern w:val="0"/>
                <w:sz w:val="24"/>
                <w:szCs w:val="24"/>
              </w:rPr>
              <w:t>、净高≥</w:t>
            </w:r>
            <w:r>
              <w:rPr>
                <w:rFonts w:ascii="宋体" w:hAnsi="宋体"/>
                <w:snapToGrid w:val="0"/>
                <w:kern w:val="0"/>
                <w:sz w:val="24"/>
                <w:szCs w:val="24"/>
              </w:rPr>
              <w:t>4m</w:t>
            </w:r>
            <w:r>
              <w:rPr>
                <w:rFonts w:hint="eastAsia" w:ascii="宋体" w:hAnsi="宋体"/>
                <w:snapToGrid w:val="0"/>
                <w:kern w:val="0"/>
                <w:sz w:val="24"/>
                <w:szCs w:val="24"/>
              </w:rPr>
              <w:t>、纵向坡度≤</w:t>
            </w:r>
            <w:r>
              <w:rPr>
                <w:rFonts w:ascii="宋体" w:hAnsi="宋体"/>
                <w:snapToGrid w:val="0"/>
                <w:kern w:val="0"/>
                <w:sz w:val="24"/>
                <w:szCs w:val="24"/>
              </w:rPr>
              <w:t>8%、转弯半径≥9m</w:t>
            </w:r>
            <w:r>
              <w:rPr>
                <w:rFonts w:hint="eastAsia" w:ascii="宋体" w:hAnsi="宋体"/>
                <w:snapToGrid w:val="0"/>
                <w:kern w:val="0"/>
                <w:sz w:val="24"/>
                <w:szCs w:val="24"/>
              </w:rPr>
              <w:t>；人行（人力车）通道净宽≥</w:t>
            </w:r>
            <w:r>
              <w:rPr>
                <w:rFonts w:ascii="宋体" w:hAnsi="宋体"/>
                <w:snapToGrid w:val="0"/>
                <w:kern w:val="0"/>
                <w:sz w:val="24"/>
                <w:szCs w:val="24"/>
              </w:rPr>
              <w:t>2.4m</w:t>
            </w:r>
            <w:r>
              <w:rPr>
                <w:rFonts w:hint="eastAsia" w:ascii="宋体" w:hAnsi="宋体"/>
                <w:snapToGrid w:val="0"/>
                <w:kern w:val="0"/>
                <w:sz w:val="24"/>
                <w:szCs w:val="24"/>
              </w:rPr>
              <w:t>、净高≥</w:t>
            </w:r>
            <w:r>
              <w:rPr>
                <w:rFonts w:ascii="宋体" w:hAnsi="宋体"/>
                <w:snapToGrid w:val="0"/>
                <w:kern w:val="0"/>
                <w:sz w:val="24"/>
                <w:szCs w:val="24"/>
              </w:rPr>
              <w:t>2.5m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6.12</w:t>
            </w:r>
          </w:p>
        </w:tc>
        <w:tc>
          <w:tcPr>
            <w:tcW w:w="8101" w:type="dxa"/>
          </w:tcPr>
          <w:p>
            <w:pPr>
              <w:topLinePunct/>
              <w:snapToGrid w:val="0"/>
              <w:spacing w:before="211" w:beforeLines="50"/>
              <w:rPr>
                <w:rFonts w:ascii="宋体" w:hAnsi="宋体"/>
                <w:snapToGrid w:val="0"/>
                <w:kern w:val="0"/>
                <w:sz w:val="24"/>
                <w:szCs w:val="24"/>
              </w:rPr>
            </w:pPr>
            <w:r>
              <w:rPr>
                <w:rFonts w:ascii="宋体" w:hAnsi="宋体"/>
                <w:b/>
                <w:snapToGrid w:val="0"/>
                <w:kern w:val="0"/>
                <w:sz w:val="28"/>
                <w:szCs w:val="28"/>
              </w:rPr>
              <w:t>公共厕所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6.12.1</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总平面布置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在公交场站、口岸、地铁、火车站、机场、文体旅游设施、医院、公园、公共绿地、广场、商业设施、金融电信营业网点、加油站、旅游景点、机关单位对外开放区等公共场所和新建居住区应按规划要求设置固定式公共厕所，用地充裕时以独立式为宜，用地紧张时可采用附设式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6.12.1.2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独立式公共厕所外墙与相邻建筑物的间距应不小于</w:t>
            </w:r>
            <w:r>
              <w:rPr>
                <w:rFonts w:ascii="宋体" w:hAnsi="宋体"/>
                <w:snapToGrid w:val="0"/>
                <w:kern w:val="0"/>
                <w:sz w:val="24"/>
                <w:szCs w:val="24"/>
              </w:rPr>
              <w:t>5m</w:t>
            </w:r>
            <w:r>
              <w:rPr>
                <w:rFonts w:hint="eastAsia" w:ascii="宋体" w:hAnsi="宋体"/>
                <w:snapToGrid w:val="0"/>
                <w:kern w:val="0"/>
                <w:sz w:val="24"/>
                <w:szCs w:val="24"/>
              </w:rPr>
              <w:t>，周围应设置宽度不小于</w:t>
            </w:r>
            <w:r>
              <w:rPr>
                <w:rFonts w:ascii="宋体" w:hAnsi="宋体"/>
                <w:snapToGrid w:val="0"/>
                <w:kern w:val="0"/>
                <w:sz w:val="24"/>
                <w:szCs w:val="24"/>
              </w:rPr>
              <w:t>3m</w:t>
            </w:r>
            <w:r>
              <w:rPr>
                <w:rFonts w:hint="eastAsia" w:ascii="宋体" w:hAnsi="宋体"/>
                <w:snapToGrid w:val="0"/>
                <w:kern w:val="0"/>
                <w:sz w:val="24"/>
                <w:szCs w:val="24"/>
              </w:rPr>
              <w:t>的绿化隔离带。用地面积按一层计算，不包括与相邻建筑物间的绿化隔离带用地。公共厕所等级标准可参照《城市公共厕所设计标准》</w:t>
            </w:r>
            <w:r>
              <w:rPr>
                <w:rFonts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6.12.2.1</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公共厕所的设计应符合无障碍设计规范的相关规定。平面设计应合理布置卫生洁具的使用空间，并应按规范要求配置无障碍通道、无障碍厕所间或无障碍厕位。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6.12.2.2</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一类公共厕所可附设更衣室、物品寄放处、休息处、停车处场、化妆整容处、母婴室以及淋浴间等。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公共厕所应适当增加女厕的厕位数量，</w:t>
            </w:r>
            <w:r>
              <w:rPr>
                <w:rFonts w:hint="eastAsia" w:ascii="宋体" w:hAnsi="宋体" w:cs="宋体"/>
                <w:snapToGrid w:val="0"/>
                <w:kern w:val="0"/>
                <w:sz w:val="24"/>
                <w:szCs w:val="24"/>
              </w:rPr>
              <w:t>商业街、金融交易场所、餐饮场所、公园和旅游景点等区域场所中公共厕所的男女厕位设置比例应为</w:t>
            </w:r>
            <w:r>
              <w:rPr>
                <w:rFonts w:ascii="宋体" w:hAnsi="宋体" w:cs="Arial"/>
                <w:snapToGrid w:val="0"/>
                <w:kern w:val="0"/>
                <w:sz w:val="24"/>
                <w:szCs w:val="24"/>
              </w:rPr>
              <w:t>1:2</w:t>
            </w:r>
            <w:r>
              <w:rPr>
                <w:rFonts w:hint="eastAsia" w:ascii="宋体" w:hAnsi="宋体" w:cs="宋体"/>
                <w:snapToGrid w:val="0"/>
                <w:kern w:val="0"/>
                <w:sz w:val="24"/>
                <w:szCs w:val="24"/>
              </w:rPr>
              <w:t>～</w:t>
            </w:r>
            <w:r>
              <w:rPr>
                <w:rFonts w:ascii="宋体" w:hAnsi="宋体" w:cs="Arial"/>
                <w:snapToGrid w:val="0"/>
                <w:kern w:val="0"/>
                <w:sz w:val="24"/>
                <w:szCs w:val="24"/>
              </w:rPr>
              <w:t>1:3</w:t>
            </w:r>
            <w:r>
              <w:rPr>
                <w:rFonts w:hint="eastAsia" w:ascii="宋体" w:hAnsi="宋体" w:cs="宋体"/>
                <w:snapToGrid w:val="0"/>
                <w:kern w:val="0"/>
                <w:sz w:val="24"/>
                <w:szCs w:val="24"/>
              </w:rPr>
              <w:t>；其它区域场所中宜为</w:t>
            </w:r>
            <w:r>
              <w:rPr>
                <w:rFonts w:ascii="宋体" w:hAnsi="宋体" w:cs="Arial"/>
                <w:snapToGrid w:val="0"/>
                <w:kern w:val="0"/>
                <w:sz w:val="24"/>
                <w:szCs w:val="24"/>
              </w:rPr>
              <w:t>1:1</w:t>
            </w:r>
            <w:r>
              <w:rPr>
                <w:rFonts w:hint="eastAsia" w:ascii="宋体" w:hAnsi="宋体" w:cs="Arial"/>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6.12.2.4</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公共厕所室内净高应满足以下规定：</w:t>
            </w:r>
          </w:p>
          <w:p>
            <w:pPr>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⑴</w:t>
            </w:r>
            <w:r>
              <w:rPr>
                <w:rFonts w:hint="eastAsia" w:ascii="宋体" w:hAnsi="宋体"/>
                <w:snapToGrid w:val="0"/>
                <w:kern w:val="0"/>
                <w:sz w:val="24"/>
                <w:szCs w:val="24"/>
              </w:rPr>
              <w:t>独立式公共厕所室内净高应不低于</w:t>
            </w:r>
            <w:r>
              <w:rPr>
                <w:rFonts w:ascii="宋体" w:hAnsi="宋体"/>
                <w:snapToGrid w:val="0"/>
                <w:kern w:val="0"/>
                <w:sz w:val="24"/>
                <w:szCs w:val="24"/>
              </w:rPr>
              <w:t>3.7m</w:t>
            </w:r>
            <w:r>
              <w:rPr>
                <w:rFonts w:hint="eastAsia" w:ascii="宋体" w:hAnsi="宋体"/>
                <w:snapToGrid w:val="0"/>
                <w:kern w:val="0"/>
                <w:sz w:val="24"/>
                <w:szCs w:val="24"/>
              </w:rPr>
              <w:t>；当室内设有天窗时可适当降低净高，但应不低于</w:t>
            </w:r>
            <w:r>
              <w:rPr>
                <w:rFonts w:ascii="宋体" w:hAnsi="宋体"/>
                <w:snapToGrid w:val="0"/>
                <w:kern w:val="0"/>
                <w:sz w:val="24"/>
                <w:szCs w:val="24"/>
              </w:rPr>
              <w:t>3.3m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⑵</w:t>
            </w:r>
            <w:r>
              <w:rPr>
                <w:rFonts w:hint="eastAsia" w:ascii="宋体" w:hAnsi="宋体"/>
                <w:snapToGrid w:val="0"/>
                <w:kern w:val="0"/>
                <w:sz w:val="24"/>
                <w:szCs w:val="24"/>
              </w:rPr>
              <w:t>附设式公共厕所的室内高度不得低于其所附建筑物的同层高度，且不宜低于</w:t>
            </w:r>
            <w:r>
              <w:rPr>
                <w:rFonts w:ascii="宋体" w:hAnsi="宋体"/>
                <w:snapToGrid w:val="0"/>
                <w:kern w:val="0"/>
                <w:sz w:val="24"/>
                <w:szCs w:val="24"/>
              </w:rPr>
              <w:t>3.2m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cs="宋体"/>
                <w:snapToGrid w:val="0"/>
                <w:kern w:val="0"/>
                <w:sz w:val="24"/>
                <w:szCs w:val="24"/>
              </w:rPr>
              <w:t>⑶</w:t>
            </w:r>
            <w:r>
              <w:rPr>
                <w:rFonts w:hint="eastAsia" w:ascii="宋体" w:hAnsi="宋体"/>
                <w:snapToGrid w:val="0"/>
                <w:kern w:val="0"/>
                <w:sz w:val="24"/>
                <w:szCs w:val="24"/>
              </w:rPr>
              <w:t>当净高不能满足</w:t>
            </w:r>
            <w:r>
              <w:rPr>
                <w:rFonts w:ascii="宋体" w:hAnsi="宋体"/>
                <w:snapToGrid w:val="0"/>
                <w:kern w:val="0"/>
                <w:sz w:val="24"/>
                <w:szCs w:val="24"/>
              </w:rPr>
              <w:t>6.12.2.4</w:t>
            </w:r>
            <w:r>
              <w:rPr>
                <w:rFonts w:hint="eastAsia" w:ascii="宋体" w:hAnsi="宋体" w:cs="宋体"/>
                <w:snapToGrid w:val="0"/>
                <w:kern w:val="0"/>
                <w:sz w:val="24"/>
                <w:szCs w:val="24"/>
              </w:rPr>
              <w:t>⑴</w:t>
            </w:r>
            <w:r>
              <w:rPr>
                <w:rFonts w:hint="eastAsia" w:ascii="宋体" w:hAnsi="宋体"/>
                <w:snapToGrid w:val="0"/>
                <w:kern w:val="0"/>
                <w:sz w:val="24"/>
                <w:szCs w:val="24"/>
              </w:rPr>
              <w:t>～</w:t>
            </w:r>
            <w:r>
              <w:rPr>
                <w:rFonts w:hint="eastAsia" w:ascii="宋体" w:hAnsi="宋体" w:cs="宋体"/>
                <w:snapToGrid w:val="0"/>
                <w:kern w:val="0"/>
                <w:sz w:val="24"/>
                <w:szCs w:val="24"/>
              </w:rPr>
              <w:t>⑵</w:t>
            </w:r>
            <w:r>
              <w:rPr>
                <w:rFonts w:hint="eastAsia" w:ascii="宋体" w:hAnsi="宋体"/>
                <w:snapToGrid w:val="0"/>
                <w:kern w:val="0"/>
                <w:sz w:val="24"/>
                <w:szCs w:val="24"/>
              </w:rPr>
              <w:t>规定时，应设置机械通风装置。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6.12.2.5</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公共厕所主出入口处的门净宽应不小于</w:t>
            </w:r>
            <w:r>
              <w:rPr>
                <w:rFonts w:ascii="宋体" w:hAnsi="宋体"/>
                <w:snapToGrid w:val="0"/>
                <w:kern w:val="0"/>
                <w:sz w:val="24"/>
                <w:szCs w:val="24"/>
              </w:rPr>
              <w:t>1.4m</w:t>
            </w:r>
            <w:r>
              <w:rPr>
                <w:rFonts w:hint="eastAsia" w:ascii="宋体" w:hAnsi="宋体"/>
                <w:snapToGrid w:val="0"/>
                <w:kern w:val="0"/>
                <w:sz w:val="24"/>
                <w:szCs w:val="24"/>
              </w:rPr>
              <w:t>，男女分室出入口处的走道宽度应不小于</w:t>
            </w:r>
            <w:r>
              <w:rPr>
                <w:rFonts w:ascii="宋体" w:hAnsi="宋体"/>
                <w:snapToGrid w:val="0"/>
                <w:kern w:val="0"/>
                <w:sz w:val="24"/>
                <w:szCs w:val="24"/>
              </w:rPr>
              <w:t>1m</w:t>
            </w:r>
            <w:r>
              <w:rPr>
                <w:rFonts w:hint="eastAsia" w:ascii="宋体" w:hAnsi="宋体"/>
                <w:snapToGrid w:val="0"/>
                <w:kern w:val="0"/>
                <w:sz w:val="24"/>
                <w:szCs w:val="24"/>
              </w:rPr>
              <w:t>。设有残疾人专用单间的公共厕所，其内部应有不小于</w:t>
            </w:r>
            <w:r>
              <w:rPr>
                <w:rFonts w:ascii="宋体" w:hAnsi="宋体"/>
                <w:snapToGrid w:val="0"/>
                <w:kern w:val="0"/>
                <w:sz w:val="24"/>
                <w:szCs w:val="24"/>
              </w:rPr>
              <w:t>1.5m</w:t>
            </w:r>
            <w:r>
              <w:rPr>
                <w:rFonts w:hint="eastAsia" w:ascii="宋体" w:hAnsi="宋体"/>
                <w:snapToGrid w:val="0"/>
                <w:kern w:val="0"/>
                <w:sz w:val="24"/>
                <w:szCs w:val="24"/>
              </w:rPr>
              <w:t>×</w:t>
            </w:r>
            <w:r>
              <w:rPr>
                <w:rFonts w:ascii="宋体" w:hAnsi="宋体"/>
                <w:snapToGrid w:val="0"/>
                <w:kern w:val="0"/>
                <w:sz w:val="24"/>
                <w:szCs w:val="24"/>
              </w:rPr>
              <w:t>1.5m</w:t>
            </w:r>
            <w:r>
              <w:rPr>
                <w:rFonts w:hint="eastAsia" w:ascii="宋体" w:hAnsi="宋体"/>
                <w:snapToGrid w:val="0"/>
                <w:kern w:val="0"/>
                <w:sz w:val="24"/>
                <w:szCs w:val="24"/>
              </w:rPr>
              <w:t>的轮椅回转空间。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8"/>
                <w:szCs w:val="28"/>
              </w:rPr>
              <w:t>附设式停车库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6.13.1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停车位大小</w:t>
            </w:r>
          </w:p>
          <w:p>
            <w:pPr>
              <w:topLinePunct/>
              <w:snapToGrid w:val="0"/>
              <w:spacing w:before="211" w:beforeLines="50"/>
              <w:rPr>
                <w:rFonts w:ascii="宋体" w:hAnsi="宋体"/>
                <w:b/>
                <w:snapToGrid w:val="0"/>
                <w:kern w:val="0"/>
                <w:sz w:val="28"/>
                <w:szCs w:val="28"/>
              </w:rPr>
            </w:pPr>
            <w:r>
              <w:rPr>
                <w:rFonts w:hint="eastAsia" w:ascii="宋体" w:hAnsi="宋体"/>
                <w:snapToGrid w:val="0"/>
                <w:kern w:val="0"/>
                <w:sz w:val="24"/>
                <w:szCs w:val="24"/>
              </w:rPr>
              <w:t>应符合《汽车库建筑设计规范》等相关规范要求。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停车库层高</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地上普通停车库层高不得大于</w:t>
            </w:r>
            <w:r>
              <w:rPr>
                <w:rFonts w:ascii="宋体" w:hAnsi="宋体"/>
                <w:snapToGrid w:val="0"/>
                <w:kern w:val="0"/>
                <w:sz w:val="24"/>
                <w:szCs w:val="24"/>
              </w:rPr>
              <w:t>3.9m；设有</w:t>
            </w:r>
            <w:r>
              <w:rPr>
                <w:rFonts w:hint="eastAsia" w:ascii="宋体" w:hAnsi="宋体"/>
                <w:snapToGrid w:val="0"/>
                <w:kern w:val="0"/>
                <w:sz w:val="24"/>
                <w:szCs w:val="24"/>
              </w:rPr>
              <w:t>两层机械停车位的车库层高不宜大于</w:t>
            </w:r>
            <w:r>
              <w:rPr>
                <w:rFonts w:ascii="宋体" w:hAnsi="宋体"/>
                <w:snapToGrid w:val="0"/>
                <w:kern w:val="0"/>
                <w:sz w:val="24"/>
                <w:szCs w:val="24"/>
              </w:rPr>
              <w:t>5.6m</w:t>
            </w:r>
            <w:r>
              <w:rPr>
                <w:rFonts w:hint="eastAsia" w:ascii="宋体" w:hAnsi="宋体"/>
                <w:snapToGrid w:val="0"/>
                <w:kern w:val="0"/>
                <w:sz w:val="24"/>
                <w:szCs w:val="24"/>
              </w:rPr>
              <w:t>。多层立体机械停车库层高根据实际需要设置。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6.13.3</w:t>
            </w:r>
          </w:p>
        </w:tc>
        <w:tc>
          <w:tcPr>
            <w:tcW w:w="8101" w:type="dxa"/>
          </w:tcPr>
          <w:p>
            <w:pPr>
              <w:topLinePunct/>
              <w:snapToGrid w:val="0"/>
              <w:spacing w:before="211" w:beforeLines="50"/>
              <w:rPr>
                <w:rFonts w:ascii="宋体" w:hAnsi="宋体"/>
                <w:snapToGrid w:val="0"/>
                <w:kern w:val="0"/>
                <w:sz w:val="24"/>
                <w:szCs w:val="24"/>
              </w:rPr>
            </w:pPr>
            <w:r>
              <w:rPr>
                <w:rFonts w:hint="eastAsia" w:ascii="宋体" w:hAnsi="宋体"/>
                <w:b/>
                <w:snapToGrid w:val="0"/>
                <w:kern w:val="0"/>
                <w:sz w:val="24"/>
                <w:szCs w:val="24"/>
              </w:rPr>
              <w:t>车库停车位建筑面积参考表3.1.2.4⑵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w:t>
            </w:r>
            <w:r>
              <w:rPr>
                <w:rFonts w:hint="eastAsia" w:ascii="宋体" w:hAnsi="宋体"/>
                <w:b/>
                <w:snapToGrid w:val="0"/>
                <w:kern w:val="0"/>
                <w:sz w:val="24"/>
                <w:szCs w:val="24"/>
              </w:rPr>
              <w:t>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子母车位</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只可作为单一车位计入规划指标。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w:t>
            </w:r>
            <w:r>
              <w:rPr>
                <w:rFonts w:hint="eastAsia" w:ascii="宋体" w:hAnsi="宋体"/>
                <w:b/>
                <w:snapToGrid w:val="0"/>
                <w:kern w:val="0"/>
                <w:sz w:val="24"/>
                <w:szCs w:val="24"/>
              </w:rPr>
              <w:t>5</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停车位计算</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配建停车位指标以小型车为标准当量，其它车型的停车位应按《深圳市城市规划标准与准则》相关规定进行换算。设计文件中应标明车位数据指标，并在图纸中详细标出车位编号。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w:t>
            </w:r>
            <w:r>
              <w:rPr>
                <w:rFonts w:hint="eastAsia" w:ascii="宋体" w:hAnsi="宋体"/>
                <w:b/>
                <w:snapToGrid w:val="0"/>
                <w:kern w:val="0"/>
                <w:sz w:val="24"/>
                <w:szCs w:val="24"/>
              </w:rPr>
              <w:t>6</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无障碍要求</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地下停车库和地面停车场均应合理设置非机动车位和残疾人专用车位。非机动车的停车位应靠近使用者活动区域；无障碍机动车停车位应设置在方便出入的位置，并应作显著标识，配置数量应符合无障碍设计规范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6.13.</w:t>
            </w:r>
            <w:r>
              <w:rPr>
                <w:rFonts w:hint="eastAsia" w:ascii="宋体" w:hAnsi="宋体"/>
                <w:b/>
                <w:snapToGrid w:val="0"/>
                <w:kern w:val="0"/>
                <w:sz w:val="24"/>
                <w:szCs w:val="24"/>
              </w:rPr>
              <w:t>7</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公共绿地下的停车库</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⑴当地下停车库建筑面积超过</w:t>
            </w:r>
            <w:r>
              <w:rPr>
                <w:rFonts w:ascii="宋体" w:hAnsi="宋体"/>
                <w:snapToGrid w:val="0"/>
                <w:kern w:val="0"/>
                <w:sz w:val="24"/>
                <w:szCs w:val="24"/>
              </w:rPr>
              <w:t>2500㎡时，地下停车库</w:t>
            </w:r>
            <w:r>
              <w:rPr>
                <w:rFonts w:hint="eastAsia" w:ascii="宋体" w:hAnsi="宋体"/>
                <w:snapToGrid w:val="0"/>
                <w:kern w:val="0"/>
                <w:sz w:val="24"/>
                <w:szCs w:val="24"/>
              </w:rPr>
              <w:t>结构外围水平投影</w:t>
            </w:r>
            <w:r>
              <w:rPr>
                <w:rFonts w:ascii="宋体" w:hAnsi="宋体"/>
                <w:snapToGrid w:val="0"/>
                <w:kern w:val="0"/>
                <w:sz w:val="24"/>
                <w:szCs w:val="24"/>
              </w:rPr>
              <w:t>面积不应超过地上公共绿地面积的60%</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⑵车库上方公共绿地种植土覆土厚度不得小于</w:t>
            </w:r>
            <w:r>
              <w:rPr>
                <w:rFonts w:ascii="宋体" w:hAnsi="宋体"/>
                <w:snapToGrid w:val="0"/>
                <w:kern w:val="0"/>
                <w:sz w:val="24"/>
                <w:szCs w:val="24"/>
              </w:rPr>
              <w:t>3m，</w:t>
            </w:r>
            <w:r>
              <w:rPr>
                <w:rFonts w:hint="eastAsia" w:ascii="宋体" w:hAnsi="宋体"/>
                <w:snapToGrid w:val="0"/>
                <w:kern w:val="0"/>
                <w:sz w:val="24"/>
                <w:szCs w:val="24"/>
              </w:rPr>
              <w:t>且覆土顶面高于周边原始地面的高度不超过</w:t>
            </w:r>
            <w:r>
              <w:rPr>
                <w:rFonts w:ascii="宋体" w:hAnsi="宋体"/>
                <w:snapToGrid w:val="0"/>
                <w:kern w:val="0"/>
                <w:sz w:val="24"/>
                <w:szCs w:val="24"/>
              </w:rPr>
              <w:t>0.3m</w:t>
            </w:r>
            <w:r>
              <w:rPr>
                <w:rFonts w:hint="eastAsia" w:ascii="宋体" w:hAnsi="宋体"/>
                <w:snapToGrid w:val="0"/>
                <w:kern w:val="0"/>
                <w:sz w:val="24"/>
                <w:szCs w:val="24"/>
              </w:rPr>
              <w:t>。</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⑶停车库上部结构应做</w:t>
            </w:r>
            <w:r>
              <w:rPr>
                <w:rFonts w:ascii="宋体" w:hAnsi="宋体"/>
                <w:snapToGrid w:val="0"/>
                <w:kern w:val="0"/>
                <w:sz w:val="24"/>
                <w:szCs w:val="24"/>
              </w:rPr>
              <w:t>排水层，确保绿地内潜水能排入周边</w:t>
            </w:r>
            <w:r>
              <w:rPr>
                <w:rFonts w:hint="eastAsia" w:ascii="宋体" w:hAnsi="宋体"/>
                <w:snapToGrid w:val="0"/>
                <w:kern w:val="0"/>
                <w:sz w:val="24"/>
                <w:szCs w:val="24"/>
              </w:rPr>
              <w:t>的土壤中。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6.14</w:t>
            </w:r>
          </w:p>
        </w:tc>
        <w:tc>
          <w:tcPr>
            <w:tcW w:w="8101" w:type="dxa"/>
          </w:tcPr>
          <w:p>
            <w:pPr>
              <w:tabs>
                <w:tab w:val="left" w:pos="1170"/>
              </w:tabs>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6.14.1</w:t>
            </w:r>
          </w:p>
        </w:tc>
        <w:tc>
          <w:tcPr>
            <w:tcW w:w="8101" w:type="dxa"/>
          </w:tcPr>
          <w:p>
            <w:pPr>
              <w:tabs>
                <w:tab w:val="left" w:pos="1170"/>
              </w:tabs>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⑴厂房具有跨度较大、空间开敞、荷载较大、功能单一等特点，其设计须考虑生产工艺及货运等基本要求。</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⑵普通生产厂房不得按新型产业建筑的标准进行设计。</w:t>
            </w:r>
          </w:p>
          <w:p>
            <w:pPr>
              <w:tabs>
                <w:tab w:val="left" w:pos="1170"/>
              </w:tabs>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⑶普通生产厂房不得设置裙房。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6.14.1.2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一般不得采用内天井式平面布局。</w:t>
            </w:r>
            <w:r>
              <w:rPr>
                <w:rFonts w:hint="eastAsia" w:ascii="宋体" w:hAnsi="宋体" w:cs="宋体"/>
                <w:snapToGrid w:val="0"/>
                <w:kern w:val="0"/>
                <w:sz w:val="24"/>
                <w:szCs w:val="24"/>
              </w:rPr>
              <w:t>因特殊工艺</w:t>
            </w:r>
            <w:r>
              <w:rPr>
                <w:rFonts w:hint="eastAsia" w:ascii="宋体" w:hAnsi="宋体"/>
                <w:snapToGrid w:val="0"/>
                <w:kern w:val="0"/>
                <w:sz w:val="24"/>
                <w:szCs w:val="24"/>
              </w:rPr>
              <w:t>需要而采用时，内天井的最小短边尺寸应大于</w:t>
            </w:r>
            <w:r>
              <w:rPr>
                <w:rFonts w:ascii="宋体" w:hAnsi="宋体"/>
                <w:snapToGrid w:val="0"/>
                <w:kern w:val="0"/>
                <w:sz w:val="24"/>
                <w:szCs w:val="24"/>
              </w:rPr>
              <w:t>24m。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6.14.1.3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b/>
                <w:snapToGrid w:val="0"/>
                <w:kern w:val="0"/>
                <w:sz w:val="24"/>
                <w:szCs w:val="24"/>
              </w:rPr>
            </w:pPr>
            <w:r>
              <w:rPr>
                <w:rFonts w:hint="eastAsia" w:ascii="宋体" w:hAnsi="宋体" w:cs="Arial Unicode MS"/>
                <w:snapToGrid w:val="0"/>
                <w:kern w:val="0"/>
                <w:sz w:val="24"/>
                <w:szCs w:val="24"/>
              </w:rPr>
              <w:t>厂房建筑外围设置的任何室外透空空间，其按层计算的总投影面积全部计入地上核减建筑面积。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6.14.1.4</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建筑高度</w:t>
            </w:r>
          </w:p>
          <w:p>
            <w:pPr>
              <w:topLinePunct/>
              <w:snapToGrid w:val="0"/>
              <w:spacing w:before="211" w:beforeLines="50"/>
              <w:rPr>
                <w:rFonts w:ascii="宋体" w:hAnsi="宋体"/>
                <w:b/>
                <w:snapToGrid w:val="0"/>
                <w:kern w:val="0"/>
                <w:sz w:val="24"/>
                <w:szCs w:val="24"/>
              </w:rPr>
            </w:pPr>
            <w:r>
              <w:rPr>
                <w:rFonts w:hint="eastAsia" w:ascii="宋体" w:hAnsi="宋体" w:cs="Arial Unicode MS"/>
                <w:snapToGrid w:val="0"/>
                <w:kern w:val="0"/>
                <w:sz w:val="24"/>
                <w:szCs w:val="24"/>
              </w:rPr>
              <w:t>厂房的</w:t>
            </w:r>
            <w:r>
              <w:rPr>
                <w:rFonts w:ascii="宋体" w:hAnsi="宋体" w:cs="Arial Unicode MS"/>
                <w:snapToGrid w:val="0"/>
                <w:kern w:val="0"/>
                <w:sz w:val="24"/>
                <w:szCs w:val="24"/>
              </w:rPr>
              <w:t>建筑高度不</w:t>
            </w:r>
            <w:r>
              <w:rPr>
                <w:rFonts w:hint="eastAsia" w:ascii="宋体" w:hAnsi="宋体" w:cs="Arial Unicode MS"/>
                <w:snapToGrid w:val="0"/>
                <w:kern w:val="0"/>
                <w:sz w:val="24"/>
                <w:szCs w:val="24"/>
              </w:rPr>
              <w:t>得大于</w:t>
            </w:r>
            <w:r>
              <w:rPr>
                <w:rFonts w:ascii="宋体" w:hAnsi="宋体" w:cs="Arial Unicode MS"/>
                <w:snapToGrid w:val="0"/>
                <w:kern w:val="0"/>
                <w:sz w:val="24"/>
                <w:szCs w:val="24"/>
              </w:rPr>
              <w:t>100米，</w:t>
            </w:r>
            <w:r>
              <w:rPr>
                <w:rFonts w:hint="eastAsia" w:ascii="宋体" w:hAnsi="宋体" w:cs="Arial Unicode MS"/>
                <w:snapToGrid w:val="0"/>
                <w:kern w:val="0"/>
                <w:sz w:val="24"/>
                <w:szCs w:val="24"/>
              </w:rPr>
              <w:t>同一宗地内厂房之间的</w:t>
            </w:r>
            <w:r>
              <w:rPr>
                <w:rFonts w:ascii="宋体" w:hAnsi="宋体" w:cs="Arial Unicode MS"/>
                <w:snapToGrid w:val="0"/>
                <w:kern w:val="0"/>
                <w:sz w:val="24"/>
                <w:szCs w:val="24"/>
              </w:rPr>
              <w:t>建筑高度</w:t>
            </w:r>
            <w:r>
              <w:rPr>
                <w:rFonts w:hint="eastAsia" w:ascii="宋体" w:hAnsi="宋体" w:cs="Arial Unicode MS"/>
                <w:snapToGrid w:val="0"/>
                <w:kern w:val="0"/>
                <w:sz w:val="24"/>
                <w:szCs w:val="24"/>
              </w:rPr>
              <w:t>比</w:t>
            </w:r>
            <w:r>
              <w:rPr>
                <w:rFonts w:ascii="宋体" w:hAnsi="宋体" w:cs="Arial Unicode MS"/>
                <w:snapToGrid w:val="0"/>
                <w:kern w:val="0"/>
                <w:sz w:val="24"/>
                <w:szCs w:val="24"/>
              </w:rPr>
              <w:t>（单层厂房除外）不</w:t>
            </w:r>
            <w:r>
              <w:rPr>
                <w:rFonts w:hint="eastAsia" w:ascii="宋体" w:hAnsi="宋体" w:cs="Arial Unicode MS"/>
                <w:snapToGrid w:val="0"/>
                <w:kern w:val="0"/>
                <w:sz w:val="24"/>
                <w:szCs w:val="24"/>
              </w:rPr>
              <w:t>得大于</w:t>
            </w:r>
            <w:r>
              <w:rPr>
                <w:rFonts w:ascii="宋体" w:hAnsi="宋体" w:cs="Arial Unicode MS"/>
                <w:snapToGrid w:val="0"/>
                <w:kern w:val="0"/>
                <w:sz w:val="24"/>
                <w:szCs w:val="24"/>
              </w:rPr>
              <w:t>2.5。</w:t>
            </w:r>
            <w:r>
              <w:rPr>
                <w:rFonts w:hint="eastAsia" w:ascii="宋体" w:hAnsi="宋体" w:cs="Arial Unicode MS"/>
                <w:snapToGrid w:val="0"/>
                <w:kern w:val="0"/>
                <w:sz w:val="24"/>
                <w:szCs w:val="24"/>
              </w:rPr>
              <w:t>经特别申报并专题论证后确认因生产工艺需要，建筑高度比可进行相应调整。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6.14.1.5</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场地设计</w:t>
            </w:r>
          </w:p>
          <w:p>
            <w:pPr>
              <w:topLinePunct/>
              <w:snapToGrid w:val="0"/>
              <w:spacing w:before="211" w:beforeLines="50"/>
              <w:rPr>
                <w:rFonts w:ascii="宋体" w:hAnsi="宋体" w:cs="Arial Unicode MS"/>
                <w:snapToGrid w:val="0"/>
                <w:kern w:val="0"/>
                <w:sz w:val="24"/>
                <w:szCs w:val="24"/>
              </w:rPr>
            </w:pPr>
            <w:r>
              <w:rPr>
                <w:rFonts w:hint="eastAsia" w:ascii="宋体" w:hAnsi="宋体" w:cs="Arial Unicode MS"/>
                <w:snapToGrid w:val="0"/>
                <w:kern w:val="0"/>
                <w:sz w:val="24"/>
                <w:szCs w:val="24"/>
              </w:rPr>
              <w:t>普通</w:t>
            </w:r>
            <w:r>
              <w:rPr>
                <w:rFonts w:ascii="宋体" w:hAnsi="宋体" w:cs="Arial Unicode MS"/>
                <w:snapToGrid w:val="0"/>
                <w:kern w:val="0"/>
                <w:sz w:val="24"/>
                <w:szCs w:val="24"/>
              </w:rPr>
              <w:t>工业用地</w:t>
            </w:r>
            <w:r>
              <w:rPr>
                <w:rFonts w:hint="eastAsia" w:ascii="宋体" w:hAnsi="宋体" w:cs="Arial Unicode MS"/>
                <w:snapToGrid w:val="0"/>
                <w:kern w:val="0"/>
                <w:sz w:val="24"/>
                <w:szCs w:val="24"/>
              </w:rPr>
              <w:t>内应按照规划要求配置</w:t>
            </w:r>
            <w:r>
              <w:rPr>
                <w:rFonts w:ascii="宋体" w:hAnsi="宋体" w:cs="Arial Unicode MS"/>
                <w:snapToGrid w:val="0"/>
                <w:kern w:val="0"/>
                <w:sz w:val="24"/>
                <w:szCs w:val="24"/>
              </w:rPr>
              <w:t>市政基础设施</w:t>
            </w:r>
            <w:r>
              <w:rPr>
                <w:rFonts w:hint="eastAsia" w:ascii="宋体" w:hAnsi="宋体" w:cs="Arial Unicode MS"/>
                <w:snapToGrid w:val="0"/>
                <w:kern w:val="0"/>
                <w:sz w:val="24"/>
                <w:szCs w:val="24"/>
              </w:rPr>
              <w:t>、</w:t>
            </w:r>
            <w:r>
              <w:rPr>
                <w:rFonts w:ascii="宋体" w:hAnsi="宋体" w:cs="Arial Unicode MS"/>
                <w:snapToGrid w:val="0"/>
                <w:kern w:val="0"/>
                <w:sz w:val="24"/>
                <w:szCs w:val="24"/>
              </w:rPr>
              <w:t>交通设施或</w:t>
            </w:r>
            <w:r>
              <w:rPr>
                <w:rFonts w:hint="eastAsia" w:ascii="宋体" w:hAnsi="宋体" w:cs="Arial Unicode MS"/>
                <w:snapToGrid w:val="0"/>
                <w:kern w:val="0"/>
                <w:sz w:val="24"/>
                <w:szCs w:val="24"/>
              </w:rPr>
              <w:t>其他</w:t>
            </w:r>
            <w:r>
              <w:rPr>
                <w:rFonts w:ascii="宋体" w:hAnsi="宋体" w:cs="Arial Unicode MS"/>
                <w:snapToGrid w:val="0"/>
                <w:kern w:val="0"/>
                <w:sz w:val="24"/>
                <w:szCs w:val="24"/>
              </w:rPr>
              <w:t>配套设施；合理布置生产活动场地，合理疏导人流、普通车流和货流，充分考虑人车分流，提高道路系统安全性；货</w:t>
            </w:r>
            <w:r>
              <w:rPr>
                <w:rFonts w:hint="eastAsia" w:ascii="宋体" w:hAnsi="宋体" w:cs="Arial Unicode MS"/>
                <w:snapToGrid w:val="0"/>
                <w:kern w:val="0"/>
                <w:sz w:val="24"/>
                <w:szCs w:val="24"/>
              </w:rPr>
              <w:t>运</w:t>
            </w:r>
            <w:r>
              <w:rPr>
                <w:rFonts w:ascii="宋体" w:hAnsi="宋体" w:cs="Arial Unicode MS"/>
                <w:snapToGrid w:val="0"/>
                <w:kern w:val="0"/>
                <w:sz w:val="24"/>
                <w:szCs w:val="24"/>
              </w:rPr>
              <w:t>流线与其他车</w:t>
            </w:r>
            <w:r>
              <w:rPr>
                <w:rFonts w:hint="eastAsia" w:ascii="宋体" w:hAnsi="宋体" w:cs="Arial Unicode MS"/>
                <w:snapToGrid w:val="0"/>
                <w:kern w:val="0"/>
                <w:sz w:val="24"/>
                <w:szCs w:val="24"/>
              </w:rPr>
              <w:t>行</w:t>
            </w:r>
            <w:r>
              <w:rPr>
                <w:rFonts w:ascii="宋体" w:hAnsi="宋体" w:cs="Arial Unicode MS"/>
                <w:snapToGrid w:val="0"/>
                <w:kern w:val="0"/>
                <w:sz w:val="24"/>
                <w:szCs w:val="24"/>
              </w:rPr>
              <w:t>流线宜分开设置，</w:t>
            </w:r>
            <w:r>
              <w:rPr>
                <w:rFonts w:hint="eastAsia" w:ascii="宋体" w:hAnsi="宋体" w:cs="Arial Unicode MS"/>
                <w:snapToGrid w:val="0"/>
                <w:kern w:val="0"/>
                <w:sz w:val="24"/>
                <w:szCs w:val="24"/>
              </w:rPr>
              <w:t>避免相互</w:t>
            </w:r>
            <w:r>
              <w:rPr>
                <w:rFonts w:ascii="宋体" w:hAnsi="宋体" w:cs="Arial Unicode MS"/>
                <w:snapToGrid w:val="0"/>
                <w:kern w:val="0"/>
                <w:sz w:val="24"/>
                <w:szCs w:val="24"/>
              </w:rPr>
              <w:t>干扰。</w:t>
            </w:r>
          </w:p>
          <w:p>
            <w:pPr>
              <w:topLinePunct/>
              <w:snapToGrid w:val="0"/>
              <w:spacing w:before="211" w:beforeLines="50"/>
              <w:rPr>
                <w:rFonts w:ascii="宋体" w:hAnsi="宋体"/>
                <w:b/>
                <w:snapToGrid w:val="0"/>
                <w:kern w:val="0"/>
                <w:sz w:val="24"/>
                <w:szCs w:val="24"/>
              </w:rPr>
            </w:pPr>
            <w:r>
              <w:rPr>
                <w:rFonts w:ascii="宋体" w:hAnsi="宋体" w:cs="Arial Unicode MS"/>
                <w:snapToGrid w:val="0"/>
                <w:kern w:val="0"/>
                <w:sz w:val="24"/>
                <w:szCs w:val="24"/>
              </w:rPr>
              <w:t>厂房应</w:t>
            </w:r>
            <w:r>
              <w:rPr>
                <w:rFonts w:hint="eastAsia" w:ascii="宋体" w:hAnsi="宋体" w:cs="Arial Unicode MS"/>
                <w:snapToGrid w:val="0"/>
                <w:kern w:val="0"/>
                <w:sz w:val="24"/>
                <w:szCs w:val="24"/>
              </w:rPr>
              <w:t>邻近货梯</w:t>
            </w:r>
            <w:r>
              <w:rPr>
                <w:rFonts w:ascii="宋体" w:hAnsi="宋体" w:cs="Arial Unicode MS"/>
                <w:snapToGrid w:val="0"/>
                <w:kern w:val="0"/>
                <w:sz w:val="24"/>
                <w:szCs w:val="24"/>
              </w:rPr>
              <w:t>设置卸货场地，</w:t>
            </w:r>
            <w:r>
              <w:rPr>
                <w:rFonts w:hint="eastAsia" w:ascii="宋体" w:hAnsi="宋体" w:cs="Arial Unicode MS"/>
                <w:snapToGrid w:val="0"/>
                <w:kern w:val="0"/>
                <w:sz w:val="24"/>
                <w:szCs w:val="24"/>
              </w:rPr>
              <w:t>卸货场地面积按照</w:t>
            </w:r>
            <w:r>
              <w:rPr>
                <w:rFonts w:ascii="宋体" w:hAnsi="宋体" w:cs="Arial Unicode MS"/>
                <w:snapToGrid w:val="0"/>
                <w:kern w:val="0"/>
                <w:sz w:val="24"/>
                <w:szCs w:val="24"/>
              </w:rPr>
              <w:t>每台货梯</w:t>
            </w:r>
            <w:r>
              <w:rPr>
                <w:rFonts w:hint="eastAsia" w:ascii="宋体" w:hAnsi="宋体" w:cs="Arial Unicode MS"/>
                <w:snapToGrid w:val="0"/>
                <w:kern w:val="0"/>
                <w:sz w:val="24"/>
                <w:szCs w:val="24"/>
              </w:rPr>
              <w:t>至少配备</w:t>
            </w:r>
            <w:r>
              <w:rPr>
                <w:rFonts w:ascii="宋体" w:hAnsi="宋体" w:cs="Arial Unicode MS"/>
                <w:snapToGrid w:val="0"/>
                <w:kern w:val="0"/>
                <w:sz w:val="24"/>
                <w:szCs w:val="24"/>
              </w:rPr>
              <w:t>两台货车位</w:t>
            </w:r>
            <w:r>
              <w:rPr>
                <w:rFonts w:hint="eastAsia" w:ascii="宋体" w:hAnsi="宋体" w:cs="Arial Unicode MS"/>
                <w:snapToGrid w:val="0"/>
                <w:kern w:val="0"/>
                <w:sz w:val="24"/>
                <w:szCs w:val="24"/>
              </w:rPr>
              <w:t>计算</w:t>
            </w:r>
            <w:r>
              <w:rPr>
                <w:rFonts w:ascii="宋体" w:hAnsi="宋体" w:cs="Arial Unicode MS"/>
                <w:snapToGrid w:val="0"/>
                <w:kern w:val="0"/>
                <w:sz w:val="24"/>
                <w:szCs w:val="24"/>
              </w:rPr>
              <w:t>，卸货场地可布置在地面、首层架空</w:t>
            </w:r>
            <w:r>
              <w:rPr>
                <w:rFonts w:hint="eastAsia" w:ascii="宋体" w:hAnsi="宋体" w:cs="Arial Unicode MS"/>
                <w:snapToGrid w:val="0"/>
                <w:kern w:val="0"/>
                <w:sz w:val="24"/>
                <w:szCs w:val="24"/>
              </w:rPr>
              <w:t>、半地下</w:t>
            </w:r>
            <w:r>
              <w:rPr>
                <w:rFonts w:ascii="宋体" w:hAnsi="宋体" w:cs="Arial Unicode MS"/>
                <w:snapToGrid w:val="0"/>
                <w:kern w:val="0"/>
                <w:sz w:val="24"/>
                <w:szCs w:val="24"/>
              </w:rPr>
              <w:t>或地下一层；普通工业用地内卸货场地应满足大型货车通行需求。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6.14.1.6</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屋顶构架</w:t>
            </w:r>
          </w:p>
          <w:p>
            <w:pPr>
              <w:topLinePunct/>
              <w:snapToGrid w:val="0"/>
              <w:spacing w:before="211" w:beforeLines="50"/>
              <w:rPr>
                <w:rFonts w:ascii="宋体" w:hAnsi="宋体"/>
                <w:b/>
                <w:snapToGrid w:val="0"/>
                <w:kern w:val="0"/>
                <w:sz w:val="24"/>
                <w:szCs w:val="24"/>
              </w:rPr>
            </w:pPr>
            <w:r>
              <w:rPr>
                <w:rFonts w:hint="eastAsia" w:ascii="宋体" w:hAnsi="宋体" w:cs="Arial Unicode MS"/>
                <w:snapToGrid w:val="0"/>
                <w:kern w:val="0"/>
                <w:sz w:val="24"/>
                <w:szCs w:val="24"/>
              </w:rPr>
              <w:t>普通工业用地内</w:t>
            </w:r>
            <w:r>
              <w:rPr>
                <w:rFonts w:ascii="宋体" w:hAnsi="宋体" w:cs="Arial Unicode MS"/>
                <w:snapToGrid w:val="0"/>
                <w:kern w:val="0"/>
                <w:sz w:val="24"/>
                <w:szCs w:val="24"/>
              </w:rPr>
              <w:t>各类型建筑</w:t>
            </w:r>
            <w:r>
              <w:rPr>
                <w:rFonts w:hint="eastAsia" w:ascii="宋体" w:hAnsi="宋体" w:cs="Arial Unicode MS"/>
                <w:snapToGrid w:val="0"/>
                <w:kern w:val="0"/>
                <w:sz w:val="24"/>
                <w:szCs w:val="24"/>
              </w:rPr>
              <w:t>（包括厂房、新型产业建筑等）</w:t>
            </w:r>
            <w:r>
              <w:rPr>
                <w:rFonts w:ascii="宋体" w:hAnsi="宋体" w:cs="Arial Unicode MS"/>
                <w:snapToGrid w:val="0"/>
                <w:kern w:val="0"/>
                <w:sz w:val="24"/>
                <w:szCs w:val="24"/>
              </w:rPr>
              <w:t>屋顶构架高度均不得超过6米。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6.14.2.1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⑴须做好货物流线、装卸、垂直运输组织，保证货运简单便捷。非单层</w:t>
            </w:r>
            <w:r>
              <w:rPr>
                <w:rFonts w:ascii="宋体" w:hAnsi="宋体"/>
                <w:snapToGrid w:val="0"/>
                <w:kern w:val="0"/>
                <w:sz w:val="24"/>
                <w:szCs w:val="24"/>
              </w:rPr>
              <w:t>厂房</w:t>
            </w:r>
            <w:r>
              <w:rPr>
                <w:rFonts w:hint="eastAsia" w:ascii="宋体" w:hAnsi="宋体"/>
                <w:snapToGrid w:val="0"/>
                <w:kern w:val="0"/>
                <w:sz w:val="24"/>
                <w:szCs w:val="24"/>
              </w:rPr>
              <w:t>原则上应</w:t>
            </w:r>
            <w:r>
              <w:rPr>
                <w:rFonts w:ascii="宋体" w:hAnsi="宋体"/>
                <w:snapToGrid w:val="0"/>
                <w:kern w:val="0"/>
                <w:sz w:val="24"/>
                <w:szCs w:val="24"/>
              </w:rPr>
              <w:t>配备</w:t>
            </w:r>
            <w:r>
              <w:rPr>
                <w:rFonts w:hint="eastAsia" w:ascii="宋体" w:hAnsi="宋体"/>
                <w:snapToGrid w:val="0"/>
                <w:kern w:val="0"/>
                <w:sz w:val="24"/>
                <w:szCs w:val="24"/>
              </w:rPr>
              <w:t>不少于1</w:t>
            </w:r>
            <w:r>
              <w:rPr>
                <w:rFonts w:ascii="宋体" w:hAnsi="宋体"/>
                <w:snapToGrid w:val="0"/>
                <w:kern w:val="0"/>
                <w:sz w:val="24"/>
                <w:szCs w:val="24"/>
              </w:rPr>
              <w:t>台载重3吨以上货梯，当建筑面积超过15000平方米时，超过部分需按每</w:t>
            </w:r>
            <w:r>
              <w:rPr>
                <w:rFonts w:hint="eastAsia" w:ascii="宋体" w:hAnsi="宋体"/>
                <w:snapToGrid w:val="0"/>
                <w:kern w:val="0"/>
                <w:sz w:val="24"/>
                <w:szCs w:val="24"/>
              </w:rPr>
              <w:t>1</w:t>
            </w:r>
            <w:r>
              <w:rPr>
                <w:rFonts w:ascii="宋体" w:hAnsi="宋体"/>
                <w:snapToGrid w:val="0"/>
                <w:kern w:val="0"/>
                <w:sz w:val="24"/>
                <w:szCs w:val="24"/>
              </w:rPr>
              <w:t>5</w:t>
            </w:r>
            <w:r>
              <w:rPr>
                <w:rFonts w:hint="eastAsia" w:ascii="宋体" w:hAnsi="宋体"/>
                <w:snapToGrid w:val="0"/>
                <w:kern w:val="0"/>
                <w:sz w:val="24"/>
                <w:szCs w:val="24"/>
              </w:rPr>
              <w:t>0</w:t>
            </w:r>
            <w:r>
              <w:rPr>
                <w:rFonts w:ascii="宋体" w:hAnsi="宋体"/>
                <w:snapToGrid w:val="0"/>
                <w:kern w:val="0"/>
                <w:sz w:val="24"/>
                <w:szCs w:val="24"/>
              </w:rPr>
              <w:t>00平方米设置至少1台载重2吨以上的货梯</w:t>
            </w:r>
            <w:r>
              <w:rPr>
                <w:rFonts w:hint="eastAsia" w:ascii="宋体" w:hAnsi="宋体"/>
                <w:snapToGrid w:val="0"/>
                <w:kern w:val="0"/>
                <w:sz w:val="24"/>
                <w:szCs w:val="24"/>
              </w:rPr>
              <w:t>（超出部分不足15000</w:t>
            </w:r>
            <w:r>
              <w:rPr>
                <w:rFonts w:ascii="宋体" w:hAnsi="宋体"/>
                <w:snapToGrid w:val="0"/>
                <w:kern w:val="0"/>
                <w:sz w:val="24"/>
                <w:szCs w:val="24"/>
              </w:rPr>
              <w:t>平方米</w:t>
            </w:r>
            <w:r>
              <w:rPr>
                <w:rFonts w:hint="eastAsia" w:ascii="宋体" w:hAnsi="宋体"/>
                <w:snapToGrid w:val="0"/>
                <w:kern w:val="0"/>
                <w:sz w:val="24"/>
                <w:szCs w:val="24"/>
              </w:rPr>
              <w:t>时按15000</w:t>
            </w:r>
            <w:r>
              <w:rPr>
                <w:rFonts w:ascii="宋体" w:hAnsi="宋体"/>
                <w:snapToGrid w:val="0"/>
                <w:kern w:val="0"/>
                <w:sz w:val="24"/>
                <w:szCs w:val="24"/>
              </w:rPr>
              <w:t>平方米</w:t>
            </w:r>
            <w:r>
              <w:rPr>
                <w:rFonts w:hint="eastAsia" w:ascii="宋体" w:hAnsi="宋体"/>
                <w:snapToGrid w:val="0"/>
                <w:kern w:val="0"/>
                <w:sz w:val="24"/>
                <w:szCs w:val="24"/>
              </w:rPr>
              <w:t>计算）</w:t>
            </w:r>
            <w:r>
              <w:rPr>
                <w:rFonts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w:t>
            </w:r>
            <w:r>
              <w:rPr>
                <w:rFonts w:ascii="宋体" w:hAnsi="宋体"/>
                <w:snapToGrid w:val="0"/>
                <w:kern w:val="0"/>
                <w:sz w:val="24"/>
                <w:szCs w:val="24"/>
              </w:rPr>
              <w:t>厂房平面应规整方正，满足工业生产需要，应留出完整的可供使用的</w:t>
            </w:r>
            <w:r>
              <w:rPr>
                <w:rFonts w:hint="eastAsia" w:ascii="宋体" w:hAnsi="宋体"/>
                <w:snapToGrid w:val="0"/>
                <w:kern w:val="0"/>
                <w:sz w:val="24"/>
                <w:szCs w:val="24"/>
              </w:rPr>
              <w:t>生产</w:t>
            </w:r>
            <w:r>
              <w:rPr>
                <w:rFonts w:ascii="宋体" w:hAnsi="宋体"/>
                <w:snapToGrid w:val="0"/>
                <w:kern w:val="0"/>
                <w:sz w:val="24"/>
                <w:szCs w:val="24"/>
              </w:rPr>
              <w:t>空间</w:t>
            </w:r>
            <w:r>
              <w:rPr>
                <w:rFonts w:hint="eastAsia" w:ascii="宋体" w:hAnsi="宋体"/>
                <w:snapToGrid w:val="0"/>
                <w:kern w:val="0"/>
                <w:sz w:val="24"/>
                <w:szCs w:val="24"/>
              </w:rPr>
              <w:t>，主要进深</w:t>
            </w:r>
            <w:r>
              <w:rPr>
                <w:rFonts w:ascii="宋体" w:hAnsi="宋体"/>
                <w:snapToGrid w:val="0"/>
                <w:kern w:val="0"/>
                <w:sz w:val="24"/>
                <w:szCs w:val="24"/>
              </w:rPr>
              <w:t>不</w:t>
            </w:r>
            <w:r>
              <w:rPr>
                <w:rFonts w:hint="eastAsia" w:ascii="宋体" w:hAnsi="宋体"/>
                <w:snapToGrid w:val="0"/>
                <w:kern w:val="0"/>
                <w:sz w:val="24"/>
                <w:szCs w:val="24"/>
              </w:rPr>
              <w:t>宜</w:t>
            </w:r>
            <w:r>
              <w:rPr>
                <w:rFonts w:ascii="宋体" w:hAnsi="宋体"/>
                <w:snapToGrid w:val="0"/>
                <w:kern w:val="0"/>
                <w:sz w:val="24"/>
                <w:szCs w:val="24"/>
              </w:rPr>
              <w:t>小于</w:t>
            </w:r>
            <w:r>
              <w:rPr>
                <w:rFonts w:hint="eastAsia" w:ascii="宋体" w:hAnsi="宋体"/>
                <w:snapToGrid w:val="0"/>
                <w:kern w:val="0"/>
                <w:sz w:val="24"/>
                <w:szCs w:val="24"/>
              </w:rPr>
              <w:t>15米。建筑平面一般为大开间，如需分隔，各单元面积不宜过小，除配电房、工具间等辅助房间外，</w:t>
            </w:r>
            <w:r>
              <w:rPr>
                <w:rFonts w:ascii="宋体" w:hAnsi="宋体"/>
                <w:snapToGrid w:val="0"/>
                <w:kern w:val="0"/>
                <w:sz w:val="24"/>
                <w:szCs w:val="24"/>
              </w:rPr>
              <w:t>单套套内建筑面积不得小于1000平方米。</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⑶厂房内严禁设置员工宿舍、食堂；办公室、休息室等不应设置在甲、乙类厂房内。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6.14.2.2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建筑内部设置的室内透空空间按层计算的总投影面积全部计入地上核减建筑面积。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6.14.2.3</w:t>
            </w:r>
          </w:p>
        </w:tc>
        <w:tc>
          <w:tcPr>
            <w:tcW w:w="8101" w:type="dxa"/>
            <w:vAlign w:val="top"/>
          </w:tcPr>
          <w:p>
            <w:pPr>
              <w:topLinePunct/>
              <w:snapToGrid w:val="0"/>
              <w:spacing w:before="211" w:beforeLines="50"/>
              <w:rPr>
                <w:rFonts w:ascii="宋体" w:hAnsi="宋体"/>
                <w:b/>
                <w:snapToGrid w:val="0"/>
                <w:color w:val="auto"/>
                <w:kern w:val="0"/>
                <w:sz w:val="24"/>
                <w:szCs w:val="24"/>
              </w:rPr>
            </w:pPr>
            <w:r>
              <w:rPr>
                <w:rFonts w:hint="eastAsia" w:ascii="宋体" w:hAnsi="宋体"/>
                <w:b/>
                <w:bCs/>
                <w:snapToGrid w:val="0"/>
                <w:color w:val="auto"/>
                <w:kern w:val="0"/>
                <w:sz w:val="24"/>
                <w:szCs w:val="24"/>
              </w:rPr>
              <w:t>通用型标准厂房</w:t>
            </w:r>
            <w:r>
              <w:rPr>
                <w:rFonts w:hint="eastAsia" w:ascii="宋体" w:hAnsi="宋体"/>
                <w:b/>
                <w:snapToGrid w:val="0"/>
                <w:color w:val="auto"/>
                <w:kern w:val="0"/>
                <w:sz w:val="24"/>
                <w:szCs w:val="24"/>
              </w:rPr>
              <w:t>建筑层高</w:t>
            </w:r>
          </w:p>
          <w:p>
            <w:pPr>
              <w:topLinePunct/>
              <w:snapToGrid w:val="0"/>
              <w:spacing w:before="211" w:beforeLines="50"/>
              <w:rPr>
                <w:rFonts w:ascii="宋体" w:hAnsi="宋体"/>
                <w:snapToGrid w:val="0"/>
                <w:color w:val="auto"/>
                <w:kern w:val="0"/>
                <w:sz w:val="24"/>
                <w:szCs w:val="24"/>
              </w:rPr>
            </w:pPr>
            <w:r>
              <w:rPr>
                <w:rFonts w:hint="eastAsia" w:ascii="宋体" w:hAnsi="宋体"/>
                <w:snapToGrid w:val="0"/>
                <w:color w:val="auto"/>
                <w:kern w:val="0"/>
                <w:sz w:val="24"/>
                <w:szCs w:val="24"/>
              </w:rPr>
              <w:t>⑴单层厂房层高超过</w:t>
            </w:r>
            <w:r>
              <w:rPr>
                <w:rFonts w:ascii="宋体" w:hAnsi="宋体"/>
                <w:snapToGrid w:val="0"/>
                <w:color w:val="auto"/>
                <w:kern w:val="0"/>
                <w:sz w:val="24"/>
                <w:szCs w:val="24"/>
              </w:rPr>
              <w:t>8m</w:t>
            </w:r>
            <w:r>
              <w:rPr>
                <w:rFonts w:hint="eastAsia" w:ascii="宋体" w:hAnsi="宋体"/>
                <w:snapToGrid w:val="0"/>
                <w:color w:val="auto"/>
                <w:kern w:val="0"/>
                <w:sz w:val="24"/>
                <w:szCs w:val="24"/>
              </w:rPr>
              <w:t>但不超过16</w:t>
            </w:r>
            <w:r>
              <w:rPr>
                <w:rFonts w:ascii="宋体" w:hAnsi="宋体"/>
                <w:snapToGrid w:val="0"/>
                <w:color w:val="auto"/>
                <w:kern w:val="0"/>
                <w:sz w:val="24"/>
                <w:szCs w:val="24"/>
              </w:rPr>
              <w:t>m</w:t>
            </w:r>
            <w:r>
              <w:rPr>
                <w:rFonts w:hint="eastAsia" w:ascii="宋体" w:hAnsi="宋体"/>
                <w:snapToGrid w:val="0"/>
                <w:color w:val="auto"/>
                <w:kern w:val="0"/>
                <w:sz w:val="24"/>
                <w:szCs w:val="24"/>
              </w:rPr>
              <w:t>时，按</w:t>
            </w:r>
            <w:r>
              <w:rPr>
                <w:rFonts w:ascii="宋体" w:hAnsi="宋体"/>
                <w:snapToGrid w:val="0"/>
                <w:color w:val="auto"/>
                <w:kern w:val="0"/>
                <w:sz w:val="24"/>
                <w:szCs w:val="24"/>
              </w:rPr>
              <w:t>3.1.6.4公式2计算地上核减建筑面积</w:t>
            </w:r>
            <w:r>
              <w:rPr>
                <w:rFonts w:hint="eastAsia" w:ascii="宋体" w:hAnsi="宋体"/>
                <w:snapToGrid w:val="0"/>
                <w:color w:val="auto"/>
                <w:kern w:val="0"/>
                <w:sz w:val="24"/>
                <w:szCs w:val="24"/>
              </w:rPr>
              <w:t>（层高标准值为</w:t>
            </w:r>
            <w:r>
              <w:rPr>
                <w:rFonts w:ascii="宋体" w:hAnsi="宋体"/>
                <w:snapToGrid w:val="0"/>
                <w:color w:val="auto"/>
                <w:kern w:val="0"/>
                <w:sz w:val="24"/>
                <w:szCs w:val="24"/>
              </w:rPr>
              <w:t>8m</w:t>
            </w:r>
            <w:r>
              <w:rPr>
                <w:rFonts w:hint="eastAsia" w:ascii="宋体" w:hAnsi="宋体"/>
                <w:snapToGrid w:val="0"/>
                <w:color w:val="auto"/>
                <w:kern w:val="0"/>
                <w:sz w:val="24"/>
                <w:szCs w:val="24"/>
              </w:rPr>
              <w:t>）；层高超过16m时，按其规定建筑面积的</w:t>
            </w:r>
            <w:r>
              <w:rPr>
                <w:rFonts w:ascii="宋体" w:hAnsi="宋体"/>
                <w:snapToGrid w:val="0"/>
                <w:color w:val="auto"/>
                <w:kern w:val="0"/>
                <w:sz w:val="24"/>
                <w:szCs w:val="24"/>
              </w:rPr>
              <w:t>1倍计算地上核减建筑面积</w:t>
            </w:r>
            <w:r>
              <w:rPr>
                <w:rFonts w:hint="eastAsia" w:ascii="宋体" w:hAnsi="宋体"/>
                <w:snapToGrid w:val="0"/>
                <w:color w:val="auto"/>
                <w:kern w:val="0"/>
                <w:sz w:val="24"/>
                <w:szCs w:val="24"/>
              </w:rPr>
              <w:t>。</w:t>
            </w:r>
          </w:p>
          <w:p>
            <w:pPr>
              <w:topLinePunct/>
              <w:snapToGrid w:val="0"/>
              <w:spacing w:before="211" w:beforeLines="50"/>
              <w:rPr>
                <w:rFonts w:hint="eastAsia" w:ascii="宋体" w:hAnsi="宋体"/>
                <w:snapToGrid w:val="0"/>
                <w:color w:val="auto"/>
                <w:kern w:val="0"/>
                <w:sz w:val="24"/>
                <w:szCs w:val="24"/>
              </w:rPr>
            </w:pPr>
            <w:r>
              <w:rPr>
                <w:rFonts w:hint="eastAsia" w:ascii="宋体" w:hAnsi="宋体"/>
                <w:snapToGrid w:val="0"/>
                <w:color w:val="auto"/>
                <w:kern w:val="0"/>
                <w:sz w:val="24"/>
                <w:szCs w:val="24"/>
              </w:rPr>
              <w:t>⑵经特别申报并专题论证后确认因生产工艺需要有特殊层高需求的非单层厂房，首层层高超过8</w:t>
            </w:r>
            <w:r>
              <w:rPr>
                <w:rFonts w:ascii="宋体" w:hAnsi="宋体"/>
                <w:snapToGrid w:val="0"/>
                <w:color w:val="auto"/>
                <w:kern w:val="0"/>
                <w:sz w:val="24"/>
                <w:szCs w:val="24"/>
              </w:rPr>
              <w:t>m</w:t>
            </w:r>
            <w:r>
              <w:rPr>
                <w:rFonts w:hint="eastAsia" w:ascii="宋体" w:hAnsi="宋体"/>
                <w:snapToGrid w:val="0"/>
                <w:color w:val="auto"/>
                <w:kern w:val="0"/>
                <w:sz w:val="24"/>
                <w:szCs w:val="24"/>
              </w:rPr>
              <w:t>，或二至六层部分层高超过6</w:t>
            </w:r>
            <w:r>
              <w:rPr>
                <w:rFonts w:ascii="宋体" w:hAnsi="宋体"/>
                <w:snapToGrid w:val="0"/>
                <w:color w:val="auto"/>
                <w:kern w:val="0"/>
                <w:sz w:val="24"/>
                <w:szCs w:val="24"/>
              </w:rPr>
              <w:t>m</w:t>
            </w:r>
            <w:r>
              <w:rPr>
                <w:rFonts w:hint="eastAsia" w:ascii="宋体" w:hAnsi="宋体"/>
                <w:snapToGrid w:val="0"/>
                <w:color w:val="auto"/>
                <w:kern w:val="0"/>
                <w:sz w:val="24"/>
                <w:szCs w:val="24"/>
              </w:rPr>
              <w:t>，或七层及以上部分层高超过5.4</w:t>
            </w:r>
            <w:r>
              <w:rPr>
                <w:rFonts w:ascii="宋体" w:hAnsi="宋体"/>
                <w:snapToGrid w:val="0"/>
                <w:color w:val="auto"/>
                <w:kern w:val="0"/>
                <w:sz w:val="24"/>
                <w:szCs w:val="24"/>
              </w:rPr>
              <w:t>m</w:t>
            </w:r>
            <w:r>
              <w:rPr>
                <w:rFonts w:hint="eastAsia" w:ascii="宋体" w:hAnsi="宋体"/>
                <w:snapToGrid w:val="0"/>
                <w:color w:val="auto"/>
                <w:kern w:val="0"/>
                <w:sz w:val="24"/>
                <w:szCs w:val="24"/>
              </w:rPr>
              <w:t>时，按</w:t>
            </w:r>
            <w:r>
              <w:rPr>
                <w:rFonts w:ascii="宋体" w:hAnsi="宋体"/>
                <w:snapToGrid w:val="0"/>
                <w:color w:val="auto"/>
                <w:kern w:val="0"/>
                <w:sz w:val="24"/>
                <w:szCs w:val="24"/>
              </w:rPr>
              <w:t>3.1.6.4公式2</w:t>
            </w:r>
            <w:r>
              <w:rPr>
                <w:rFonts w:hint="eastAsia" w:ascii="宋体" w:hAnsi="宋体"/>
                <w:snapToGrid w:val="0"/>
                <w:color w:val="auto"/>
                <w:kern w:val="0"/>
                <w:sz w:val="24"/>
                <w:szCs w:val="24"/>
              </w:rPr>
              <w:t>计算地上核减建筑面积（层高标准值分别为8</w:t>
            </w:r>
            <w:r>
              <w:rPr>
                <w:rFonts w:ascii="宋体" w:hAnsi="宋体"/>
                <w:snapToGrid w:val="0"/>
                <w:color w:val="auto"/>
                <w:kern w:val="0"/>
                <w:sz w:val="24"/>
                <w:szCs w:val="24"/>
              </w:rPr>
              <w:t>m</w:t>
            </w:r>
            <w:r>
              <w:rPr>
                <w:rFonts w:hint="eastAsia" w:ascii="宋体" w:hAnsi="宋体"/>
                <w:snapToGrid w:val="0"/>
                <w:color w:val="auto"/>
                <w:kern w:val="0"/>
                <w:sz w:val="24"/>
                <w:szCs w:val="24"/>
              </w:rPr>
              <w:t>、6</w:t>
            </w:r>
            <w:r>
              <w:rPr>
                <w:rFonts w:ascii="宋体" w:hAnsi="宋体"/>
                <w:snapToGrid w:val="0"/>
                <w:color w:val="auto"/>
                <w:kern w:val="0"/>
                <w:sz w:val="24"/>
                <w:szCs w:val="24"/>
              </w:rPr>
              <w:t>m</w:t>
            </w:r>
            <w:r>
              <w:rPr>
                <w:rFonts w:hint="eastAsia" w:ascii="宋体" w:hAnsi="宋体"/>
                <w:snapToGrid w:val="0"/>
                <w:color w:val="auto"/>
                <w:kern w:val="0"/>
                <w:sz w:val="24"/>
                <w:szCs w:val="24"/>
              </w:rPr>
              <w:t>、5.4</w:t>
            </w:r>
            <w:r>
              <w:rPr>
                <w:rFonts w:ascii="宋体" w:hAnsi="宋体"/>
                <w:snapToGrid w:val="0"/>
                <w:color w:val="auto"/>
                <w:kern w:val="0"/>
                <w:sz w:val="24"/>
                <w:szCs w:val="24"/>
              </w:rPr>
              <w:t>m</w:t>
            </w:r>
            <w:r>
              <w:rPr>
                <w:rFonts w:hint="eastAsia" w:ascii="宋体" w:hAnsi="宋体"/>
                <w:snapToGrid w:val="0"/>
                <w:color w:val="auto"/>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⑶除上述情形外的非单层厂房首层层高超过</w:t>
            </w:r>
            <w:r>
              <w:rPr>
                <w:rFonts w:ascii="宋体" w:hAnsi="宋体"/>
                <w:snapToGrid w:val="0"/>
                <w:kern w:val="0"/>
                <w:sz w:val="24"/>
                <w:szCs w:val="24"/>
              </w:rPr>
              <w:t>6m</w:t>
            </w:r>
            <w:r>
              <w:rPr>
                <w:rFonts w:hint="eastAsia" w:ascii="宋体" w:hAnsi="宋体"/>
                <w:snapToGrid w:val="0"/>
                <w:kern w:val="0"/>
                <w:sz w:val="24"/>
                <w:szCs w:val="24"/>
              </w:rPr>
              <w:t>，或二至六层部分层高超过</w:t>
            </w:r>
            <w:r>
              <w:rPr>
                <w:rFonts w:ascii="宋体" w:hAnsi="宋体"/>
                <w:snapToGrid w:val="0"/>
                <w:kern w:val="0"/>
                <w:sz w:val="24"/>
                <w:szCs w:val="24"/>
              </w:rPr>
              <w:t>5.4m</w:t>
            </w:r>
            <w:r>
              <w:rPr>
                <w:rFonts w:hint="eastAsia" w:ascii="宋体" w:hAnsi="宋体"/>
                <w:snapToGrid w:val="0"/>
                <w:kern w:val="0"/>
                <w:sz w:val="24"/>
                <w:szCs w:val="24"/>
              </w:rPr>
              <w:t>，或七层及以上部分层高超过</w:t>
            </w:r>
            <w:r>
              <w:rPr>
                <w:rFonts w:ascii="宋体" w:hAnsi="宋体"/>
                <w:snapToGrid w:val="0"/>
                <w:kern w:val="0"/>
                <w:sz w:val="24"/>
                <w:szCs w:val="24"/>
              </w:rPr>
              <w:t>4.5m</w:t>
            </w:r>
            <w:r>
              <w:rPr>
                <w:rFonts w:hint="eastAsia" w:ascii="宋体" w:hAnsi="宋体"/>
                <w:snapToGrid w:val="0"/>
                <w:kern w:val="0"/>
                <w:sz w:val="24"/>
                <w:szCs w:val="24"/>
              </w:rPr>
              <w:t>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p>
            <w:pPr>
              <w:topLinePunct/>
              <w:snapToGrid w:val="0"/>
              <w:spacing w:before="211" w:beforeLines="50"/>
              <w:rPr>
                <w:rFonts w:hint="eastAsia" w:ascii="宋体" w:hAnsi="宋体"/>
                <w:snapToGrid w:val="0"/>
                <w:kern w:val="0"/>
                <w:sz w:val="24"/>
                <w:szCs w:val="24"/>
              </w:rPr>
            </w:pPr>
            <w:r>
              <w:rPr>
                <w:rFonts w:hint="eastAsia" w:ascii="宋体" w:hAnsi="宋体"/>
                <w:snapToGrid w:val="0"/>
                <w:kern w:val="0"/>
                <w:sz w:val="24"/>
                <w:szCs w:val="24"/>
              </w:rPr>
              <w:t>⑷厂房</w:t>
            </w:r>
            <w:r>
              <w:rPr>
                <w:rFonts w:ascii="宋体" w:hAnsi="宋体"/>
                <w:snapToGrid w:val="0"/>
                <w:kern w:val="0"/>
                <w:sz w:val="24"/>
                <w:szCs w:val="24"/>
              </w:rPr>
              <w:t>屋面结构找坡＜</w:t>
            </w:r>
            <w:r>
              <w:rPr>
                <w:rFonts w:hint="eastAsia" w:ascii="宋体" w:hAnsi="宋体"/>
                <w:snapToGrid w:val="0"/>
                <w:kern w:val="0"/>
                <w:sz w:val="24"/>
                <w:szCs w:val="24"/>
              </w:rPr>
              <w:t>3</w:t>
            </w:r>
            <w:r>
              <w:rPr>
                <w:rFonts w:ascii="宋体" w:hAnsi="宋体"/>
                <w:snapToGrid w:val="0"/>
                <w:kern w:val="0"/>
                <w:sz w:val="24"/>
                <w:szCs w:val="24"/>
              </w:rPr>
              <w:t>%时层高按最低点计</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⑸厂房首层架空停车</w:t>
            </w:r>
            <w:r>
              <w:rPr>
                <w:rFonts w:hint="eastAsia" w:ascii="宋体" w:hAnsi="宋体"/>
                <w:snapToGrid w:val="0"/>
                <w:kern w:val="0"/>
                <w:sz w:val="24"/>
                <w:szCs w:val="24"/>
                <w:lang w:val="en-US" w:eastAsia="zh-CN"/>
              </w:rPr>
              <w:t>，</w:t>
            </w:r>
            <w:r>
              <w:rPr>
                <w:rFonts w:hint="eastAsia" w:ascii="宋体" w:hAnsi="宋体"/>
                <w:snapToGrid w:val="0"/>
                <w:kern w:val="0"/>
                <w:sz w:val="24"/>
                <w:szCs w:val="24"/>
              </w:rPr>
              <w:t>层高超过6m时，按3.1.6.4公式2计算地上核减建筑面积（层高标准值为3m）。厂房首层架空停车</w:t>
            </w:r>
            <w:r>
              <w:rPr>
                <w:rFonts w:hint="eastAsia" w:ascii="宋体" w:hAnsi="宋体"/>
                <w:snapToGrid w:val="0"/>
                <w:kern w:val="0"/>
                <w:sz w:val="24"/>
                <w:szCs w:val="24"/>
                <w:lang w:val="en-US" w:eastAsia="zh-CN"/>
              </w:rPr>
              <w:t>建筑面积不得超过本栋首层建筑面积的10%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vAlign w:val="top"/>
          </w:tcPr>
          <w:p>
            <w:pPr>
              <w:topLinePunct/>
              <w:snapToGrid w:val="0"/>
              <w:spacing w:before="211" w:beforeLines="50"/>
              <w:rPr>
                <w:rFonts w:ascii="宋体" w:hAnsi="宋体"/>
                <w:b/>
                <w:snapToGrid w:val="0"/>
                <w:kern w:val="0"/>
                <w:sz w:val="24"/>
                <w:szCs w:val="24"/>
              </w:rPr>
            </w:pPr>
            <w:r>
              <w:rPr>
                <w:rFonts w:ascii="宋体" w:hAnsi="宋体"/>
                <w:b/>
                <w:snapToGrid w:val="0"/>
                <w:color w:val="auto"/>
                <w:kern w:val="0"/>
                <w:sz w:val="24"/>
                <w:szCs w:val="24"/>
              </w:rPr>
              <w:t>6.14.2.</w:t>
            </w:r>
            <w:r>
              <w:rPr>
                <w:rFonts w:hint="eastAsia" w:ascii="宋体" w:hAnsi="宋体"/>
                <w:b/>
                <w:snapToGrid w:val="0"/>
                <w:color w:val="auto"/>
                <w:kern w:val="0"/>
                <w:sz w:val="24"/>
                <w:szCs w:val="24"/>
              </w:rPr>
              <w:t>4</w:t>
            </w:r>
          </w:p>
        </w:tc>
        <w:tc>
          <w:tcPr>
            <w:tcW w:w="8101" w:type="dxa"/>
            <w:vAlign w:val="top"/>
          </w:tcPr>
          <w:p>
            <w:pPr>
              <w:topLinePunct/>
              <w:snapToGrid w:val="0"/>
              <w:spacing w:before="211" w:beforeLines="50"/>
              <w:rPr>
                <w:rFonts w:ascii="宋体" w:hAnsi="宋体"/>
                <w:b/>
                <w:snapToGrid w:val="0"/>
                <w:color w:val="auto"/>
                <w:kern w:val="0"/>
                <w:sz w:val="24"/>
                <w:szCs w:val="24"/>
              </w:rPr>
            </w:pPr>
            <w:r>
              <w:rPr>
                <w:rFonts w:hint="eastAsia" w:ascii="宋体" w:hAnsi="宋体"/>
                <w:b/>
                <w:bCs/>
                <w:snapToGrid w:val="0"/>
                <w:color w:val="auto"/>
                <w:kern w:val="0"/>
                <w:sz w:val="24"/>
                <w:szCs w:val="24"/>
              </w:rPr>
              <w:t>定制型专业厂房</w:t>
            </w:r>
            <w:r>
              <w:rPr>
                <w:rFonts w:hint="eastAsia" w:ascii="宋体" w:hAnsi="宋体"/>
                <w:b/>
                <w:snapToGrid w:val="0"/>
                <w:color w:val="auto"/>
                <w:kern w:val="0"/>
                <w:sz w:val="24"/>
                <w:szCs w:val="24"/>
              </w:rPr>
              <w:t>建筑层高</w:t>
            </w:r>
          </w:p>
          <w:p>
            <w:pPr>
              <w:topLinePunct/>
              <w:snapToGrid w:val="0"/>
              <w:spacing w:before="211" w:beforeLines="50"/>
              <w:rPr>
                <w:rFonts w:hint="eastAsia" w:ascii="宋体" w:hAnsi="宋体"/>
                <w:snapToGrid w:val="0"/>
                <w:kern w:val="0"/>
                <w:sz w:val="24"/>
                <w:szCs w:val="24"/>
              </w:rPr>
            </w:pPr>
            <w:r>
              <w:rPr>
                <w:rFonts w:hint="eastAsia" w:ascii="宋体" w:hAnsi="宋体"/>
                <w:snapToGrid w:val="0"/>
                <w:color w:val="auto"/>
                <w:kern w:val="0"/>
                <w:sz w:val="24"/>
                <w:szCs w:val="24"/>
              </w:rPr>
              <w:t>定制型专业厂房的建筑层高可在土地出让前招商引资阶段按照产业主管部门确认的实际工艺需求进行设计，并在《建设用地规划许可证》或《土地使用权出让合同书》中进行约定。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hint="eastAsia" w:ascii="宋体" w:hAnsi="宋体" w:eastAsia="宋体"/>
                <w:b/>
                <w:snapToGrid w:val="0"/>
                <w:kern w:val="0"/>
                <w:sz w:val="24"/>
                <w:szCs w:val="24"/>
                <w:lang w:eastAsia="zh-CN"/>
              </w:rPr>
            </w:pPr>
            <w:r>
              <w:rPr>
                <w:rFonts w:ascii="宋体" w:hAnsi="宋体"/>
                <w:b/>
                <w:snapToGrid w:val="0"/>
                <w:kern w:val="0"/>
                <w:sz w:val="24"/>
                <w:szCs w:val="24"/>
              </w:rPr>
              <w:t>6.14.2.</w:t>
            </w:r>
            <w:r>
              <w:rPr>
                <w:rFonts w:hint="eastAsia" w:ascii="宋体" w:hAnsi="宋体"/>
                <w:b/>
                <w:snapToGrid w:val="0"/>
                <w:kern w:val="0"/>
                <w:sz w:val="24"/>
                <w:szCs w:val="24"/>
                <w:lang w:val="en-US" w:eastAsia="zh-CN"/>
              </w:rPr>
              <w:t>5</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计一半面积的阳台（含公共阳台），还需按其规定建筑面积的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此外，多层高阳台上部空间按层计算的总投影面积按</w:t>
            </w:r>
            <w:r>
              <w:rPr>
                <w:rFonts w:ascii="宋体" w:hAnsi="宋体"/>
                <w:snapToGrid w:val="0"/>
                <w:kern w:val="0"/>
                <w:sz w:val="24"/>
                <w:szCs w:val="24"/>
              </w:rPr>
              <w:t>3.1.6.6</w:t>
            </w:r>
            <w:r>
              <w:rPr>
                <w:rFonts w:hint="eastAsia" w:ascii="宋体" w:hAnsi="宋体"/>
                <w:snapToGrid w:val="0"/>
                <w:kern w:val="0"/>
                <w:sz w:val="24"/>
                <w:szCs w:val="24"/>
              </w:rPr>
              <w:t>公式</w:t>
            </w:r>
            <w:r>
              <w:rPr>
                <w:rFonts w:ascii="宋体" w:hAnsi="宋体"/>
                <w:snapToGrid w:val="0"/>
                <w:kern w:val="0"/>
                <w:sz w:val="24"/>
                <w:szCs w:val="24"/>
              </w:rPr>
              <w:t>4</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6.15</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8"/>
                <w:szCs w:val="28"/>
              </w:rPr>
              <w:t>新型产业建筑</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新型产业建筑的设计参照办公建筑设计规范及相应的消防规范执行。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6.15.1</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主要立面应具备工业建筑或公共建筑的外立面形式和建筑特点，不得设置不计面积的凸窗及任何形式的凸阳台。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6.15.1.2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opLinePunct/>
              <w:snapToGrid w:val="0"/>
              <w:spacing w:before="211" w:beforeLines="50"/>
              <w:rPr>
                <w:rFonts w:ascii="宋体" w:hAnsi="宋体"/>
                <w:b/>
                <w:snapToGrid w:val="0"/>
                <w:kern w:val="0"/>
                <w:sz w:val="24"/>
                <w:szCs w:val="24"/>
              </w:rPr>
            </w:pPr>
            <w:r>
              <w:rPr>
                <w:rFonts w:ascii="宋体" w:hAnsi="宋体"/>
                <w:snapToGrid w:val="0"/>
                <w:kern w:val="0"/>
                <w:sz w:val="24"/>
                <w:szCs w:val="24"/>
              </w:rPr>
              <w:t>内天井</w:t>
            </w:r>
            <w:r>
              <w:rPr>
                <w:rFonts w:hint="eastAsia" w:ascii="宋体" w:hAnsi="宋体"/>
                <w:snapToGrid w:val="0"/>
                <w:kern w:val="0"/>
                <w:sz w:val="24"/>
                <w:szCs w:val="24"/>
              </w:rPr>
              <w:t>的最小短边24m；用于围合内天井四周建筑的最小进深均不应小于15</w:t>
            </w:r>
            <w:r>
              <w:rPr>
                <w:rFonts w:ascii="宋体" w:hAnsi="宋体"/>
                <w:snapToGrid w:val="0"/>
                <w:kern w:val="0"/>
                <w:sz w:val="24"/>
                <w:szCs w:val="24"/>
              </w:rPr>
              <w:t>m</w:t>
            </w:r>
            <w:r>
              <w:rPr>
                <w:rFonts w:hint="eastAsia" w:ascii="宋体" w:hAnsi="宋体"/>
                <w:snapToGrid w:val="0"/>
                <w:kern w:val="0"/>
                <w:sz w:val="24"/>
                <w:szCs w:val="24"/>
              </w:rPr>
              <w:t>，否则应按</w:t>
            </w:r>
            <w:r>
              <w:rPr>
                <w:rFonts w:ascii="宋体" w:hAnsi="宋体"/>
                <w:snapToGrid w:val="0"/>
                <w:kern w:val="0"/>
                <w:sz w:val="24"/>
                <w:szCs w:val="24"/>
              </w:rPr>
              <w:t>6.15.2.2</w:t>
            </w:r>
            <w:r>
              <w:rPr>
                <w:rFonts w:hint="eastAsia" w:ascii="宋体" w:hAnsi="宋体"/>
                <w:snapToGrid w:val="0"/>
                <w:kern w:val="0"/>
                <w:sz w:val="24"/>
                <w:szCs w:val="24"/>
              </w:rPr>
              <w:t>室内透空空间的相关要求控制。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6.15.1.3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凹槽</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严格限制外墙凹槽的设置，因建筑造型需设置面宽5米以内的凹槽，凹槽面宽与进深之比应≥2；凹槽面宽与进深之比小于2的，按层计算的凹槽部分投影面积全部计入地上核减建筑面积。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6.15.1.4</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⑴超高层新型产业建筑外围设置的任何室外透空空间，其按层计算的总投影面积全部计入地上核减建筑面积。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⑵非超高层新型产业建筑在户内房间与房间之间设置的任何室外透空空间，其按层计算的总投影面积全部计入地上核减建筑面积。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⑶因造型或结构需要，非超高层新型产业建筑在户与户之间、户与核心筒之间合理设置的室外透空空间，其按层计算的总投影面积超过该层计规定建筑面积部分水平投影面积的</w:t>
            </w:r>
            <w:r>
              <w:rPr>
                <w:rFonts w:ascii="宋体" w:hAnsi="宋体"/>
                <w:snapToGrid w:val="0"/>
                <w:kern w:val="0"/>
                <w:sz w:val="24"/>
                <w:szCs w:val="24"/>
              </w:rPr>
              <w:t>3%时，全部计入地上核减建筑面积。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6.15.1.5</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建筑高度</w:t>
            </w:r>
          </w:p>
          <w:p>
            <w:pPr>
              <w:topLinePunct/>
              <w:snapToGrid w:val="0"/>
              <w:spacing w:before="211" w:beforeLines="50"/>
              <w:rPr>
                <w:rFonts w:ascii="宋体" w:hAnsi="宋体"/>
                <w:b/>
                <w:snapToGrid w:val="0"/>
                <w:kern w:val="0"/>
                <w:sz w:val="24"/>
                <w:szCs w:val="24"/>
              </w:rPr>
            </w:pPr>
            <w:r>
              <w:rPr>
                <w:rFonts w:ascii="宋体" w:hAnsi="宋体"/>
                <w:snapToGrid w:val="0"/>
                <w:kern w:val="0"/>
                <w:sz w:val="24"/>
                <w:szCs w:val="24"/>
              </w:rPr>
              <w:t>新型产业用地</w:t>
            </w:r>
            <w:r>
              <w:rPr>
                <w:rFonts w:hint="eastAsia" w:ascii="宋体" w:hAnsi="宋体"/>
                <w:snapToGrid w:val="0"/>
                <w:kern w:val="0"/>
                <w:sz w:val="24"/>
                <w:szCs w:val="24"/>
              </w:rPr>
              <w:t>（</w:t>
            </w:r>
            <w:r>
              <w:rPr>
                <w:rFonts w:ascii="宋体" w:hAnsi="宋体"/>
                <w:snapToGrid w:val="0"/>
                <w:kern w:val="0"/>
                <w:sz w:val="24"/>
                <w:szCs w:val="24"/>
              </w:rPr>
              <w:t>M</w:t>
            </w:r>
            <w:r>
              <w:rPr>
                <w:rFonts w:hint="eastAsia" w:ascii="宋体" w:hAnsi="宋体"/>
                <w:snapToGrid w:val="0"/>
                <w:kern w:val="0"/>
                <w:sz w:val="24"/>
                <w:szCs w:val="24"/>
              </w:rPr>
              <w:t>0</w:t>
            </w:r>
            <w:r>
              <w:rPr>
                <w:rFonts w:ascii="宋体" w:hAnsi="宋体"/>
                <w:snapToGrid w:val="0"/>
                <w:kern w:val="0"/>
                <w:sz w:val="24"/>
                <w:szCs w:val="24"/>
              </w:rPr>
              <w:t>）中主导用途</w:t>
            </w:r>
            <w:r>
              <w:rPr>
                <w:rFonts w:hint="eastAsia" w:ascii="宋体" w:hAnsi="宋体"/>
                <w:snapToGrid w:val="0"/>
                <w:kern w:val="0"/>
                <w:sz w:val="24"/>
                <w:szCs w:val="24"/>
              </w:rPr>
              <w:t>的</w:t>
            </w:r>
            <w:r>
              <w:rPr>
                <w:rFonts w:ascii="宋体" w:hAnsi="宋体"/>
                <w:snapToGrid w:val="0"/>
                <w:kern w:val="0"/>
                <w:sz w:val="24"/>
                <w:szCs w:val="24"/>
              </w:rPr>
              <w:t>建筑高度不</w:t>
            </w:r>
            <w:r>
              <w:rPr>
                <w:rFonts w:hint="eastAsia" w:ascii="宋体" w:hAnsi="宋体"/>
                <w:snapToGrid w:val="0"/>
                <w:kern w:val="0"/>
                <w:sz w:val="24"/>
                <w:szCs w:val="24"/>
              </w:rPr>
              <w:t>得</w:t>
            </w:r>
            <w:r>
              <w:rPr>
                <w:rFonts w:ascii="宋体" w:hAnsi="宋体"/>
                <w:snapToGrid w:val="0"/>
                <w:kern w:val="0"/>
                <w:sz w:val="24"/>
                <w:szCs w:val="24"/>
              </w:rPr>
              <w:t>超过250米；商业配套建筑高度不</w:t>
            </w:r>
            <w:r>
              <w:rPr>
                <w:rFonts w:hint="eastAsia" w:ascii="宋体" w:hAnsi="宋体"/>
                <w:snapToGrid w:val="0"/>
                <w:kern w:val="0"/>
                <w:sz w:val="24"/>
                <w:szCs w:val="24"/>
              </w:rPr>
              <w:t>得大于</w:t>
            </w:r>
            <w:r>
              <w:rPr>
                <w:rFonts w:ascii="宋体" w:hAnsi="宋体"/>
                <w:snapToGrid w:val="0"/>
                <w:kern w:val="0"/>
                <w:sz w:val="24"/>
                <w:szCs w:val="24"/>
              </w:rPr>
              <w:t>24米，其他配套建筑高度</w:t>
            </w:r>
            <w:r>
              <w:rPr>
                <w:rFonts w:hint="eastAsia" w:ascii="宋体" w:hAnsi="宋体"/>
                <w:snapToGrid w:val="0"/>
                <w:kern w:val="0"/>
                <w:sz w:val="24"/>
                <w:szCs w:val="24"/>
              </w:rPr>
              <w:t>按照各自规模及相关规范合理确定</w:t>
            </w:r>
            <w:r>
              <w:rPr>
                <w:rFonts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6.15.1.6</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场地设计</w:t>
            </w:r>
          </w:p>
          <w:p>
            <w:pPr>
              <w:topLinePunct/>
              <w:snapToGrid w:val="0"/>
              <w:spacing w:before="211" w:beforeLines="50"/>
              <w:rPr>
                <w:rFonts w:ascii="宋体" w:hAnsi="宋体"/>
                <w:b/>
                <w:snapToGrid w:val="0"/>
                <w:kern w:val="0"/>
                <w:sz w:val="24"/>
                <w:szCs w:val="24"/>
              </w:rPr>
            </w:pPr>
            <w:r>
              <w:rPr>
                <w:rFonts w:ascii="宋体" w:hAnsi="宋体"/>
                <w:snapToGrid w:val="0"/>
                <w:kern w:val="0"/>
                <w:sz w:val="24"/>
                <w:szCs w:val="24"/>
              </w:rPr>
              <w:t>研发用房应</w:t>
            </w:r>
            <w:r>
              <w:rPr>
                <w:rFonts w:hint="eastAsia" w:ascii="宋体" w:hAnsi="宋体"/>
                <w:snapToGrid w:val="0"/>
                <w:kern w:val="0"/>
                <w:sz w:val="24"/>
                <w:szCs w:val="24"/>
              </w:rPr>
              <w:t>邻近货梯</w:t>
            </w:r>
            <w:r>
              <w:rPr>
                <w:rFonts w:ascii="宋体" w:hAnsi="宋体"/>
                <w:snapToGrid w:val="0"/>
                <w:kern w:val="0"/>
                <w:sz w:val="24"/>
                <w:szCs w:val="24"/>
              </w:rPr>
              <w:t>设置卸货场地，</w:t>
            </w:r>
            <w:r>
              <w:rPr>
                <w:rFonts w:hint="eastAsia" w:ascii="宋体" w:hAnsi="宋体"/>
                <w:snapToGrid w:val="0"/>
                <w:kern w:val="0"/>
                <w:sz w:val="24"/>
                <w:szCs w:val="24"/>
              </w:rPr>
              <w:t>卸货场地面积按照</w:t>
            </w:r>
            <w:r>
              <w:rPr>
                <w:rFonts w:ascii="宋体" w:hAnsi="宋体"/>
                <w:snapToGrid w:val="0"/>
                <w:kern w:val="0"/>
                <w:sz w:val="24"/>
                <w:szCs w:val="24"/>
              </w:rPr>
              <w:t>每台货梯</w:t>
            </w:r>
            <w:r>
              <w:rPr>
                <w:rFonts w:hint="eastAsia" w:ascii="宋体" w:hAnsi="宋体"/>
                <w:snapToGrid w:val="0"/>
                <w:kern w:val="0"/>
                <w:sz w:val="24"/>
                <w:szCs w:val="24"/>
              </w:rPr>
              <w:t>至少配备</w:t>
            </w:r>
            <w:r>
              <w:rPr>
                <w:rFonts w:ascii="宋体" w:hAnsi="宋体"/>
                <w:snapToGrid w:val="0"/>
                <w:kern w:val="0"/>
                <w:sz w:val="24"/>
                <w:szCs w:val="24"/>
              </w:rPr>
              <w:t>两台货车位</w:t>
            </w:r>
            <w:r>
              <w:rPr>
                <w:rFonts w:hint="eastAsia" w:ascii="宋体" w:hAnsi="宋体"/>
                <w:snapToGrid w:val="0"/>
                <w:kern w:val="0"/>
                <w:sz w:val="24"/>
                <w:szCs w:val="24"/>
              </w:rPr>
              <w:t>计算</w:t>
            </w:r>
            <w:r>
              <w:rPr>
                <w:rFonts w:ascii="宋体" w:hAnsi="宋体"/>
                <w:snapToGrid w:val="0"/>
                <w:kern w:val="0"/>
                <w:sz w:val="24"/>
                <w:szCs w:val="24"/>
              </w:rPr>
              <w:t>，卸货场地可布置在地面、首层架空</w:t>
            </w:r>
            <w:r>
              <w:rPr>
                <w:rFonts w:hint="eastAsia" w:ascii="宋体" w:hAnsi="宋体"/>
                <w:snapToGrid w:val="0"/>
                <w:kern w:val="0"/>
                <w:sz w:val="24"/>
                <w:szCs w:val="24"/>
              </w:rPr>
              <w:t>、半地下</w:t>
            </w:r>
            <w:r>
              <w:rPr>
                <w:rFonts w:ascii="宋体" w:hAnsi="宋体"/>
                <w:snapToGrid w:val="0"/>
                <w:kern w:val="0"/>
                <w:sz w:val="24"/>
                <w:szCs w:val="24"/>
              </w:rPr>
              <w:t>或地下一层；卸货场地应满足中型货车通行需求。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6.15.2</w:t>
            </w:r>
          </w:p>
        </w:tc>
        <w:tc>
          <w:tcPr>
            <w:tcW w:w="810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6.15.2.1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⑴营业厅、营销展厅、咖啡厅、厨房、餐厅、职工食堂等非新型产业建筑功能的建筑面积不得占用《建设用地规划许可证》中新型产业建筑功能规定建筑面积指标。</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w:t>
            </w:r>
            <w:r>
              <w:rPr>
                <w:rFonts w:ascii="宋体" w:hAnsi="宋体"/>
                <w:snapToGrid w:val="0"/>
                <w:kern w:val="0"/>
                <w:sz w:val="24"/>
                <w:szCs w:val="24"/>
              </w:rPr>
              <w:t>研发用房</w:t>
            </w:r>
            <w:r>
              <w:rPr>
                <w:rFonts w:hint="eastAsia" w:ascii="宋体" w:hAnsi="宋体"/>
                <w:snapToGrid w:val="0"/>
                <w:kern w:val="0"/>
                <w:sz w:val="24"/>
                <w:szCs w:val="24"/>
              </w:rPr>
              <w:t>可</w:t>
            </w:r>
            <w:r>
              <w:rPr>
                <w:rFonts w:ascii="宋体" w:hAnsi="宋体"/>
                <w:snapToGrid w:val="0"/>
                <w:kern w:val="0"/>
                <w:sz w:val="24"/>
                <w:szCs w:val="24"/>
              </w:rPr>
              <w:t>独立设置客梯，</w:t>
            </w:r>
            <w:r>
              <w:rPr>
                <w:rFonts w:hint="eastAsia" w:ascii="宋体" w:hAnsi="宋体"/>
                <w:snapToGrid w:val="0"/>
                <w:kern w:val="0"/>
                <w:sz w:val="24"/>
                <w:szCs w:val="24"/>
              </w:rPr>
              <w:t>应</w:t>
            </w:r>
            <w:r>
              <w:rPr>
                <w:rFonts w:ascii="宋体" w:hAnsi="宋体"/>
                <w:snapToGrid w:val="0"/>
                <w:kern w:val="0"/>
                <w:sz w:val="24"/>
                <w:szCs w:val="24"/>
              </w:rPr>
              <w:t>配备至少1台载重2吨以上的货梯，当与厂房同栋布置时，应满足厂房货梯的配置标准。</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⑶研发用房的卫生间、茶水间、阳台（露含台）及各类型管井、烟道、风井等应集中设置。研发用房单套套内建筑面积不得小于300平方米。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6.15.2.2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仅限大堂（门厅）、公共阳台可设置室内透空空间，其按层计算的总投影面积超过以下相应规模</w:t>
            </w:r>
            <w:r>
              <w:rPr>
                <w:rFonts w:hint="eastAsia" w:ascii="宋体" w:hAnsi="宋体" w:cs="宋体"/>
                <w:snapToGrid w:val="0"/>
                <w:kern w:val="0"/>
                <w:sz w:val="24"/>
                <w:szCs w:val="24"/>
              </w:rPr>
              <w:t>建筑</w:t>
            </w:r>
            <w:r>
              <w:rPr>
                <w:rFonts w:hint="eastAsia" w:ascii="宋体" w:hAnsi="宋体"/>
                <w:snapToGrid w:val="0"/>
                <w:kern w:val="0"/>
                <w:sz w:val="24"/>
                <w:szCs w:val="24"/>
              </w:rPr>
              <w:t>室内透空空间面积限值时，按</w:t>
            </w:r>
            <w:r>
              <w:rPr>
                <w:rFonts w:ascii="宋体" w:hAnsi="宋体"/>
                <w:snapToGrid w:val="0"/>
                <w:kern w:val="0"/>
                <w:sz w:val="24"/>
                <w:szCs w:val="24"/>
              </w:rPr>
              <w:t>3.1.6.3⑴</w:t>
            </w:r>
            <w:r>
              <w:rPr>
                <w:rFonts w:hint="eastAsia" w:ascii="宋体" w:hAnsi="宋体"/>
                <w:snapToGrid w:val="0"/>
                <w:kern w:val="0"/>
                <w:sz w:val="24"/>
                <w:szCs w:val="24"/>
              </w:rPr>
              <w:t>公式</w:t>
            </w:r>
            <w:r>
              <w:rPr>
                <w:rFonts w:ascii="宋体" w:hAnsi="宋体"/>
                <w:snapToGrid w:val="0"/>
                <w:kern w:val="0"/>
                <w:sz w:val="24"/>
                <w:szCs w:val="24"/>
              </w:rPr>
              <w:t>1另行计算地上核减建筑面积。</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w:t>
            </w:r>
            <w:r>
              <w:rPr>
                <w:rFonts w:hint="eastAsia" w:ascii="宋体" w:hAnsi="宋体"/>
                <w:snapToGrid w:val="0"/>
                <w:kern w:val="0"/>
                <w:sz w:val="24"/>
                <w:szCs w:val="24"/>
              </w:rPr>
              <w:t>。</w:t>
            </w:r>
          </w:p>
          <w:p>
            <w:pPr>
              <w:pStyle w:val="38"/>
              <w:numPr>
                <w:ilvl w:val="0"/>
                <w:numId w:val="5"/>
              </w:numPr>
              <w:topLinePunct/>
              <w:snapToGrid w:val="0"/>
              <w:spacing w:before="211" w:beforeLines="50"/>
              <w:ind w:firstLineChars="0"/>
              <w:rPr>
                <w:rFonts w:ascii="宋体" w:hAnsi="宋体"/>
                <w:snapToGrid w:val="0"/>
                <w:kern w:val="0"/>
                <w:sz w:val="24"/>
                <w:szCs w:val="24"/>
              </w:rPr>
            </w:pPr>
            <w:r>
              <w:rPr>
                <w:rFonts w:hint="eastAsia" w:ascii="宋体" w:hAnsi="宋体"/>
                <w:snapToGrid w:val="0"/>
                <w:kern w:val="0"/>
                <w:sz w:val="24"/>
                <w:szCs w:val="24"/>
              </w:rPr>
              <w:t>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snapToGrid w:val="0"/>
                <w:kern w:val="0"/>
                <w:sz w:val="24"/>
                <w:szCs w:val="24"/>
              </w:rPr>
              <w:t>×</w:t>
            </w:r>
            <w:r>
              <w:rPr>
                <w:rFonts w:ascii="宋体" w:hAnsi="宋体"/>
                <w:snapToGrid w:val="0"/>
                <w:kern w:val="0"/>
                <w:sz w:val="24"/>
                <w:szCs w:val="24"/>
              </w:rPr>
              <w:t>5%＋（S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rPr>
              <w:t>3%</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hint="eastAsia" w:ascii="宋体" w:hAnsi="宋体"/>
                <w:snapToGrid w:val="0"/>
                <w:spacing w:val="-6"/>
                <w:kern w:val="0"/>
                <w:sz w:val="24"/>
                <w:szCs w:val="24"/>
              </w:rPr>
              <w:t>其中</w:t>
            </w:r>
            <w:r>
              <w:rPr>
                <w:rFonts w:ascii="宋体" w:hAnsi="宋体"/>
                <w:snapToGrid w:val="0"/>
                <w:spacing w:val="-6"/>
                <w:kern w:val="0"/>
                <w:sz w:val="24"/>
                <w:szCs w:val="24"/>
              </w:rPr>
              <w:t>S</w:t>
            </w:r>
            <w:r>
              <w:rPr>
                <w:rFonts w:ascii="宋体" w:hAnsi="宋体"/>
                <w:snapToGrid w:val="0"/>
                <w:spacing w:val="-6"/>
                <w:kern w:val="0"/>
                <w:sz w:val="24"/>
                <w:szCs w:val="24"/>
                <w:vertAlign w:val="subscript"/>
              </w:rPr>
              <w:t>1</w:t>
            </w:r>
            <w:r>
              <w:rPr>
                <w:rFonts w:hint="eastAsia" w:ascii="宋体" w:hAnsi="宋体"/>
                <w:snapToGrid w:val="0"/>
                <w:spacing w:val="-6"/>
                <w:kern w:val="0"/>
                <w:sz w:val="24"/>
                <w:szCs w:val="24"/>
              </w:rPr>
              <w:t>为本栋新型产业功能建筑面积，</w:t>
            </w:r>
            <w:r>
              <w:rPr>
                <w:rFonts w:ascii="宋体" w:hAnsi="宋体"/>
                <w:snapToGrid w:val="0"/>
                <w:spacing w:val="-6"/>
                <w:kern w:val="0"/>
                <w:sz w:val="24"/>
                <w:szCs w:val="24"/>
              </w:rPr>
              <w:t>S</w:t>
            </w:r>
            <w:r>
              <w:rPr>
                <w:rFonts w:ascii="宋体" w:hAnsi="宋体"/>
                <w:snapToGrid w:val="0"/>
                <w:spacing w:val="-6"/>
                <w:kern w:val="0"/>
                <w:sz w:val="24"/>
                <w:szCs w:val="24"/>
                <w:vertAlign w:val="subscript"/>
              </w:rPr>
              <w:t>2</w:t>
            </w:r>
            <w:r>
              <w:rPr>
                <w:rFonts w:hint="eastAsia" w:ascii="宋体" w:hAnsi="宋体"/>
                <w:snapToGrid w:val="0"/>
                <w:spacing w:val="-6"/>
                <w:kern w:val="0"/>
                <w:sz w:val="24"/>
                <w:szCs w:val="24"/>
              </w:rPr>
              <w:t>为室内透空面积限值，单位为</w:t>
            </w:r>
            <w:r>
              <w:rPr>
                <w:rFonts w:hint="eastAsia" w:ascii="宋体" w:hAnsi="宋体" w:cs="宋体"/>
                <w:snapToGrid w:val="0"/>
                <w:spacing w:val="-6"/>
                <w:kern w:val="0"/>
                <w:sz w:val="24"/>
                <w:szCs w:val="24"/>
              </w:rPr>
              <w:t>㎡</w:t>
            </w:r>
            <w:r>
              <w:rPr>
                <w:rFonts w:hint="eastAsia" w:ascii="宋体" w:hAnsi="宋体"/>
                <w:snapToGrid w:val="0"/>
                <w:spacing w:val="-6"/>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6.15.2.3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首层层高超过</w:t>
            </w:r>
            <w:r>
              <w:rPr>
                <w:rFonts w:ascii="宋体" w:hAnsi="宋体"/>
                <w:snapToGrid w:val="0"/>
                <w:kern w:val="0"/>
                <w:sz w:val="24"/>
                <w:szCs w:val="24"/>
              </w:rPr>
              <w:t>6m</w:t>
            </w:r>
            <w:r>
              <w:rPr>
                <w:rFonts w:hint="eastAsia" w:ascii="宋体" w:hAnsi="宋体"/>
                <w:snapToGrid w:val="0"/>
                <w:kern w:val="0"/>
                <w:sz w:val="24"/>
                <w:szCs w:val="24"/>
              </w:rPr>
              <w:t>，或二层及以上层高超过</w:t>
            </w:r>
            <w:r>
              <w:rPr>
                <w:rFonts w:ascii="宋体" w:hAnsi="宋体"/>
                <w:snapToGrid w:val="0"/>
                <w:kern w:val="0"/>
                <w:sz w:val="24"/>
                <w:szCs w:val="24"/>
              </w:rPr>
              <w:t>4.5m</w:t>
            </w:r>
            <w:r>
              <w:rPr>
                <w:rFonts w:hint="eastAsia" w:ascii="宋体" w:hAnsi="宋体"/>
                <w:snapToGrid w:val="0"/>
                <w:kern w:val="0"/>
                <w:sz w:val="24"/>
                <w:szCs w:val="24"/>
              </w:rPr>
              <w:t>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6.15.2.4</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计一半面积的阳台（含公共阳台）总投影面积之和（含与其相连的花池、空调机位等平台），超过本栋新型产业功能规定建筑面积的</w:t>
            </w:r>
            <w:r>
              <w:rPr>
                <w:rFonts w:ascii="宋体" w:hAnsi="宋体"/>
                <w:snapToGrid w:val="0"/>
                <w:kern w:val="0"/>
                <w:sz w:val="24"/>
                <w:szCs w:val="24"/>
              </w:rPr>
              <w:t>5%时</w:t>
            </w:r>
            <w:r>
              <w:rPr>
                <w:rFonts w:hint="eastAsia" w:ascii="宋体" w:hAnsi="宋体"/>
                <w:snapToGrid w:val="0"/>
                <w:kern w:val="0"/>
                <w:sz w:val="24"/>
                <w:szCs w:val="24"/>
              </w:rPr>
              <w:t>，按</w:t>
            </w:r>
            <w:r>
              <w:rPr>
                <w:rFonts w:ascii="宋体" w:hAnsi="宋体"/>
                <w:snapToGrid w:val="0"/>
                <w:kern w:val="0"/>
                <w:sz w:val="24"/>
                <w:szCs w:val="24"/>
              </w:rPr>
              <w:t>3.1.6.5</w:t>
            </w:r>
            <w:r>
              <w:rPr>
                <w:rFonts w:hint="eastAsia" w:ascii="宋体" w:hAnsi="宋体"/>
                <w:snapToGrid w:val="0"/>
                <w:kern w:val="0"/>
                <w:sz w:val="24"/>
                <w:szCs w:val="24"/>
              </w:rPr>
              <w:t>⑴公式</w:t>
            </w:r>
            <w:r>
              <w:rPr>
                <w:rFonts w:ascii="宋体" w:hAnsi="宋体"/>
                <w:snapToGrid w:val="0"/>
                <w:kern w:val="0"/>
                <w:sz w:val="24"/>
                <w:szCs w:val="24"/>
              </w:rPr>
              <w:t>3</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6.16</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6.16.1</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应合理布置场地，仓库区、卸货区、加工区及办公区分区合理，互不干扰，方便使用。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6.16.1.2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一般不得采用内天井式平面布局。</w:t>
            </w:r>
            <w:r>
              <w:rPr>
                <w:rFonts w:hint="eastAsia" w:ascii="宋体" w:hAnsi="宋体" w:cs="宋体"/>
                <w:snapToGrid w:val="0"/>
                <w:kern w:val="0"/>
                <w:sz w:val="24"/>
                <w:szCs w:val="24"/>
              </w:rPr>
              <w:t>因特殊工艺</w:t>
            </w:r>
            <w:r>
              <w:rPr>
                <w:rFonts w:hint="eastAsia" w:ascii="宋体" w:hAnsi="宋体"/>
                <w:snapToGrid w:val="0"/>
                <w:kern w:val="0"/>
                <w:sz w:val="24"/>
                <w:szCs w:val="24"/>
              </w:rPr>
              <w:t>需要而采用时，内天井的最小短边尺寸应大于</w:t>
            </w:r>
            <w:r>
              <w:rPr>
                <w:rFonts w:ascii="宋体" w:hAnsi="宋体"/>
                <w:snapToGrid w:val="0"/>
                <w:kern w:val="0"/>
                <w:sz w:val="24"/>
                <w:szCs w:val="24"/>
              </w:rPr>
              <w:t>24m。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6.16.1.3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b/>
                <w:snapToGrid w:val="0"/>
                <w:kern w:val="0"/>
                <w:sz w:val="24"/>
                <w:szCs w:val="24"/>
              </w:rPr>
            </w:pPr>
            <w:r>
              <w:rPr>
                <w:rFonts w:hint="eastAsia" w:ascii="宋体" w:hAnsi="宋体" w:cs="Arial Unicode MS"/>
                <w:snapToGrid w:val="0"/>
                <w:kern w:val="0"/>
                <w:sz w:val="24"/>
                <w:szCs w:val="24"/>
              </w:rPr>
              <w:t>仓库建筑外围设置的任何室外透空空间，其按层计算的总投影面积全部计入地上核减建筑面积。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6.16.2.1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建筑平面一般为大开间，如需分隔，各单元建筑面积不宜过小，除配电房、工具间等辅助房间外，单元内建筑面积不宜小于</w:t>
            </w:r>
            <w:r>
              <w:rPr>
                <w:rFonts w:ascii="宋体" w:hAnsi="宋体"/>
                <w:snapToGrid w:val="0"/>
                <w:kern w:val="0"/>
                <w:sz w:val="24"/>
                <w:szCs w:val="24"/>
              </w:rPr>
              <w:t>500</w:t>
            </w:r>
            <w:r>
              <w:rPr>
                <w:rFonts w:hint="eastAsia" w:ascii="宋体" w:hAnsi="宋体" w:cs="宋体"/>
                <w:snapToGrid w:val="0"/>
                <w:kern w:val="0"/>
                <w:sz w:val="24"/>
                <w:szCs w:val="24"/>
              </w:rPr>
              <w:t>㎡</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6.16.2.2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建筑内部设置的室内透空空间按层计算的总投影面积全部计入地上核减建筑面积。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6.16.2.3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⑴单层仓库层高超过</w:t>
            </w:r>
            <w:r>
              <w:rPr>
                <w:rFonts w:ascii="宋体" w:hAnsi="宋体"/>
                <w:snapToGrid w:val="0"/>
                <w:kern w:val="0"/>
                <w:sz w:val="24"/>
                <w:szCs w:val="24"/>
              </w:rPr>
              <w:t>8m</w:t>
            </w:r>
            <w:r>
              <w:rPr>
                <w:rFonts w:hint="eastAsia" w:ascii="宋体" w:hAnsi="宋体"/>
                <w:snapToGrid w:val="0"/>
                <w:kern w:val="0"/>
                <w:sz w:val="24"/>
                <w:szCs w:val="24"/>
              </w:rPr>
              <w:t>但不超过16</w:t>
            </w:r>
            <w:r>
              <w:rPr>
                <w:rFonts w:ascii="宋体" w:hAnsi="宋体"/>
                <w:snapToGrid w:val="0"/>
                <w:kern w:val="0"/>
                <w:sz w:val="24"/>
                <w:szCs w:val="24"/>
              </w:rPr>
              <w:t>m</w:t>
            </w:r>
            <w:r>
              <w:rPr>
                <w:rFonts w:hint="eastAsia" w:ascii="宋体" w:hAnsi="宋体"/>
                <w:snapToGrid w:val="0"/>
                <w:kern w:val="0"/>
                <w:sz w:val="24"/>
                <w:szCs w:val="24"/>
              </w:rPr>
              <w:t>时，按</w:t>
            </w:r>
            <w:r>
              <w:rPr>
                <w:rFonts w:ascii="宋体" w:hAnsi="宋体"/>
                <w:snapToGrid w:val="0"/>
                <w:kern w:val="0"/>
                <w:sz w:val="24"/>
                <w:szCs w:val="24"/>
              </w:rPr>
              <w:t>3.1.6.4公式2计算</w:t>
            </w:r>
            <w:r>
              <w:rPr>
                <w:rFonts w:hint="eastAsia" w:ascii="宋体" w:hAnsi="宋体"/>
                <w:snapToGrid w:val="0"/>
                <w:kern w:val="0"/>
                <w:sz w:val="24"/>
                <w:szCs w:val="24"/>
              </w:rPr>
              <w:t>地上核减建筑面积（层高标准值为</w:t>
            </w:r>
            <w:r>
              <w:rPr>
                <w:rFonts w:ascii="宋体" w:hAnsi="宋体"/>
                <w:snapToGrid w:val="0"/>
                <w:kern w:val="0"/>
                <w:sz w:val="24"/>
                <w:szCs w:val="24"/>
              </w:rPr>
              <w:t>8m</w:t>
            </w:r>
            <w:r>
              <w:rPr>
                <w:rFonts w:hint="eastAsia" w:ascii="宋体" w:hAnsi="宋体"/>
                <w:snapToGrid w:val="0"/>
                <w:kern w:val="0"/>
                <w:sz w:val="24"/>
                <w:szCs w:val="24"/>
              </w:rPr>
              <w:t>）；</w:t>
            </w:r>
            <w:r>
              <w:rPr>
                <w:rFonts w:ascii="宋体" w:hAnsi="宋体"/>
                <w:snapToGrid w:val="0"/>
                <w:kern w:val="0"/>
                <w:sz w:val="24"/>
                <w:szCs w:val="24"/>
              </w:rPr>
              <w:t>层高超过16m时，</w:t>
            </w:r>
            <w:r>
              <w:rPr>
                <w:rFonts w:hint="eastAsia" w:ascii="宋体" w:hAnsi="宋体"/>
                <w:snapToGrid w:val="0"/>
                <w:kern w:val="0"/>
                <w:sz w:val="24"/>
                <w:szCs w:val="24"/>
              </w:rPr>
              <w:t>按其规定建筑面积的</w:t>
            </w:r>
            <w:r>
              <w:rPr>
                <w:rFonts w:ascii="宋体" w:hAnsi="宋体"/>
                <w:snapToGrid w:val="0"/>
                <w:kern w:val="0"/>
                <w:sz w:val="24"/>
                <w:szCs w:val="24"/>
              </w:rPr>
              <w:t>1倍计算地上核减建筑面积</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w:t>
            </w:r>
            <w:r>
              <w:rPr>
                <w:rFonts w:ascii="宋体" w:hAnsi="宋体"/>
                <w:snapToGrid w:val="0"/>
                <w:kern w:val="0"/>
                <w:sz w:val="24"/>
                <w:szCs w:val="24"/>
              </w:rPr>
              <w:t>处于海关特殊监管区域内且垂直</w:t>
            </w:r>
            <w:r>
              <w:rPr>
                <w:rFonts w:hint="eastAsia" w:ascii="宋体" w:hAnsi="宋体"/>
                <w:snapToGrid w:val="0"/>
                <w:kern w:val="0"/>
                <w:sz w:val="24"/>
                <w:szCs w:val="24"/>
              </w:rPr>
              <w:t>货运</w:t>
            </w:r>
            <w:r>
              <w:rPr>
                <w:rFonts w:ascii="宋体" w:hAnsi="宋体"/>
                <w:snapToGrid w:val="0"/>
                <w:kern w:val="0"/>
                <w:sz w:val="24"/>
                <w:szCs w:val="24"/>
              </w:rPr>
              <w:t>交通设计为全盘道式的</w:t>
            </w:r>
            <w:r>
              <w:rPr>
                <w:rFonts w:hint="eastAsia" w:ascii="宋体" w:hAnsi="宋体"/>
                <w:snapToGrid w:val="0"/>
                <w:kern w:val="0"/>
                <w:sz w:val="24"/>
                <w:szCs w:val="24"/>
              </w:rPr>
              <w:t>非单层</w:t>
            </w:r>
            <w:r>
              <w:rPr>
                <w:rFonts w:ascii="宋体" w:hAnsi="宋体"/>
                <w:snapToGrid w:val="0"/>
                <w:kern w:val="0"/>
                <w:sz w:val="24"/>
                <w:szCs w:val="24"/>
              </w:rPr>
              <w:t>保税仓</w:t>
            </w:r>
            <w:r>
              <w:rPr>
                <w:rFonts w:hint="eastAsia" w:ascii="宋体" w:hAnsi="宋体"/>
                <w:snapToGrid w:val="0"/>
                <w:kern w:val="0"/>
                <w:sz w:val="24"/>
                <w:szCs w:val="24"/>
              </w:rPr>
              <w:t>库</w:t>
            </w:r>
            <w:r>
              <w:rPr>
                <w:rFonts w:ascii="宋体" w:hAnsi="宋体"/>
                <w:snapToGrid w:val="0"/>
                <w:kern w:val="0"/>
                <w:sz w:val="24"/>
                <w:szCs w:val="24"/>
              </w:rPr>
              <w:t>，</w:t>
            </w:r>
            <w:r>
              <w:rPr>
                <w:rFonts w:hint="eastAsia" w:ascii="宋体" w:hAnsi="宋体"/>
                <w:snapToGrid w:val="0"/>
                <w:kern w:val="0"/>
                <w:sz w:val="24"/>
                <w:szCs w:val="24"/>
              </w:rPr>
              <w:t>层高超过</w:t>
            </w:r>
            <w:r>
              <w:rPr>
                <w:rFonts w:ascii="宋体" w:hAnsi="宋体"/>
                <w:snapToGrid w:val="0"/>
                <w:kern w:val="0"/>
                <w:sz w:val="24"/>
                <w:szCs w:val="24"/>
              </w:rPr>
              <w:t>8m</w:t>
            </w:r>
            <w:r>
              <w:rPr>
                <w:rFonts w:hint="eastAsia" w:ascii="宋体" w:hAnsi="宋体"/>
                <w:snapToGrid w:val="0"/>
                <w:kern w:val="0"/>
                <w:sz w:val="24"/>
                <w:szCs w:val="24"/>
              </w:rPr>
              <w:t>时按</w:t>
            </w:r>
            <w:r>
              <w:rPr>
                <w:rFonts w:ascii="宋体" w:hAnsi="宋体"/>
                <w:snapToGrid w:val="0"/>
                <w:kern w:val="0"/>
                <w:sz w:val="24"/>
                <w:szCs w:val="24"/>
              </w:rPr>
              <w:t>3.1.6.4公式2计算</w:t>
            </w:r>
            <w:r>
              <w:rPr>
                <w:rFonts w:hint="eastAsia" w:ascii="宋体" w:hAnsi="宋体"/>
                <w:snapToGrid w:val="0"/>
                <w:kern w:val="0"/>
                <w:sz w:val="24"/>
                <w:szCs w:val="24"/>
              </w:rPr>
              <w:t>地上核减建筑面积（层高标准值为</w:t>
            </w:r>
            <w:r>
              <w:rPr>
                <w:rFonts w:ascii="宋体" w:hAnsi="宋体"/>
                <w:snapToGrid w:val="0"/>
                <w:kern w:val="0"/>
                <w:sz w:val="24"/>
                <w:szCs w:val="24"/>
              </w:rPr>
              <w:t>8m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⑶除上述情形外的非单层仓库首层层高超过</w:t>
            </w:r>
            <w:r>
              <w:rPr>
                <w:rFonts w:ascii="宋体" w:hAnsi="宋体"/>
                <w:snapToGrid w:val="0"/>
                <w:kern w:val="0"/>
                <w:sz w:val="24"/>
                <w:szCs w:val="24"/>
              </w:rPr>
              <w:t>8m</w:t>
            </w:r>
            <w:r>
              <w:rPr>
                <w:rFonts w:hint="eastAsia" w:ascii="宋体" w:hAnsi="宋体"/>
                <w:snapToGrid w:val="0"/>
                <w:kern w:val="0"/>
                <w:sz w:val="24"/>
                <w:szCs w:val="24"/>
              </w:rPr>
              <w:t>，或二至六层部分层高超过</w:t>
            </w:r>
            <w:r>
              <w:rPr>
                <w:rFonts w:ascii="宋体" w:hAnsi="宋体"/>
                <w:snapToGrid w:val="0"/>
                <w:kern w:val="0"/>
                <w:sz w:val="24"/>
                <w:szCs w:val="24"/>
              </w:rPr>
              <w:t>6m</w:t>
            </w:r>
            <w:r>
              <w:rPr>
                <w:rFonts w:hint="eastAsia" w:ascii="宋体" w:hAnsi="宋体"/>
                <w:snapToGrid w:val="0"/>
                <w:kern w:val="0"/>
                <w:sz w:val="24"/>
                <w:szCs w:val="24"/>
              </w:rPr>
              <w:t>，或七层及以上部分层高超过</w:t>
            </w:r>
            <w:r>
              <w:rPr>
                <w:rFonts w:ascii="宋体" w:hAnsi="宋体"/>
                <w:snapToGrid w:val="0"/>
                <w:kern w:val="0"/>
                <w:sz w:val="24"/>
                <w:szCs w:val="24"/>
              </w:rPr>
              <w:t>4.5m</w:t>
            </w:r>
            <w:r>
              <w:rPr>
                <w:rFonts w:hint="eastAsia" w:ascii="宋体" w:hAnsi="宋体"/>
                <w:snapToGrid w:val="0"/>
                <w:kern w:val="0"/>
                <w:sz w:val="24"/>
                <w:szCs w:val="24"/>
              </w:rPr>
              <w:t>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⑷仓库首层架空停车，层高超过8m时，按</w:t>
            </w:r>
            <w:r>
              <w:rPr>
                <w:rFonts w:ascii="宋体" w:hAnsi="宋体"/>
                <w:snapToGrid w:val="0"/>
                <w:kern w:val="0"/>
                <w:sz w:val="24"/>
                <w:szCs w:val="24"/>
              </w:rPr>
              <w:t>3.1.6.4公式2</w:t>
            </w:r>
            <w:r>
              <w:rPr>
                <w:rFonts w:hint="eastAsia" w:ascii="宋体" w:hAnsi="宋体"/>
                <w:snapToGrid w:val="0"/>
                <w:kern w:val="0"/>
                <w:sz w:val="24"/>
                <w:szCs w:val="24"/>
              </w:rPr>
              <w:t>计算地上核减建筑面积（层高标准值为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⑸半地下及地下仓库层高超过6.6m时，按</w:t>
            </w:r>
            <w:r>
              <w:rPr>
                <w:rFonts w:ascii="宋体" w:hAnsi="宋体"/>
                <w:snapToGrid w:val="0"/>
                <w:kern w:val="0"/>
                <w:sz w:val="24"/>
                <w:szCs w:val="24"/>
              </w:rPr>
              <w:t xml:space="preserve">3.1.6.4 </w:t>
            </w:r>
            <w:r>
              <w:rPr>
                <w:rFonts w:hint="eastAsia" w:ascii="宋体" w:hAnsi="宋体"/>
                <w:snapToGrid w:val="0"/>
                <w:kern w:val="0"/>
                <w:sz w:val="24"/>
                <w:szCs w:val="24"/>
              </w:rPr>
              <w:t>公式</w:t>
            </w:r>
            <w:r>
              <w:rPr>
                <w:rFonts w:ascii="宋体" w:hAnsi="宋体"/>
                <w:snapToGrid w:val="0"/>
                <w:kern w:val="0"/>
                <w:sz w:val="24"/>
                <w:szCs w:val="24"/>
              </w:rPr>
              <w:t xml:space="preserve">2 </w:t>
            </w:r>
            <w:r>
              <w:rPr>
                <w:rFonts w:hint="eastAsia" w:ascii="宋体" w:hAnsi="宋体"/>
                <w:snapToGrid w:val="0"/>
                <w:kern w:val="0"/>
                <w:sz w:val="24"/>
                <w:szCs w:val="24"/>
              </w:rPr>
              <w:t>计算地下核减建筑面积（层高标准值为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6.16.2.4</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计一半面积的阳台（含公共阳台），还需按其规定建筑面积的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此外，多层高阳台上部空间按层计算的总投影面积按</w:t>
            </w:r>
            <w:r>
              <w:rPr>
                <w:rFonts w:ascii="宋体" w:hAnsi="宋体"/>
                <w:snapToGrid w:val="0"/>
                <w:kern w:val="0"/>
                <w:sz w:val="24"/>
                <w:szCs w:val="24"/>
              </w:rPr>
              <w:t>3.1.6.6</w:t>
            </w:r>
            <w:r>
              <w:rPr>
                <w:rFonts w:hint="eastAsia" w:ascii="宋体" w:hAnsi="宋体"/>
                <w:snapToGrid w:val="0"/>
                <w:kern w:val="0"/>
                <w:sz w:val="24"/>
                <w:szCs w:val="24"/>
              </w:rPr>
              <w:t>公式</w:t>
            </w:r>
            <w:r>
              <w:rPr>
                <w:rFonts w:ascii="宋体" w:hAnsi="宋体"/>
                <w:snapToGrid w:val="0"/>
                <w:kern w:val="0"/>
                <w:sz w:val="24"/>
                <w:szCs w:val="24"/>
              </w:rPr>
              <w:t>4</w:t>
            </w:r>
            <w:r>
              <w:rPr>
                <w:rFonts w:hint="eastAsia" w:ascii="宋体" w:hAnsi="宋体"/>
                <w:snapToGrid w:val="0"/>
                <w:kern w:val="0"/>
                <w:sz w:val="24"/>
                <w:szCs w:val="24"/>
              </w:rPr>
              <w:t>另行计算地上核减建筑面积。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8"/>
                <w:szCs w:val="28"/>
              </w:rPr>
              <w:t>6.17</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8"/>
                <w:szCs w:val="28"/>
              </w:rPr>
              <w:t>物流建筑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8"/>
                <w:szCs w:val="28"/>
              </w:rPr>
            </w:pPr>
            <w:r>
              <w:rPr>
                <w:rFonts w:ascii="宋体" w:hAnsi="宋体"/>
                <w:b/>
                <w:snapToGrid w:val="0"/>
                <w:kern w:val="0"/>
                <w:sz w:val="24"/>
                <w:szCs w:val="24"/>
              </w:rPr>
              <w:t>6.17.1</w:t>
            </w:r>
          </w:p>
        </w:tc>
        <w:tc>
          <w:tcPr>
            <w:tcW w:w="8101" w:type="dxa"/>
          </w:tcPr>
          <w:p>
            <w:pPr>
              <w:topLinePunct/>
              <w:snapToGrid w:val="0"/>
              <w:spacing w:before="211" w:beforeLines="50"/>
              <w:rPr>
                <w:rFonts w:ascii="宋体" w:hAnsi="宋体"/>
                <w:b/>
                <w:snapToGrid w:val="0"/>
                <w:kern w:val="0"/>
                <w:sz w:val="28"/>
                <w:szCs w:val="28"/>
              </w:rPr>
            </w:pPr>
            <w:r>
              <w:rPr>
                <w:rFonts w:hint="eastAsia" w:ascii="宋体" w:hAnsi="宋体"/>
                <w:b/>
                <w:snapToGrid w:val="0"/>
                <w:kern w:val="0"/>
                <w:sz w:val="24"/>
                <w:szCs w:val="24"/>
              </w:rPr>
              <w:t>外部空间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6.17.1.1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一般规定</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⑴物流建筑中用于物质储备、简单加工、中转配送等功能的建筑面积不应低于总建筑面积的</w:t>
            </w:r>
            <w:r>
              <w:rPr>
                <w:rFonts w:ascii="宋体" w:hAnsi="宋体"/>
                <w:snapToGrid w:val="0"/>
                <w:kern w:val="0"/>
                <w:sz w:val="24"/>
                <w:szCs w:val="24"/>
              </w:rPr>
              <w:t>60％，用于运营管理、批发展销等功能的建筑面积不应超过总建筑面积的40%。</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⑵各建筑功能应能明确区分，并分别符合各自的设计规范和本规定相应建筑分类设计要求。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6.17.1.2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内天井</w:t>
            </w:r>
          </w:p>
          <w:p>
            <w:pPr>
              <w:topLinePunct/>
              <w:snapToGrid w:val="0"/>
              <w:spacing w:before="211" w:beforeLines="50"/>
              <w:rPr>
                <w:rFonts w:ascii="宋体" w:hAnsi="宋体"/>
                <w:b/>
                <w:snapToGrid w:val="0"/>
                <w:kern w:val="0"/>
                <w:sz w:val="24"/>
                <w:szCs w:val="24"/>
              </w:rPr>
            </w:pPr>
            <w:r>
              <w:rPr>
                <w:rFonts w:ascii="宋体" w:hAnsi="宋体"/>
                <w:snapToGrid w:val="0"/>
                <w:kern w:val="0"/>
                <w:sz w:val="24"/>
                <w:szCs w:val="24"/>
              </w:rPr>
              <w:t>内天井</w:t>
            </w:r>
            <w:r>
              <w:rPr>
                <w:rFonts w:hint="eastAsia" w:ascii="宋体" w:hAnsi="宋体"/>
                <w:snapToGrid w:val="0"/>
                <w:kern w:val="0"/>
                <w:sz w:val="24"/>
                <w:szCs w:val="24"/>
              </w:rPr>
              <w:t>的最小短边24m；用于围合内天井四周建筑的最小进深均不应小于15</w:t>
            </w:r>
            <w:r>
              <w:rPr>
                <w:rFonts w:ascii="宋体" w:hAnsi="宋体"/>
                <w:snapToGrid w:val="0"/>
                <w:kern w:val="0"/>
                <w:sz w:val="24"/>
                <w:szCs w:val="24"/>
              </w:rPr>
              <w:t>m</w:t>
            </w:r>
            <w:r>
              <w:rPr>
                <w:rFonts w:hint="eastAsia" w:ascii="宋体" w:hAnsi="宋体"/>
                <w:snapToGrid w:val="0"/>
                <w:kern w:val="0"/>
                <w:sz w:val="24"/>
                <w:szCs w:val="24"/>
              </w:rPr>
              <w:t>，否则应按</w:t>
            </w:r>
            <w:r>
              <w:rPr>
                <w:rFonts w:ascii="宋体" w:hAnsi="宋体"/>
                <w:snapToGrid w:val="0"/>
                <w:kern w:val="0"/>
                <w:sz w:val="24"/>
                <w:szCs w:val="24"/>
              </w:rPr>
              <w:t>6.1</w:t>
            </w:r>
            <w:r>
              <w:rPr>
                <w:rFonts w:hint="eastAsia" w:ascii="宋体" w:hAnsi="宋体"/>
                <w:snapToGrid w:val="0"/>
                <w:kern w:val="0"/>
                <w:sz w:val="24"/>
                <w:szCs w:val="24"/>
              </w:rPr>
              <w:t>7</w:t>
            </w:r>
            <w:r>
              <w:rPr>
                <w:rFonts w:ascii="宋体" w:hAnsi="宋体"/>
                <w:snapToGrid w:val="0"/>
                <w:kern w:val="0"/>
                <w:sz w:val="24"/>
                <w:szCs w:val="24"/>
              </w:rPr>
              <w:t>.2.</w:t>
            </w:r>
            <w:r>
              <w:rPr>
                <w:rFonts w:hint="eastAsia" w:ascii="宋体" w:hAnsi="宋体"/>
                <w:snapToGrid w:val="0"/>
                <w:kern w:val="0"/>
                <w:sz w:val="24"/>
                <w:szCs w:val="24"/>
              </w:rPr>
              <w:t>1室内透空空间的相关要求控制。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6.17.1.3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室外透空空间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⑴户内房间与房间之间设置的任何室外透空空间，其按层计算的总投影面积全部计入地上核减建筑面积。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⑵因造型或结构需要，在户与户之间、户与核心筒之间合理设置的室外透空空间，其按层计算的总投影面积超过该层计规定建筑面积部分水平投影面积的</w:t>
            </w:r>
            <w:r>
              <w:rPr>
                <w:rFonts w:ascii="宋体" w:hAnsi="宋体"/>
                <w:snapToGrid w:val="0"/>
                <w:kern w:val="0"/>
                <w:sz w:val="24"/>
                <w:szCs w:val="24"/>
              </w:rPr>
              <w:t>3%时，全部计入地上核减建筑面积。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6.17.2</w:t>
            </w:r>
          </w:p>
        </w:tc>
        <w:tc>
          <w:tcPr>
            <w:tcW w:w="8101" w:type="dxa"/>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内部空间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6.17.2.1</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室内透空空间</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仅限大堂（门厅）可设置室内透空空间，其按层计算的总投影面积超过以下相应规模</w:t>
            </w:r>
            <w:r>
              <w:rPr>
                <w:rFonts w:hint="eastAsia" w:ascii="宋体" w:hAnsi="宋体" w:cs="宋体"/>
                <w:snapToGrid w:val="0"/>
                <w:kern w:val="0"/>
                <w:sz w:val="24"/>
                <w:szCs w:val="24"/>
              </w:rPr>
              <w:t>建筑</w:t>
            </w:r>
            <w:r>
              <w:rPr>
                <w:rFonts w:hint="eastAsia" w:ascii="宋体" w:hAnsi="宋体"/>
                <w:snapToGrid w:val="0"/>
                <w:kern w:val="0"/>
                <w:sz w:val="24"/>
                <w:szCs w:val="24"/>
              </w:rPr>
              <w:t>室内透空空间面积限值时，按</w:t>
            </w:r>
            <w:r>
              <w:rPr>
                <w:rFonts w:ascii="宋体" w:hAnsi="宋体"/>
                <w:snapToGrid w:val="0"/>
                <w:kern w:val="0"/>
                <w:sz w:val="24"/>
                <w:szCs w:val="24"/>
              </w:rPr>
              <w:t>3.1.6.3⑴</w:t>
            </w:r>
            <w:r>
              <w:rPr>
                <w:rFonts w:hint="eastAsia" w:ascii="宋体" w:hAnsi="宋体"/>
                <w:snapToGrid w:val="0"/>
                <w:kern w:val="0"/>
                <w:sz w:val="24"/>
                <w:szCs w:val="24"/>
              </w:rPr>
              <w:t>公式</w:t>
            </w:r>
            <w:r>
              <w:rPr>
                <w:rFonts w:ascii="宋体" w:hAnsi="宋体"/>
                <w:snapToGrid w:val="0"/>
                <w:kern w:val="0"/>
                <w:sz w:val="24"/>
                <w:szCs w:val="24"/>
              </w:rPr>
              <w:t>1另行计算地上核减建筑面积</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⑵当</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时，</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snapToGrid w:val="0"/>
                <w:kern w:val="0"/>
                <w:sz w:val="24"/>
                <w:szCs w:val="24"/>
              </w:rPr>
              <w:t>×</w:t>
            </w:r>
            <w:r>
              <w:rPr>
                <w:rFonts w:ascii="宋体" w:hAnsi="宋体"/>
                <w:snapToGrid w:val="0"/>
                <w:kern w:val="0"/>
                <w:sz w:val="24"/>
                <w:szCs w:val="24"/>
              </w:rPr>
              <w:t>5%＋（S</w:t>
            </w:r>
            <w:r>
              <w:rPr>
                <w:rFonts w:ascii="宋体" w:hAnsi="宋体"/>
                <w:snapToGrid w:val="0"/>
                <w:kern w:val="0"/>
                <w:sz w:val="24"/>
                <w:szCs w:val="24"/>
                <w:vertAlign w:val="subscript"/>
              </w:rPr>
              <w:t>1</w:t>
            </w:r>
            <w:r>
              <w:rPr>
                <w:rFonts w:hint="eastAsia" w:ascii="宋体" w:hAnsi="宋体"/>
                <w:snapToGrid w:val="0"/>
                <w:kern w:val="0"/>
                <w:sz w:val="24"/>
                <w:szCs w:val="24"/>
              </w:rPr>
              <w:t>－</w:t>
            </w:r>
            <w:r>
              <w:rPr>
                <w:rFonts w:ascii="宋体" w:hAnsi="宋体"/>
                <w:snapToGrid w:val="0"/>
                <w:kern w:val="0"/>
                <w:sz w:val="24"/>
                <w:szCs w:val="24"/>
              </w:rPr>
              <w:t>50000</w:t>
            </w:r>
            <w:r>
              <w:rPr>
                <w:rFonts w:hint="eastAsia" w:ascii="宋体" w:hAnsi="宋体" w:cs="宋体"/>
                <w:snapToGrid w:val="0"/>
                <w:kern w:val="0"/>
                <w:sz w:val="24"/>
                <w:szCs w:val="24"/>
              </w:rPr>
              <w:t>）</w:t>
            </w:r>
            <w:r>
              <w:rPr>
                <w:rFonts w:hint="eastAsia" w:ascii="宋体" w:hAnsi="宋体"/>
                <w:snapToGrid w:val="0"/>
                <w:kern w:val="0"/>
                <w:sz w:val="24"/>
                <w:szCs w:val="24"/>
              </w:rPr>
              <w:t>×</w:t>
            </w:r>
            <w:r>
              <w:rPr>
                <w:rFonts w:ascii="宋体" w:hAnsi="宋体"/>
                <w:snapToGrid w:val="0"/>
                <w:kern w:val="0"/>
                <w:sz w:val="24"/>
                <w:szCs w:val="24"/>
              </w:rPr>
              <w:t>3%</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其中</w:t>
            </w:r>
            <w:r>
              <w:rPr>
                <w:rFonts w:ascii="宋体" w:hAnsi="宋体"/>
                <w:snapToGrid w:val="0"/>
                <w:kern w:val="0"/>
                <w:sz w:val="24"/>
                <w:szCs w:val="24"/>
              </w:rPr>
              <w:t>S</w:t>
            </w:r>
            <w:r>
              <w:rPr>
                <w:rFonts w:ascii="宋体" w:hAnsi="宋体"/>
                <w:snapToGrid w:val="0"/>
                <w:kern w:val="0"/>
                <w:sz w:val="24"/>
                <w:szCs w:val="24"/>
                <w:vertAlign w:val="subscript"/>
              </w:rPr>
              <w:t>1</w:t>
            </w:r>
            <w:r>
              <w:rPr>
                <w:rFonts w:hint="eastAsia" w:ascii="宋体" w:hAnsi="宋体"/>
                <w:snapToGrid w:val="0"/>
                <w:kern w:val="0"/>
                <w:sz w:val="24"/>
                <w:szCs w:val="24"/>
              </w:rPr>
              <w:t>为本栋物流功能建筑面积，</w:t>
            </w:r>
            <w:r>
              <w:rPr>
                <w:rFonts w:ascii="宋体" w:hAnsi="宋体"/>
                <w:snapToGrid w:val="0"/>
                <w:kern w:val="0"/>
                <w:sz w:val="24"/>
                <w:szCs w:val="24"/>
              </w:rPr>
              <w:t>S</w:t>
            </w:r>
            <w:r>
              <w:rPr>
                <w:rFonts w:ascii="宋体" w:hAnsi="宋体"/>
                <w:snapToGrid w:val="0"/>
                <w:kern w:val="0"/>
                <w:sz w:val="24"/>
                <w:szCs w:val="24"/>
                <w:vertAlign w:val="subscript"/>
              </w:rPr>
              <w:t>2</w:t>
            </w:r>
            <w:r>
              <w:rPr>
                <w:rFonts w:hint="eastAsia" w:ascii="宋体" w:hAnsi="宋体"/>
                <w:snapToGrid w:val="0"/>
                <w:kern w:val="0"/>
                <w:sz w:val="24"/>
                <w:szCs w:val="24"/>
              </w:rPr>
              <w:t>为室内透空面积限值，单位为</w:t>
            </w:r>
            <w:r>
              <w:rPr>
                <w:rFonts w:hint="eastAsia" w:ascii="宋体" w:hAnsi="宋体" w:cs="宋体"/>
                <w:snapToGrid w:val="0"/>
                <w:kern w:val="0"/>
                <w:sz w:val="24"/>
                <w:szCs w:val="24"/>
              </w:rPr>
              <w:t>㎡</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6.17.2.2</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建筑层高</w:t>
            </w:r>
          </w:p>
          <w:p>
            <w:pPr>
              <w:topLinePunct/>
              <w:snapToGrid w:val="0"/>
              <w:spacing w:before="211" w:beforeLines="50"/>
              <w:rPr>
                <w:rFonts w:ascii="宋体" w:hAnsi="宋体"/>
                <w:snapToGrid w:val="0"/>
                <w:kern w:val="0"/>
                <w:sz w:val="24"/>
                <w:szCs w:val="24"/>
              </w:rPr>
            </w:pPr>
            <w:r>
              <w:rPr>
                <w:rFonts w:ascii="宋体" w:hAnsi="宋体"/>
                <w:snapToGrid w:val="0"/>
                <w:kern w:val="0"/>
                <w:sz w:val="24"/>
                <w:szCs w:val="24"/>
              </w:rPr>
              <w:t>处于海关特殊监管区域内，且垂直</w:t>
            </w:r>
            <w:r>
              <w:rPr>
                <w:rFonts w:hint="eastAsia" w:ascii="宋体" w:hAnsi="宋体"/>
                <w:snapToGrid w:val="0"/>
                <w:kern w:val="0"/>
                <w:sz w:val="24"/>
                <w:szCs w:val="24"/>
              </w:rPr>
              <w:t>货运</w:t>
            </w:r>
            <w:r>
              <w:rPr>
                <w:rFonts w:ascii="宋体" w:hAnsi="宋体"/>
                <w:snapToGrid w:val="0"/>
                <w:kern w:val="0"/>
                <w:sz w:val="24"/>
                <w:szCs w:val="24"/>
              </w:rPr>
              <w:t>交通设计为全盘道式的保税</w:t>
            </w:r>
            <w:r>
              <w:rPr>
                <w:rFonts w:hint="eastAsia" w:ascii="宋体" w:hAnsi="宋体"/>
                <w:snapToGrid w:val="0"/>
                <w:kern w:val="0"/>
                <w:sz w:val="24"/>
                <w:szCs w:val="24"/>
              </w:rPr>
              <w:t>物流</w:t>
            </w:r>
            <w:r>
              <w:rPr>
                <w:rFonts w:ascii="宋体" w:hAnsi="宋体"/>
                <w:snapToGrid w:val="0"/>
                <w:kern w:val="0"/>
                <w:sz w:val="24"/>
                <w:szCs w:val="24"/>
              </w:rPr>
              <w:t>建筑，层高超过8m时按3.1.6.4公式2计算地上核减建筑面积（层高标准值为8m）。</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除上述情形外的物流建筑层高有以下情形的，均按</w:t>
            </w:r>
            <w:r>
              <w:rPr>
                <w:rFonts w:ascii="宋体" w:hAnsi="宋体"/>
                <w:snapToGrid w:val="0"/>
                <w:kern w:val="0"/>
                <w:sz w:val="24"/>
                <w:szCs w:val="24"/>
              </w:rPr>
              <w:t>3.1.6.4公式2计算地上核减建筑面积（层高标准值为3m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⑴普通物流建筑及单层物流建筑面积不大于</w:t>
            </w:r>
            <w:r>
              <w:rPr>
                <w:rFonts w:ascii="宋体" w:hAnsi="宋体"/>
                <w:snapToGrid w:val="0"/>
                <w:kern w:val="0"/>
                <w:sz w:val="24"/>
                <w:szCs w:val="24"/>
              </w:rPr>
              <w:t>8000</w:t>
            </w:r>
            <w:r>
              <w:rPr>
                <w:rFonts w:hint="eastAsia" w:ascii="宋体" w:hAnsi="宋体" w:cs="宋体"/>
                <w:snapToGrid w:val="0"/>
                <w:kern w:val="0"/>
                <w:sz w:val="24"/>
                <w:szCs w:val="24"/>
              </w:rPr>
              <w:t>㎡</w:t>
            </w:r>
            <w:r>
              <w:rPr>
                <w:rFonts w:hint="eastAsia" w:ascii="宋体" w:hAnsi="宋体"/>
                <w:snapToGrid w:val="0"/>
                <w:kern w:val="0"/>
                <w:sz w:val="24"/>
                <w:szCs w:val="24"/>
              </w:rPr>
              <w:t>的集中大型物流建筑，首层层高超过</w:t>
            </w:r>
            <w:r>
              <w:rPr>
                <w:rFonts w:ascii="宋体" w:hAnsi="宋体"/>
                <w:snapToGrid w:val="0"/>
                <w:kern w:val="0"/>
                <w:sz w:val="24"/>
                <w:szCs w:val="24"/>
              </w:rPr>
              <w:t>6.6m</w:t>
            </w:r>
            <w:r>
              <w:rPr>
                <w:rFonts w:hint="eastAsia" w:ascii="宋体" w:hAnsi="宋体"/>
                <w:snapToGrid w:val="0"/>
                <w:kern w:val="0"/>
                <w:sz w:val="24"/>
                <w:szCs w:val="24"/>
              </w:rPr>
              <w:t>，或二至六层部分层高超过</w:t>
            </w:r>
            <w:r>
              <w:rPr>
                <w:rFonts w:ascii="宋体" w:hAnsi="宋体"/>
                <w:snapToGrid w:val="0"/>
                <w:kern w:val="0"/>
                <w:sz w:val="24"/>
                <w:szCs w:val="24"/>
              </w:rPr>
              <w:t>5.</w:t>
            </w:r>
            <w:r>
              <w:rPr>
                <w:rFonts w:hint="eastAsia" w:ascii="宋体" w:hAnsi="宋体"/>
                <w:snapToGrid w:val="0"/>
                <w:kern w:val="0"/>
                <w:sz w:val="24"/>
                <w:szCs w:val="24"/>
              </w:rPr>
              <w:t>4</w:t>
            </w:r>
            <w:r>
              <w:rPr>
                <w:rFonts w:ascii="宋体" w:hAnsi="宋体"/>
                <w:snapToGrid w:val="0"/>
                <w:kern w:val="0"/>
                <w:sz w:val="24"/>
                <w:szCs w:val="24"/>
              </w:rPr>
              <w:t>m</w:t>
            </w:r>
            <w:r>
              <w:rPr>
                <w:rFonts w:hint="eastAsia" w:ascii="宋体" w:hAnsi="宋体"/>
                <w:snapToGrid w:val="0"/>
                <w:kern w:val="0"/>
                <w:sz w:val="24"/>
                <w:szCs w:val="24"/>
              </w:rPr>
              <w:t>，或七层及以上部分层高超过</w:t>
            </w:r>
            <w:r>
              <w:rPr>
                <w:rFonts w:ascii="宋体" w:hAnsi="宋体"/>
                <w:snapToGrid w:val="0"/>
                <w:kern w:val="0"/>
                <w:sz w:val="24"/>
                <w:szCs w:val="24"/>
              </w:rPr>
              <w:t>4.5m</w:t>
            </w:r>
            <w:r>
              <w:rPr>
                <w:rFonts w:hint="eastAsia" w:ascii="宋体" w:hAnsi="宋体"/>
                <w:snapToGrid w:val="0"/>
                <w:kern w:val="0"/>
                <w:sz w:val="24"/>
                <w:szCs w:val="24"/>
              </w:rPr>
              <w:t>。</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⑵单层物流建筑面积大于</w:t>
            </w:r>
            <w:r>
              <w:rPr>
                <w:rFonts w:ascii="宋体" w:hAnsi="宋体"/>
                <w:snapToGrid w:val="0"/>
                <w:kern w:val="0"/>
                <w:sz w:val="24"/>
                <w:szCs w:val="24"/>
              </w:rPr>
              <w:t>8000</w:t>
            </w:r>
            <w:r>
              <w:rPr>
                <w:rFonts w:hint="eastAsia" w:ascii="宋体" w:hAnsi="宋体" w:cs="宋体"/>
                <w:snapToGrid w:val="0"/>
                <w:kern w:val="0"/>
                <w:sz w:val="24"/>
                <w:szCs w:val="24"/>
              </w:rPr>
              <w:t>㎡</w:t>
            </w:r>
            <w:r>
              <w:rPr>
                <w:rFonts w:hint="eastAsia" w:ascii="宋体" w:hAnsi="宋体"/>
                <w:snapToGrid w:val="0"/>
                <w:kern w:val="0"/>
                <w:sz w:val="24"/>
                <w:szCs w:val="24"/>
              </w:rPr>
              <w:t>的集中大型物流建筑，六层及以下部分层高超过</w:t>
            </w:r>
            <w:r>
              <w:rPr>
                <w:rFonts w:ascii="宋体" w:hAnsi="宋体"/>
                <w:snapToGrid w:val="0"/>
                <w:kern w:val="0"/>
                <w:sz w:val="24"/>
                <w:szCs w:val="24"/>
              </w:rPr>
              <w:t>6.6m</w:t>
            </w:r>
            <w:r>
              <w:rPr>
                <w:rFonts w:hint="eastAsia" w:ascii="宋体" w:hAnsi="宋体"/>
                <w:snapToGrid w:val="0"/>
                <w:kern w:val="0"/>
                <w:sz w:val="24"/>
                <w:szCs w:val="24"/>
              </w:rPr>
              <w:t>，或七层及以上部分层高超过</w:t>
            </w:r>
            <w:r>
              <w:rPr>
                <w:rFonts w:ascii="宋体" w:hAnsi="宋体"/>
                <w:snapToGrid w:val="0"/>
                <w:kern w:val="0"/>
                <w:sz w:val="24"/>
                <w:szCs w:val="24"/>
              </w:rPr>
              <w:t>5.</w:t>
            </w:r>
            <w:r>
              <w:rPr>
                <w:rFonts w:hint="eastAsia" w:ascii="宋体" w:hAnsi="宋体"/>
                <w:snapToGrid w:val="0"/>
                <w:kern w:val="0"/>
                <w:sz w:val="24"/>
                <w:szCs w:val="24"/>
              </w:rPr>
              <w:t>4</w:t>
            </w:r>
            <w:r>
              <w:rPr>
                <w:rFonts w:ascii="宋体" w:hAnsi="宋体"/>
                <w:snapToGrid w:val="0"/>
                <w:kern w:val="0"/>
                <w:sz w:val="24"/>
                <w:szCs w:val="24"/>
              </w:rPr>
              <w:t>m</w:t>
            </w:r>
            <w:r>
              <w:rPr>
                <w:rFonts w:hint="eastAsia" w:ascii="宋体" w:hAnsi="宋体"/>
                <w:snapToGrid w:val="0"/>
                <w:kern w:val="0"/>
                <w:sz w:val="24"/>
                <w:szCs w:val="24"/>
              </w:rPr>
              <w:t>。</w:t>
            </w:r>
          </w:p>
          <w:p>
            <w:pPr>
              <w:topLinePunct/>
              <w:snapToGrid w:val="0"/>
              <w:spacing w:before="211" w:beforeLines="50"/>
              <w:rPr>
                <w:rFonts w:ascii="宋体" w:hAnsi="宋体"/>
                <w:b/>
                <w:snapToGrid w:val="0"/>
                <w:kern w:val="0"/>
                <w:sz w:val="24"/>
                <w:szCs w:val="24"/>
              </w:rPr>
            </w:pPr>
            <w:r>
              <w:rPr>
                <w:rFonts w:ascii="宋体" w:hAnsi="宋体"/>
                <w:snapToGrid w:val="0"/>
                <w:kern w:val="0"/>
                <w:sz w:val="24"/>
                <w:szCs w:val="24"/>
              </w:rPr>
              <w:fldChar w:fldCharType="begin"/>
            </w:r>
            <w:r>
              <w:rPr>
                <w:rFonts w:ascii="宋体" w:hAnsi="宋体"/>
                <w:snapToGrid w:val="0"/>
                <w:kern w:val="0"/>
                <w:sz w:val="24"/>
                <w:szCs w:val="24"/>
              </w:rPr>
              <w:instrText xml:space="preserve"> </w:instrText>
            </w:r>
            <w:r>
              <w:rPr>
                <w:rFonts w:hint="eastAsia" w:ascii="宋体" w:hAnsi="宋体"/>
                <w:snapToGrid w:val="0"/>
                <w:kern w:val="0"/>
                <w:sz w:val="24"/>
                <w:szCs w:val="24"/>
              </w:rPr>
              <w:instrText xml:space="preserve">= 3 \* GB2</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hint="eastAsia" w:ascii="宋体" w:hAnsi="宋体"/>
                <w:snapToGrid w:val="0"/>
                <w:kern w:val="0"/>
                <w:sz w:val="24"/>
                <w:szCs w:val="24"/>
              </w:rPr>
              <w:t>⑶</w:t>
            </w:r>
            <w:r>
              <w:rPr>
                <w:rFonts w:ascii="宋体" w:hAnsi="宋体"/>
                <w:snapToGrid w:val="0"/>
                <w:kern w:val="0"/>
                <w:sz w:val="24"/>
                <w:szCs w:val="24"/>
              </w:rPr>
              <w:fldChar w:fldCharType="end"/>
            </w:r>
            <w:r>
              <w:rPr>
                <w:rFonts w:hint="eastAsia" w:ascii="宋体" w:hAnsi="宋体"/>
                <w:snapToGrid w:val="0"/>
                <w:kern w:val="0"/>
                <w:sz w:val="24"/>
                <w:szCs w:val="24"/>
              </w:rPr>
              <w:t>半地下及地下物流建筑层高超过6.6m时，按</w:t>
            </w:r>
            <w:r>
              <w:rPr>
                <w:rFonts w:ascii="宋体" w:hAnsi="宋体"/>
                <w:snapToGrid w:val="0"/>
                <w:kern w:val="0"/>
                <w:sz w:val="24"/>
                <w:szCs w:val="24"/>
              </w:rPr>
              <w:t xml:space="preserve">3.1.6.4 </w:t>
            </w:r>
            <w:r>
              <w:rPr>
                <w:rFonts w:hint="eastAsia" w:ascii="宋体" w:hAnsi="宋体"/>
                <w:snapToGrid w:val="0"/>
                <w:kern w:val="0"/>
                <w:sz w:val="24"/>
                <w:szCs w:val="24"/>
              </w:rPr>
              <w:t>公式</w:t>
            </w:r>
            <w:r>
              <w:rPr>
                <w:rFonts w:ascii="宋体" w:hAnsi="宋体"/>
                <w:snapToGrid w:val="0"/>
                <w:kern w:val="0"/>
                <w:sz w:val="24"/>
                <w:szCs w:val="24"/>
              </w:rPr>
              <w:t xml:space="preserve">2 </w:t>
            </w:r>
            <w:r>
              <w:rPr>
                <w:rFonts w:hint="eastAsia" w:ascii="宋体" w:hAnsi="宋体"/>
                <w:snapToGrid w:val="0"/>
                <w:kern w:val="0"/>
                <w:sz w:val="24"/>
                <w:szCs w:val="24"/>
              </w:rPr>
              <w:t>计算地下核减建筑面积（层高标准值为</w:t>
            </w:r>
            <w:r>
              <w:rPr>
                <w:rFonts w:ascii="宋体" w:hAnsi="宋体"/>
                <w:snapToGrid w:val="0"/>
                <w:kern w:val="0"/>
                <w:sz w:val="24"/>
                <w:szCs w:val="24"/>
              </w:rPr>
              <w:t>3m</w:t>
            </w:r>
            <w:r>
              <w:rPr>
                <w:rFonts w:hint="eastAsia" w:ascii="宋体" w:hAnsi="宋体"/>
                <w:snapToGrid w:val="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05" w:type="dxa"/>
            <w:gridSpan w:val="2"/>
          </w:tcPr>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6.17.</w:t>
            </w:r>
            <w:r>
              <w:rPr>
                <w:rFonts w:hint="eastAsia" w:ascii="宋体" w:hAnsi="宋体"/>
                <w:b/>
                <w:snapToGrid w:val="0"/>
                <w:kern w:val="0"/>
                <w:sz w:val="24"/>
                <w:szCs w:val="24"/>
              </w:rPr>
              <w:t>2</w:t>
            </w:r>
            <w:r>
              <w:rPr>
                <w:rFonts w:ascii="宋体" w:hAnsi="宋体"/>
                <w:b/>
                <w:snapToGrid w:val="0"/>
                <w:kern w:val="0"/>
                <w:sz w:val="24"/>
                <w:szCs w:val="24"/>
              </w:rPr>
              <w:t>.3</w:t>
            </w:r>
          </w:p>
        </w:tc>
        <w:tc>
          <w:tcPr>
            <w:tcW w:w="8101" w:type="dxa"/>
          </w:tcPr>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阳台</w:t>
            </w:r>
          </w:p>
          <w:p>
            <w:pPr>
              <w:topLinePunct/>
              <w:snapToGrid w:val="0"/>
              <w:spacing w:before="211" w:beforeLines="50"/>
              <w:rPr>
                <w:rFonts w:ascii="宋体" w:hAnsi="宋体"/>
                <w:snapToGrid w:val="0"/>
                <w:kern w:val="0"/>
                <w:sz w:val="24"/>
                <w:szCs w:val="24"/>
              </w:rPr>
            </w:pPr>
            <w:r>
              <w:rPr>
                <w:rFonts w:hint="eastAsia" w:ascii="宋体" w:hAnsi="宋体"/>
                <w:snapToGrid w:val="0"/>
                <w:kern w:val="0"/>
                <w:sz w:val="24"/>
                <w:szCs w:val="24"/>
              </w:rPr>
              <w:t>计一半面积的阳台（含公共阳台），还需按其规定建筑面积的</w:t>
            </w:r>
            <w:r>
              <w:rPr>
                <w:rFonts w:ascii="宋体" w:hAnsi="宋体"/>
                <w:snapToGrid w:val="0"/>
                <w:kern w:val="0"/>
                <w:sz w:val="24"/>
                <w:szCs w:val="24"/>
              </w:rPr>
              <w:t>1倍另行计算</w:t>
            </w:r>
            <w:r>
              <w:rPr>
                <w:rFonts w:hint="eastAsia" w:ascii="宋体" w:hAnsi="宋体"/>
                <w:snapToGrid w:val="0"/>
                <w:kern w:val="0"/>
                <w:sz w:val="24"/>
                <w:szCs w:val="24"/>
              </w:rPr>
              <w:t>地上核减建筑面积。</w:t>
            </w:r>
          </w:p>
          <w:p>
            <w:pPr>
              <w:topLinePunct/>
              <w:snapToGrid w:val="0"/>
              <w:spacing w:before="211" w:beforeLines="50"/>
              <w:rPr>
                <w:rFonts w:ascii="宋体" w:hAnsi="宋体"/>
                <w:b/>
                <w:snapToGrid w:val="0"/>
                <w:kern w:val="0"/>
                <w:sz w:val="24"/>
                <w:szCs w:val="24"/>
              </w:rPr>
            </w:pPr>
            <w:r>
              <w:rPr>
                <w:rFonts w:hint="eastAsia" w:ascii="宋体" w:hAnsi="宋体"/>
                <w:snapToGrid w:val="0"/>
                <w:kern w:val="0"/>
                <w:sz w:val="24"/>
                <w:szCs w:val="24"/>
              </w:rPr>
              <w:t>此外，多层高阳台上部空间按层计算的总投影面积按</w:t>
            </w:r>
            <w:r>
              <w:rPr>
                <w:rFonts w:ascii="宋体" w:hAnsi="宋体"/>
                <w:snapToGrid w:val="0"/>
                <w:kern w:val="0"/>
                <w:sz w:val="24"/>
                <w:szCs w:val="24"/>
              </w:rPr>
              <w:t>3.1.6.6</w:t>
            </w:r>
            <w:r>
              <w:rPr>
                <w:rFonts w:hint="eastAsia" w:ascii="宋体" w:hAnsi="宋体"/>
                <w:snapToGrid w:val="0"/>
                <w:kern w:val="0"/>
                <w:sz w:val="24"/>
                <w:szCs w:val="24"/>
              </w:rPr>
              <w:t>公式</w:t>
            </w:r>
            <w:r>
              <w:rPr>
                <w:rFonts w:ascii="宋体" w:hAnsi="宋体"/>
                <w:snapToGrid w:val="0"/>
                <w:kern w:val="0"/>
                <w:sz w:val="24"/>
                <w:szCs w:val="24"/>
              </w:rPr>
              <w:t>4</w:t>
            </w:r>
            <w:r>
              <w:rPr>
                <w:rFonts w:hint="eastAsia" w:ascii="宋体" w:hAnsi="宋体"/>
                <w:snapToGrid w:val="0"/>
                <w:kern w:val="0"/>
                <w:sz w:val="24"/>
                <w:szCs w:val="24"/>
              </w:rPr>
              <w:t>另行计算地上核减建筑面积。</w:t>
            </w:r>
          </w:p>
        </w:tc>
      </w:tr>
    </w:tbl>
    <w:p>
      <w:pPr>
        <w:rPr>
          <w:rFonts w:ascii="宋体" w:hAnsi="宋体"/>
          <w:snapToGrid w:val="0"/>
          <w:kern w:val="0"/>
        </w:rPr>
      </w:pPr>
    </w:p>
    <w:p>
      <w:pPr>
        <w:widowControl/>
        <w:jc w:val="left"/>
        <w:rPr>
          <w:rFonts w:ascii="宋体" w:hAnsi="宋体"/>
          <w:snapToGrid w:val="0"/>
          <w:kern w:val="0"/>
        </w:rPr>
      </w:pPr>
      <w:r>
        <w:rPr>
          <w:rFonts w:ascii="宋体" w:hAnsi="宋体"/>
          <w:snapToGrid w:val="0"/>
          <w:kern w:val="0"/>
        </w:rPr>
        <w:br w:type="page"/>
      </w:r>
    </w:p>
    <w:tbl>
      <w:tblPr>
        <w:tblStyle w:val="2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hint="eastAsia" w:ascii="宋体" w:hAnsi="宋体"/>
                <w:b/>
                <w:bCs/>
                <w:snapToGrid w:val="0"/>
                <w:kern w:val="0"/>
                <w:sz w:val="32"/>
                <w:szCs w:val="32"/>
              </w:rPr>
              <w:t>第</w:t>
            </w:r>
            <w:r>
              <w:rPr>
                <w:rFonts w:ascii="宋体" w:hAnsi="宋体"/>
                <w:b/>
                <w:bCs/>
                <w:snapToGrid w:val="0"/>
                <w:kern w:val="0"/>
                <w:sz w:val="32"/>
                <w:szCs w:val="32"/>
              </w:rPr>
              <w:t>7章</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b/>
                <w:bCs/>
                <w:snapToGrid w:val="0"/>
                <w:kern w:val="0"/>
                <w:sz w:val="32"/>
                <w:szCs w:val="32"/>
              </w:rPr>
              <w:t>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Style w:val="66"/>
                <w:rFonts w:ascii="宋体" w:hAnsi="宋体"/>
                <w:snapToGrid w:val="0"/>
                <w:kern w:val="0"/>
              </w:rPr>
            </w:pPr>
            <w:r>
              <w:rPr>
                <w:rFonts w:ascii="宋体" w:hAnsi="宋体"/>
                <w:b/>
                <w:snapToGrid w:val="0"/>
                <w:kern w:val="0"/>
                <w:sz w:val="24"/>
                <w:szCs w:val="24"/>
              </w:rPr>
              <w:t>7.0.1</w:t>
            </w:r>
          </w:p>
        </w:tc>
        <w:tc>
          <w:tcPr>
            <w:tcW w:w="8220" w:type="dxa"/>
          </w:tcPr>
          <w:p>
            <w:pPr>
              <w:tabs>
                <w:tab w:val="left" w:pos="1170"/>
              </w:tabs>
              <w:topLinePunct/>
              <w:snapToGrid w:val="0"/>
              <w:spacing w:before="211" w:beforeLines="50"/>
              <w:rPr>
                <w:rStyle w:val="66"/>
                <w:rFonts w:ascii="宋体" w:hAnsi="宋体"/>
                <w:snapToGrid w:val="0"/>
                <w:kern w:val="0"/>
              </w:rPr>
            </w:pPr>
            <w:r>
              <w:rPr>
                <w:rFonts w:hint="eastAsia" w:ascii="宋体" w:hAnsi="宋体"/>
                <w:snapToGrid w:val="0"/>
                <w:kern w:val="0"/>
                <w:sz w:val="24"/>
                <w:szCs w:val="24"/>
              </w:rPr>
              <w:t>国家、广东省和深圳市现行有关法律、法规、规章和强制性技术标准另有规定的，从其规定。市规划主管部门此前颁布的规范性文件与本规则不一致的，适用本规则。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7.0.2</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《建设用地规划许可证》或</w:t>
            </w:r>
            <w:r>
              <w:rPr>
                <w:rFonts w:hint="eastAsia" w:ascii="宋体" w:hAnsi="宋体"/>
                <w:snapToGrid w:val="0"/>
                <w:kern w:val="0"/>
                <w:sz w:val="24"/>
                <w:szCs w:val="24"/>
              </w:rPr>
              <w:t>《土地使用权出让合同书》中有与本规则不一致的特殊约定的，从其约定。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7.0.3</w:t>
            </w:r>
          </w:p>
        </w:tc>
        <w:tc>
          <w:tcPr>
            <w:tcW w:w="8220" w:type="dxa"/>
          </w:tcPr>
          <w:p>
            <w:pPr>
              <w:tabs>
                <w:tab w:val="left" w:pos="1170"/>
              </w:tabs>
              <w:topLinePunct/>
              <w:snapToGrid w:val="0"/>
              <w:spacing w:before="211" w:beforeLines="50"/>
              <w:rPr>
                <w:rFonts w:ascii="宋体" w:hAnsi="宋体"/>
                <w:snapToGrid w:val="0"/>
                <w:kern w:val="0"/>
                <w:sz w:val="24"/>
                <w:szCs w:val="24"/>
              </w:rPr>
            </w:pPr>
            <w:r>
              <w:rPr>
                <w:rFonts w:hint="eastAsia" w:ascii="宋体" w:hAnsi="宋体"/>
                <w:bCs/>
                <w:snapToGrid w:val="0"/>
                <w:kern w:val="0"/>
                <w:sz w:val="24"/>
                <w:szCs w:val="24"/>
              </w:rPr>
              <w:t>本规则由市规划主管部门负责解释。为适应经济社会发展的需要，建立本规则动态修订机制，市规划主管部门可根据需要对本规则进行适时修订。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191" w:type="dxa"/>
          </w:tcPr>
          <w:p>
            <w:pPr>
              <w:topLinePunct/>
              <w:snapToGrid w:val="0"/>
              <w:spacing w:before="211" w:beforeLines="50"/>
              <w:rPr>
                <w:rFonts w:ascii="宋体" w:hAnsi="宋体"/>
                <w:b/>
                <w:bCs/>
                <w:snapToGrid w:val="0"/>
                <w:kern w:val="0"/>
                <w:sz w:val="24"/>
                <w:szCs w:val="24"/>
              </w:rPr>
            </w:pPr>
            <w:r>
              <w:rPr>
                <w:rFonts w:ascii="宋体" w:hAnsi="宋体"/>
                <w:b/>
                <w:snapToGrid w:val="0"/>
                <w:kern w:val="0"/>
                <w:sz w:val="24"/>
                <w:szCs w:val="24"/>
              </w:rPr>
              <w:t>7.0.</w:t>
            </w:r>
            <w:r>
              <w:rPr>
                <w:rFonts w:hint="eastAsia" w:ascii="宋体" w:hAnsi="宋体"/>
                <w:b/>
                <w:snapToGrid w:val="0"/>
                <w:kern w:val="0"/>
                <w:sz w:val="24"/>
                <w:szCs w:val="24"/>
              </w:rPr>
              <w:t>4</w:t>
            </w:r>
          </w:p>
        </w:tc>
        <w:tc>
          <w:tcPr>
            <w:tcW w:w="8220" w:type="dxa"/>
          </w:tcPr>
          <w:p>
            <w:pPr>
              <w:tabs>
                <w:tab w:val="left" w:pos="1170"/>
              </w:tabs>
              <w:topLinePunct/>
              <w:snapToGrid w:val="0"/>
              <w:spacing w:before="211" w:beforeLines="50"/>
              <w:rPr>
                <w:rFonts w:ascii="宋体" w:hAnsi="宋体"/>
                <w:bCs/>
                <w:snapToGrid w:val="0"/>
                <w:kern w:val="0"/>
                <w:sz w:val="24"/>
                <w:szCs w:val="24"/>
              </w:rPr>
            </w:pPr>
            <w:r>
              <w:rPr>
                <w:rFonts w:hint="eastAsia" w:ascii="宋体" w:hAnsi="宋体"/>
                <w:bCs/>
                <w:snapToGrid w:val="0"/>
                <w:kern w:val="0"/>
                <w:sz w:val="24"/>
                <w:szCs w:val="24"/>
              </w:rPr>
              <w:t>本规则自2019年1月11日起施行。2015年11月25日印发的《深圳市建筑设计规则》</w:t>
            </w:r>
            <w:r>
              <w:rPr>
                <w:rFonts w:ascii="宋体" w:hAnsi="宋体"/>
                <w:bCs/>
                <w:snapToGrid w:val="0"/>
                <w:kern w:val="0"/>
                <w:sz w:val="24"/>
                <w:szCs w:val="24"/>
              </w:rPr>
              <w:t>(</w:t>
            </w:r>
            <w:r>
              <w:rPr>
                <w:rFonts w:hint="eastAsia" w:ascii="宋体" w:hAnsi="宋体"/>
                <w:bCs/>
                <w:snapToGrid w:val="0"/>
                <w:kern w:val="0"/>
                <w:sz w:val="24"/>
                <w:szCs w:val="24"/>
              </w:rPr>
              <w:t>深规土﹝2015)757</w:t>
            </w:r>
            <w:r>
              <w:rPr>
                <w:rFonts w:ascii="宋体" w:hAnsi="宋体"/>
                <w:bCs/>
                <w:snapToGrid w:val="0"/>
                <w:kern w:val="0"/>
                <w:sz w:val="24"/>
                <w:szCs w:val="24"/>
              </w:rPr>
              <w:t>号)</w:t>
            </w:r>
            <w:r>
              <w:rPr>
                <w:rFonts w:hint="eastAsia" w:ascii="宋体" w:hAnsi="宋体"/>
                <w:bCs/>
                <w:snapToGrid w:val="0"/>
                <w:kern w:val="0"/>
                <w:sz w:val="24"/>
                <w:szCs w:val="24"/>
              </w:rPr>
              <w:t>同时废止。此前我委印发的有关规定与本规则不一致的，以本规则为准。</w:t>
            </w:r>
          </w:p>
        </w:tc>
      </w:tr>
    </w:tbl>
    <w:p/>
    <w:p>
      <w:pPr>
        <w:widowControl/>
        <w:jc w:val="left"/>
      </w:pPr>
      <w:r>
        <w:br w:type="page"/>
      </w:r>
    </w:p>
    <w:p>
      <w:pPr>
        <w:topLinePunct/>
        <w:snapToGrid w:val="0"/>
        <w:spacing w:before="211" w:beforeLines="50"/>
        <w:rPr>
          <w:rFonts w:ascii="宋体" w:hAnsi="宋体"/>
          <w:b/>
          <w:snapToGrid w:val="0"/>
          <w:kern w:val="0"/>
        </w:rPr>
      </w:pPr>
      <w:r>
        <w:rPr>
          <w:rFonts w:hint="eastAsia" w:ascii="宋体" w:hAnsi="宋体"/>
          <w:b/>
          <w:snapToGrid w:val="0"/>
          <w:kern w:val="0"/>
          <w:sz w:val="32"/>
          <w:szCs w:val="32"/>
        </w:rPr>
        <w:t>附录</w:t>
      </w:r>
      <w:r>
        <w:rPr>
          <w:rFonts w:ascii="宋体" w:hAnsi="宋体"/>
          <w:b/>
          <w:snapToGrid w:val="0"/>
          <w:kern w:val="0"/>
          <w:sz w:val="32"/>
          <w:szCs w:val="32"/>
        </w:rPr>
        <w:t>A 核减建筑面积</w:t>
      </w:r>
      <w:r>
        <w:rPr>
          <w:rFonts w:hint="eastAsia" w:ascii="宋体" w:hAnsi="宋体"/>
          <w:b/>
          <w:snapToGrid w:val="0"/>
          <w:kern w:val="0"/>
          <w:sz w:val="32"/>
          <w:szCs w:val="32"/>
        </w:rPr>
        <w:t>指标</w:t>
      </w:r>
      <w:r>
        <w:rPr>
          <w:rFonts w:ascii="宋体" w:hAnsi="宋体"/>
          <w:b/>
          <w:snapToGrid w:val="0"/>
          <w:kern w:val="0"/>
          <w:sz w:val="32"/>
          <w:szCs w:val="32"/>
        </w:rPr>
        <w:t>速查表</w:t>
      </w:r>
    </w:p>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A.0.1    </w:t>
      </w:r>
      <w:r>
        <w:rPr>
          <w:rFonts w:hint="eastAsia" w:ascii="宋体" w:hAnsi="宋体"/>
          <w:b/>
          <w:snapToGrid w:val="0"/>
          <w:kern w:val="0"/>
          <w:sz w:val="24"/>
          <w:szCs w:val="24"/>
        </w:rPr>
        <w:t>非功能性凹槽</w:t>
      </w:r>
    </w:p>
    <w:p>
      <w:pPr>
        <w:topLinePunct/>
        <w:snapToGrid w:val="0"/>
        <w:jc w:val="center"/>
        <w:rPr>
          <w:rFonts w:ascii="宋体" w:hAnsi="宋体"/>
          <w:snapToGrid w:val="0"/>
          <w:kern w:val="0"/>
        </w:rPr>
      </w:pPr>
      <w:r>
        <w:rPr>
          <w:rFonts w:hint="eastAsia" w:ascii="宋体" w:hAnsi="宋体"/>
          <w:snapToGrid w:val="0"/>
          <w:kern w:val="0"/>
        </w:rPr>
        <w:t>附表</w:t>
      </w:r>
      <w:r>
        <w:rPr>
          <w:rFonts w:ascii="宋体" w:hAnsi="宋体"/>
          <w:snapToGrid w:val="0"/>
          <w:kern w:val="0"/>
        </w:rPr>
        <w:t xml:space="preserve">A.0.1  </w:t>
      </w:r>
      <w:r>
        <w:rPr>
          <w:rFonts w:hint="eastAsia" w:ascii="宋体" w:hAnsi="宋体"/>
          <w:snapToGrid w:val="0"/>
          <w:kern w:val="0"/>
        </w:rPr>
        <w:t>非功能性凹槽全部计地上核减建筑面积的情形</w:t>
      </w:r>
    </w:p>
    <w:tbl>
      <w:tblPr>
        <w:tblStyle w:val="19"/>
        <w:tblW w:w="918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7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1268" w:type="dxa"/>
            <w:tcBorders>
              <w:top w:val="single" w:color="auto" w:sz="8" w:space="0"/>
              <w:left w:val="single" w:color="auto" w:sz="8" w:space="0"/>
              <w:bottom w:val="single" w:color="auto" w:sz="4" w:space="0"/>
            </w:tcBorders>
            <w:vAlign w:val="center"/>
          </w:tcPr>
          <w:p>
            <w:pPr>
              <w:topLinePunct/>
              <w:snapToGrid w:val="0"/>
              <w:jc w:val="center"/>
              <w:rPr>
                <w:rFonts w:ascii="宋体" w:hAnsi="宋体"/>
                <w:snapToGrid w:val="0"/>
                <w:kern w:val="0"/>
              </w:rPr>
            </w:pPr>
            <w:r>
              <w:rPr>
                <w:rFonts w:hint="eastAsia" w:ascii="宋体" w:hAnsi="宋体"/>
                <w:snapToGrid w:val="0"/>
                <w:kern w:val="0"/>
              </w:rPr>
              <w:t>建筑类别</w:t>
            </w:r>
          </w:p>
        </w:tc>
        <w:tc>
          <w:tcPr>
            <w:tcW w:w="7916" w:type="dxa"/>
            <w:tcBorders>
              <w:top w:val="single" w:color="auto" w:sz="8" w:space="0"/>
              <w:right w:val="single" w:color="auto" w:sz="8" w:space="0"/>
            </w:tcBorders>
            <w:vAlign w:val="center"/>
          </w:tcPr>
          <w:p>
            <w:pPr>
              <w:topLinePunct/>
              <w:snapToGrid w:val="0"/>
              <w:jc w:val="center"/>
              <w:rPr>
                <w:rFonts w:ascii="宋体" w:hAnsi="宋体"/>
                <w:snapToGrid w:val="0"/>
                <w:kern w:val="0"/>
              </w:rPr>
            </w:pPr>
            <w:r>
              <w:rPr>
                <w:rFonts w:hint="eastAsia" w:ascii="宋体" w:hAnsi="宋体"/>
                <w:snapToGrid w:val="0"/>
                <w:kern w:val="0"/>
              </w:rPr>
              <w:t>情形</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268" w:type="dxa"/>
            <w:vMerge w:val="restart"/>
            <w:tcBorders>
              <w:top w:val="single" w:color="auto" w:sz="4" w:space="0"/>
              <w:left w:val="single" w:color="auto" w:sz="8" w:space="0"/>
              <w:bottom w:val="single" w:color="auto" w:sz="8" w:space="0"/>
              <w:right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住宅、宿舍</w:t>
            </w:r>
          </w:p>
        </w:tc>
        <w:tc>
          <w:tcPr>
            <w:tcW w:w="7916" w:type="dxa"/>
            <w:tcBorders>
              <w:left w:val="single" w:color="auto" w:sz="4" w:space="0"/>
              <w:right w:val="single" w:color="auto" w:sz="8"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凹槽进深＞</w:t>
            </w:r>
            <w:r>
              <w:rPr>
                <w:rFonts w:ascii="仿宋" w:hAnsi="仿宋" w:eastAsia="仿宋"/>
                <w:snapToGrid w:val="0"/>
                <w:kern w:val="0"/>
              </w:rPr>
              <w:t>1.5m</w:t>
            </w: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268" w:type="dxa"/>
            <w:vMerge w:val="continue"/>
            <w:tcBorders>
              <w:top w:val="single" w:color="auto" w:sz="4" w:space="0"/>
              <w:left w:val="single" w:color="auto" w:sz="8" w:space="0"/>
              <w:bottom w:val="single" w:color="auto" w:sz="8" w:space="0"/>
              <w:right w:val="single" w:color="auto" w:sz="4" w:space="0"/>
            </w:tcBorders>
            <w:vAlign w:val="center"/>
          </w:tcPr>
          <w:p>
            <w:pPr>
              <w:topLinePunct/>
              <w:snapToGrid w:val="0"/>
              <w:rPr>
                <w:rFonts w:ascii="仿宋" w:hAnsi="仿宋" w:eastAsia="仿宋"/>
                <w:snapToGrid w:val="0"/>
                <w:kern w:val="0"/>
              </w:rPr>
            </w:pPr>
          </w:p>
        </w:tc>
        <w:tc>
          <w:tcPr>
            <w:tcW w:w="7916" w:type="dxa"/>
            <w:tcBorders>
              <w:left w:val="single" w:color="auto" w:sz="4" w:space="0"/>
              <w:right w:val="single" w:color="auto" w:sz="8"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凹槽进深≤</w:t>
            </w:r>
            <w:r>
              <w:rPr>
                <w:rFonts w:ascii="仿宋" w:hAnsi="仿宋" w:eastAsia="仿宋"/>
                <w:snapToGrid w:val="0"/>
                <w:kern w:val="0"/>
              </w:rPr>
              <w:t>1.5m，</w:t>
            </w:r>
            <w:r>
              <w:rPr>
                <w:rFonts w:hint="eastAsia" w:ascii="仿宋" w:hAnsi="仿宋" w:eastAsia="仿宋"/>
                <w:snapToGrid w:val="0"/>
                <w:kern w:val="0"/>
              </w:rPr>
              <w:t>但面宽与进深之比＜</w:t>
            </w:r>
            <w:r>
              <w:rPr>
                <w:rFonts w:ascii="仿宋" w:hAnsi="仿宋" w:eastAsia="仿宋"/>
                <w:snapToGrid w:val="0"/>
                <w:kern w:val="0"/>
              </w:rPr>
              <w:t>2</w:t>
            </w: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268" w:type="dxa"/>
            <w:vMerge w:val="continue"/>
            <w:tcBorders>
              <w:top w:val="single" w:color="auto" w:sz="4" w:space="0"/>
              <w:left w:val="single" w:color="auto" w:sz="8" w:space="0"/>
              <w:bottom w:val="single" w:color="auto" w:sz="8" w:space="0"/>
              <w:right w:val="single" w:color="auto" w:sz="4" w:space="0"/>
            </w:tcBorders>
            <w:vAlign w:val="center"/>
          </w:tcPr>
          <w:p>
            <w:pPr>
              <w:topLinePunct/>
              <w:snapToGrid w:val="0"/>
              <w:rPr>
                <w:rFonts w:ascii="仿宋" w:hAnsi="仿宋" w:eastAsia="仿宋"/>
                <w:snapToGrid w:val="0"/>
                <w:kern w:val="0"/>
              </w:rPr>
            </w:pPr>
          </w:p>
        </w:tc>
        <w:tc>
          <w:tcPr>
            <w:tcW w:w="7916" w:type="dxa"/>
            <w:tcBorders>
              <w:left w:val="single" w:color="auto" w:sz="4" w:space="0"/>
              <w:bottom w:val="single" w:color="auto" w:sz="8" w:space="0"/>
              <w:right w:val="single" w:color="auto" w:sz="8"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凹槽内设置的阳台或两户及以下使用的外走廊，其进深与凹槽进深之和＞</w:t>
            </w:r>
            <w:r>
              <w:rPr>
                <w:rFonts w:ascii="仿宋" w:hAnsi="仿宋" w:eastAsia="仿宋"/>
                <w:snapToGrid w:val="0"/>
                <w:kern w:val="0"/>
              </w:rPr>
              <w:t>2.4m。</w:t>
            </w:r>
          </w:p>
        </w:tc>
      </w:tr>
    </w:tbl>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A.0.2    </w:t>
      </w:r>
      <w:r>
        <w:rPr>
          <w:rFonts w:hint="eastAsia" w:ascii="宋体" w:hAnsi="宋体"/>
          <w:b/>
          <w:snapToGrid w:val="0"/>
          <w:kern w:val="0"/>
          <w:sz w:val="24"/>
          <w:szCs w:val="24"/>
        </w:rPr>
        <w:t>室外透空空间</w:t>
      </w:r>
    </w:p>
    <w:p>
      <w:pPr>
        <w:topLinePunct/>
        <w:snapToGrid w:val="0"/>
        <w:jc w:val="center"/>
        <w:rPr>
          <w:rFonts w:ascii="宋体" w:hAnsi="宋体"/>
          <w:snapToGrid w:val="0"/>
          <w:kern w:val="0"/>
        </w:rPr>
      </w:pPr>
      <w:r>
        <w:rPr>
          <w:rFonts w:hint="eastAsia" w:ascii="宋体" w:hAnsi="宋体"/>
          <w:snapToGrid w:val="0"/>
          <w:kern w:val="0"/>
        </w:rPr>
        <w:t>附表</w:t>
      </w:r>
      <w:r>
        <w:rPr>
          <w:rFonts w:ascii="宋体" w:hAnsi="宋体"/>
          <w:snapToGrid w:val="0"/>
          <w:kern w:val="0"/>
        </w:rPr>
        <w:t xml:space="preserve">A.0.2  </w:t>
      </w:r>
      <w:r>
        <w:rPr>
          <w:rFonts w:hint="eastAsia" w:ascii="宋体" w:hAnsi="宋体"/>
          <w:snapToGrid w:val="0"/>
          <w:kern w:val="0"/>
        </w:rPr>
        <w:t>室外透空空间的投影面积限值</w:t>
      </w:r>
    </w:p>
    <w:tbl>
      <w:tblPr>
        <w:tblStyle w:val="19"/>
        <w:tblW w:w="9185"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968"/>
        <w:gridCol w:w="1695"/>
        <w:gridCol w:w="3162"/>
        <w:gridCol w:w="2360"/>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968" w:type="dxa"/>
            <w:tcBorders>
              <w:top w:val="single" w:color="auto" w:sz="8" w:space="0"/>
              <w:bottom w:val="single" w:color="auto" w:sz="4" w:space="0"/>
              <w:right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建筑类别</w:t>
            </w:r>
          </w:p>
        </w:tc>
        <w:tc>
          <w:tcPr>
            <w:tcW w:w="1695" w:type="dxa"/>
            <w:tcBorders>
              <w:top w:val="single" w:color="auto" w:sz="8" w:space="0"/>
              <w:left w:val="single" w:color="auto" w:sz="4" w:space="0"/>
              <w:bottom w:val="single" w:color="auto" w:sz="4" w:space="0"/>
            </w:tcBorders>
            <w:vAlign w:val="center"/>
          </w:tcPr>
          <w:p>
            <w:pPr>
              <w:topLinePunct/>
              <w:snapToGrid w:val="0"/>
              <w:jc w:val="center"/>
              <w:rPr>
                <w:rFonts w:ascii="宋体" w:hAnsi="宋体"/>
                <w:snapToGrid w:val="0"/>
                <w:kern w:val="0"/>
              </w:rPr>
            </w:pPr>
            <w:r>
              <w:rPr>
                <w:rFonts w:hint="eastAsia" w:ascii="宋体" w:hAnsi="宋体"/>
                <w:snapToGrid w:val="0"/>
                <w:kern w:val="0"/>
              </w:rPr>
              <w:t>位置</w:t>
            </w:r>
          </w:p>
        </w:tc>
        <w:tc>
          <w:tcPr>
            <w:tcW w:w="3162" w:type="dxa"/>
            <w:tcBorders>
              <w:top w:val="single" w:color="auto" w:sz="8" w:space="0"/>
              <w:bottom w:val="single" w:color="auto" w:sz="4" w:space="0"/>
            </w:tcBorders>
            <w:vAlign w:val="center"/>
          </w:tcPr>
          <w:p>
            <w:pPr>
              <w:topLinePunct/>
              <w:snapToGrid w:val="0"/>
              <w:jc w:val="center"/>
              <w:rPr>
                <w:rFonts w:ascii="宋体" w:hAnsi="宋体"/>
                <w:snapToGrid w:val="0"/>
                <w:kern w:val="0"/>
              </w:rPr>
            </w:pPr>
            <w:r>
              <w:rPr>
                <w:rFonts w:hint="eastAsia" w:ascii="宋体" w:hAnsi="宋体"/>
                <w:snapToGrid w:val="0"/>
                <w:kern w:val="0"/>
              </w:rPr>
              <w:t>功能</w:t>
            </w:r>
          </w:p>
        </w:tc>
        <w:tc>
          <w:tcPr>
            <w:tcW w:w="2360" w:type="dxa"/>
            <w:tcBorders>
              <w:top w:val="single" w:color="auto" w:sz="8" w:space="0"/>
              <w:bottom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限值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968" w:type="dxa"/>
            <w:vMerge w:val="restart"/>
            <w:tcBorders>
              <w:top w:val="single" w:color="auto" w:sz="4" w:space="0"/>
              <w:bottom w:val="single" w:color="auto" w:sz="2"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住宅、宿舍</w:t>
            </w:r>
          </w:p>
        </w:tc>
        <w:tc>
          <w:tcPr>
            <w:tcW w:w="1695" w:type="dxa"/>
            <w:vMerge w:val="restart"/>
            <w:tcBorders>
              <w:top w:val="single" w:color="auto" w:sz="4" w:space="0"/>
              <w:left w:val="single" w:color="auto" w:sz="4" w:space="0"/>
              <w:bottom w:val="single" w:color="auto" w:sz="2"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户与户之间、</w:t>
            </w:r>
          </w:p>
          <w:p>
            <w:pPr>
              <w:topLinePunct/>
              <w:snapToGrid w:val="0"/>
              <w:rPr>
                <w:rFonts w:ascii="仿宋" w:hAnsi="仿宋" w:eastAsia="仿宋"/>
                <w:snapToGrid w:val="0"/>
                <w:kern w:val="0"/>
              </w:rPr>
            </w:pPr>
            <w:r>
              <w:rPr>
                <w:rFonts w:hint="eastAsia" w:ascii="仿宋" w:hAnsi="仿宋" w:eastAsia="仿宋"/>
                <w:snapToGrid w:val="0"/>
                <w:kern w:val="0"/>
              </w:rPr>
              <w:t>户与核心筒之间</w:t>
            </w:r>
          </w:p>
        </w:tc>
        <w:tc>
          <w:tcPr>
            <w:tcW w:w="3162" w:type="dxa"/>
            <w:tcBorders>
              <w:top w:val="single" w:color="auto" w:sz="4" w:space="0"/>
              <w:bottom w:val="single" w:color="auto" w:sz="2"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三户及以上采光通风的唯一来源</w:t>
            </w:r>
          </w:p>
        </w:tc>
        <w:tc>
          <w:tcPr>
            <w:tcW w:w="2360" w:type="dxa"/>
            <w:tcBorders>
              <w:top w:val="single" w:color="auto" w:sz="4" w:space="0"/>
              <w:bottom w:val="single" w:color="auto" w:sz="2"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不限</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968" w:type="dxa"/>
            <w:vMerge w:val="continue"/>
            <w:tcBorders>
              <w:top w:val="single" w:color="auto" w:sz="2"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p>
        </w:tc>
        <w:tc>
          <w:tcPr>
            <w:tcW w:w="1695" w:type="dxa"/>
            <w:vMerge w:val="continue"/>
            <w:tcBorders>
              <w:top w:val="single" w:color="auto" w:sz="2" w:space="0"/>
              <w:left w:val="single" w:color="auto" w:sz="4" w:space="0"/>
              <w:bottom w:val="single" w:color="auto" w:sz="4" w:space="0"/>
            </w:tcBorders>
            <w:vAlign w:val="center"/>
          </w:tcPr>
          <w:p>
            <w:pPr>
              <w:topLinePunct/>
              <w:snapToGrid w:val="0"/>
              <w:rPr>
                <w:rFonts w:ascii="仿宋" w:hAnsi="仿宋" w:eastAsia="仿宋"/>
                <w:snapToGrid w:val="0"/>
                <w:kern w:val="0"/>
              </w:rPr>
            </w:pPr>
          </w:p>
        </w:tc>
        <w:tc>
          <w:tcPr>
            <w:tcW w:w="3162" w:type="dxa"/>
            <w:tcBorders>
              <w:top w:val="single" w:color="auto" w:sz="2" w:space="0"/>
              <w:bottom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超高层建筑户内房间(均不含阳台)采光通风的唯一来源</w:t>
            </w:r>
          </w:p>
        </w:tc>
        <w:tc>
          <w:tcPr>
            <w:tcW w:w="2360" w:type="dxa"/>
            <w:tcBorders>
              <w:top w:val="single" w:color="auto" w:sz="2" w:space="0"/>
              <w:bottom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本层计规定建筑面积部分水平投影面积×</w:t>
            </w:r>
            <w:r>
              <w:rPr>
                <w:rFonts w:ascii="仿宋" w:hAnsi="仿宋" w:eastAsia="仿宋"/>
                <w:snapToGrid w:val="0"/>
                <w:kern w:val="0"/>
              </w:rPr>
              <w:t>3%</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968" w:type="dxa"/>
            <w:tcBorders>
              <w:top w:val="single" w:color="auto" w:sz="4"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商业、物流建筑及非超高层的办公、新型产业建筑</w:t>
            </w:r>
          </w:p>
        </w:tc>
        <w:tc>
          <w:tcPr>
            <w:tcW w:w="1695" w:type="dxa"/>
            <w:tcBorders>
              <w:top w:val="single" w:color="auto" w:sz="4" w:space="0"/>
              <w:left w:val="single" w:color="auto" w:sz="4" w:space="0"/>
              <w:bottom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户与户之间、</w:t>
            </w:r>
          </w:p>
          <w:p>
            <w:pPr>
              <w:topLinePunct/>
              <w:snapToGrid w:val="0"/>
              <w:rPr>
                <w:rFonts w:ascii="仿宋" w:hAnsi="仿宋" w:eastAsia="仿宋"/>
                <w:snapToGrid w:val="0"/>
                <w:kern w:val="0"/>
              </w:rPr>
            </w:pPr>
            <w:r>
              <w:rPr>
                <w:rFonts w:hint="eastAsia" w:ascii="仿宋" w:hAnsi="仿宋" w:eastAsia="仿宋"/>
                <w:snapToGrid w:val="0"/>
                <w:kern w:val="0"/>
              </w:rPr>
              <w:t>户与核心筒之间</w:t>
            </w:r>
          </w:p>
        </w:tc>
        <w:tc>
          <w:tcPr>
            <w:tcW w:w="3162" w:type="dxa"/>
            <w:tcBorders>
              <w:top w:val="single" w:color="auto" w:sz="4" w:space="0"/>
              <w:bottom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不限</w:t>
            </w:r>
          </w:p>
        </w:tc>
        <w:tc>
          <w:tcPr>
            <w:tcW w:w="2360" w:type="dxa"/>
            <w:tcBorders>
              <w:top w:val="single" w:color="auto" w:sz="4" w:space="0"/>
              <w:bottom w:val="single" w:color="auto" w:sz="4"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本层计规定建筑面积部分水平投影面积×</w:t>
            </w:r>
            <w:r>
              <w:rPr>
                <w:rFonts w:ascii="仿宋" w:hAnsi="仿宋" w:eastAsia="仿宋"/>
                <w:snapToGrid w:val="0"/>
                <w:kern w:val="0"/>
              </w:rPr>
              <w:t>3%</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6825" w:type="dxa"/>
            <w:gridSpan w:val="3"/>
            <w:tcBorders>
              <w:top w:val="single" w:color="auto" w:sz="4" w:space="0"/>
              <w:bottom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非上述情形</w:t>
            </w:r>
          </w:p>
        </w:tc>
        <w:tc>
          <w:tcPr>
            <w:tcW w:w="2360" w:type="dxa"/>
            <w:tcBorders>
              <w:top w:val="single" w:color="auto" w:sz="4" w:space="0"/>
              <w:bottom w:val="single" w:color="auto" w:sz="8"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0</w:t>
            </w:r>
          </w:p>
        </w:tc>
      </w:tr>
    </w:tbl>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A.0.3</w:t>
      </w:r>
      <w:r>
        <w:rPr>
          <w:rFonts w:hint="eastAsia" w:ascii="宋体" w:hAnsi="宋体"/>
          <w:b/>
          <w:snapToGrid w:val="0"/>
          <w:kern w:val="0"/>
          <w:sz w:val="24"/>
          <w:szCs w:val="24"/>
        </w:rPr>
        <w:t xml:space="preserve">    室内透空空间</w:t>
      </w:r>
    </w:p>
    <w:p>
      <w:pPr>
        <w:topLinePunct/>
        <w:snapToGrid w:val="0"/>
        <w:jc w:val="center"/>
        <w:rPr>
          <w:rFonts w:ascii="宋体" w:hAnsi="宋体"/>
          <w:snapToGrid w:val="0"/>
          <w:kern w:val="0"/>
        </w:rPr>
      </w:pPr>
      <w:r>
        <w:rPr>
          <w:rFonts w:hint="eastAsia" w:ascii="宋体" w:hAnsi="宋体"/>
          <w:snapToGrid w:val="0"/>
          <w:kern w:val="0"/>
        </w:rPr>
        <w:t>附表</w:t>
      </w:r>
      <w:r>
        <w:rPr>
          <w:rFonts w:ascii="宋体" w:hAnsi="宋体"/>
          <w:snapToGrid w:val="0"/>
          <w:kern w:val="0"/>
        </w:rPr>
        <w:t xml:space="preserve">A.0.3  </w:t>
      </w:r>
      <w:r>
        <w:rPr>
          <w:rFonts w:hint="eastAsia" w:ascii="宋体" w:hAnsi="宋体"/>
          <w:snapToGrid w:val="0"/>
          <w:kern w:val="0"/>
        </w:rPr>
        <w:t>室内透空空间的投影面积限值</w:t>
      </w:r>
    </w:p>
    <w:tbl>
      <w:tblPr>
        <w:tblStyle w:val="19"/>
        <w:tblW w:w="9184" w:type="dxa"/>
        <w:jc w:val="right"/>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428"/>
        <w:gridCol w:w="874"/>
        <w:gridCol w:w="638"/>
        <w:gridCol w:w="2128"/>
        <w:gridCol w:w="511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tcBorders>
              <w:top w:val="single" w:color="auto" w:sz="8" w:space="0"/>
              <w:bottom w:val="single" w:color="auto" w:sz="4" w:space="0"/>
              <w:right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建筑类别</w:t>
            </w:r>
          </w:p>
        </w:tc>
        <w:tc>
          <w:tcPr>
            <w:tcW w:w="2766" w:type="dxa"/>
            <w:gridSpan w:val="2"/>
            <w:tcBorders>
              <w:top w:val="single" w:color="auto" w:sz="8" w:space="0"/>
              <w:left w:val="single" w:color="auto" w:sz="4" w:space="0"/>
              <w:bottom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位置</w:t>
            </w:r>
          </w:p>
        </w:tc>
        <w:tc>
          <w:tcPr>
            <w:tcW w:w="5116" w:type="dxa"/>
            <w:tcBorders>
              <w:top w:val="single" w:color="auto" w:sz="8" w:space="0"/>
              <w:bottom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限值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vMerge w:val="restart"/>
            <w:tcBorders>
              <w:top w:val="single" w:color="auto" w:sz="2" w:space="0"/>
              <w:bottom w:val="single" w:color="auto" w:sz="2" w:space="0"/>
              <w:right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住宅建筑</w:t>
            </w:r>
          </w:p>
        </w:tc>
        <w:tc>
          <w:tcPr>
            <w:tcW w:w="2766" w:type="dxa"/>
            <w:gridSpan w:val="2"/>
            <w:tcBorders>
              <w:top w:val="single" w:color="auto" w:sz="2" w:space="0"/>
              <w:left w:val="single" w:color="auto" w:sz="4"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建筑面积＞</w:t>
            </w:r>
            <w:r>
              <w:rPr>
                <w:rFonts w:ascii="仿宋" w:hAnsi="仿宋" w:eastAsia="仿宋"/>
                <w:snapToGrid w:val="0"/>
                <w:kern w:val="0"/>
              </w:rPr>
              <w:t>90</w:t>
            </w:r>
            <w:r>
              <w:rPr>
                <w:rFonts w:hint="eastAsia" w:ascii="仿宋" w:hAnsi="仿宋" w:eastAsia="仿宋" w:cs="宋体"/>
                <w:snapToGrid w:val="0"/>
                <w:kern w:val="0"/>
              </w:rPr>
              <w:t>㎡</w:t>
            </w:r>
            <w:r>
              <w:rPr>
                <w:rFonts w:hint="eastAsia" w:ascii="仿宋" w:hAnsi="仿宋" w:eastAsia="仿宋"/>
                <w:snapToGrid w:val="0"/>
                <w:kern w:val="0"/>
              </w:rPr>
              <w:t>复式住宅</w:t>
            </w:r>
            <w:r>
              <w:rPr>
                <w:rFonts w:hint="eastAsia" w:ascii="仿宋" w:hAnsi="仿宋" w:eastAsia="仿宋" w:cs="宋体"/>
                <w:snapToGrid w:val="0"/>
                <w:kern w:val="0"/>
              </w:rPr>
              <w:t>的</w:t>
            </w:r>
            <w:r>
              <w:rPr>
                <w:rFonts w:hint="eastAsia" w:ascii="仿宋" w:hAnsi="仿宋" w:eastAsia="仿宋"/>
                <w:snapToGrid w:val="0"/>
                <w:kern w:val="0"/>
              </w:rPr>
              <w:t>户内起居室</w:t>
            </w:r>
            <w:r>
              <w:rPr>
                <w:rFonts w:ascii="仿宋" w:hAnsi="仿宋" w:eastAsia="仿宋"/>
                <w:snapToGrid w:val="0"/>
                <w:kern w:val="0"/>
              </w:rPr>
              <w:t>(厅)、餐厅</w:t>
            </w:r>
          </w:p>
        </w:tc>
        <w:tc>
          <w:tcPr>
            <w:tcW w:w="511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取</w:t>
            </w:r>
            <w:r>
              <w:rPr>
                <w:rFonts w:ascii="仿宋" w:hAnsi="仿宋" w:eastAsia="仿宋"/>
                <w:snapToGrid w:val="0"/>
                <w:kern w:val="0"/>
              </w:rPr>
              <w:t>60</w:t>
            </w:r>
            <w:r>
              <w:rPr>
                <w:rFonts w:hint="eastAsia" w:ascii="仿宋" w:hAnsi="仿宋" w:eastAsia="仿宋" w:cs="宋体"/>
                <w:snapToGrid w:val="0"/>
                <w:kern w:val="0"/>
              </w:rPr>
              <w:t>㎡</w:t>
            </w:r>
            <w:r>
              <w:rPr>
                <w:rFonts w:hint="eastAsia" w:ascii="仿宋" w:hAnsi="仿宋" w:eastAsia="仿宋"/>
                <w:snapToGrid w:val="0"/>
                <w:kern w:val="0"/>
              </w:rPr>
              <w:t>与除阳台外户内建筑面积×</w:t>
            </w:r>
            <w:r>
              <w:rPr>
                <w:rFonts w:ascii="仿宋" w:hAnsi="仿宋" w:eastAsia="仿宋"/>
                <w:snapToGrid w:val="0"/>
                <w:kern w:val="0"/>
              </w:rPr>
              <w:t>20%</w:t>
            </w:r>
            <w:r>
              <w:rPr>
                <w:rFonts w:hint="eastAsia" w:ascii="仿宋" w:hAnsi="仿宋" w:eastAsia="仿宋"/>
                <w:snapToGrid w:val="0"/>
                <w:kern w:val="0"/>
              </w:rPr>
              <w:t>中的较小值</w:t>
            </w:r>
            <w:r>
              <w:rPr>
                <w:rFonts w:hint="eastAsia" w:ascii="仿宋" w:hAnsi="仿宋" w:eastAsia="仿宋" w:cs="宋体"/>
                <w:snapToGrid w:val="0"/>
                <w:kern w:val="0"/>
              </w:rPr>
              <w:t>，室内透空空间高度不得超过两个标准层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vMerge w:val="continue"/>
            <w:tcBorders>
              <w:top w:val="single" w:color="auto" w:sz="2"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p>
        </w:tc>
        <w:tc>
          <w:tcPr>
            <w:tcW w:w="2766" w:type="dxa"/>
            <w:gridSpan w:val="2"/>
            <w:tcBorders>
              <w:top w:val="single" w:color="auto" w:sz="2" w:space="0"/>
              <w:left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错层式住宅的户内</w:t>
            </w:r>
          </w:p>
          <w:p>
            <w:pPr>
              <w:topLinePunct/>
              <w:snapToGrid w:val="0"/>
              <w:rPr>
                <w:rFonts w:ascii="仿宋" w:hAnsi="仿宋" w:eastAsia="仿宋"/>
                <w:snapToGrid w:val="0"/>
                <w:kern w:val="0"/>
              </w:rPr>
            </w:pPr>
            <w:r>
              <w:rPr>
                <w:rFonts w:hint="eastAsia" w:ascii="仿宋" w:hAnsi="仿宋" w:eastAsia="仿宋"/>
                <w:snapToGrid w:val="0"/>
                <w:kern w:val="0"/>
              </w:rPr>
              <w:t>起居室</w:t>
            </w:r>
            <w:r>
              <w:rPr>
                <w:rFonts w:ascii="仿宋" w:hAnsi="仿宋" w:eastAsia="仿宋"/>
                <w:snapToGrid w:val="0"/>
                <w:kern w:val="0"/>
              </w:rPr>
              <w:t>(厅)</w:t>
            </w:r>
          </w:p>
        </w:tc>
        <w:tc>
          <w:tcPr>
            <w:tcW w:w="5116" w:type="dxa"/>
            <w:tcBorders>
              <w:top w:val="single" w:color="auto" w:sz="2"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取</w:t>
            </w:r>
            <w:r>
              <w:rPr>
                <w:rFonts w:ascii="仿宋" w:hAnsi="仿宋" w:eastAsia="仿宋"/>
                <w:snapToGrid w:val="0"/>
                <w:kern w:val="0"/>
              </w:rPr>
              <w:t>40</w:t>
            </w:r>
            <w:r>
              <w:rPr>
                <w:rFonts w:hint="eastAsia" w:ascii="仿宋" w:hAnsi="仿宋" w:eastAsia="仿宋" w:cs="宋体"/>
                <w:snapToGrid w:val="0"/>
                <w:kern w:val="0"/>
              </w:rPr>
              <w:t>㎡</w:t>
            </w:r>
            <w:r>
              <w:rPr>
                <w:rFonts w:hint="eastAsia" w:ascii="仿宋" w:hAnsi="仿宋" w:eastAsia="仿宋"/>
                <w:snapToGrid w:val="0"/>
                <w:kern w:val="0"/>
              </w:rPr>
              <w:t>与除阳台外户内建筑面积×</w:t>
            </w:r>
            <w:r>
              <w:rPr>
                <w:rFonts w:ascii="仿宋" w:hAnsi="仿宋" w:eastAsia="仿宋"/>
                <w:snapToGrid w:val="0"/>
                <w:kern w:val="0"/>
              </w:rPr>
              <w:t>15%</w:t>
            </w:r>
            <w:r>
              <w:rPr>
                <w:rFonts w:hint="eastAsia" w:ascii="仿宋" w:hAnsi="仿宋" w:eastAsia="仿宋"/>
                <w:snapToGrid w:val="0"/>
                <w:kern w:val="0"/>
              </w:rPr>
              <w:t>中的较小值</w:t>
            </w:r>
            <w:r>
              <w:rPr>
                <w:rFonts w:hint="eastAsia" w:ascii="仿宋" w:hAnsi="仿宋" w:eastAsia="仿宋" w:cs="宋体"/>
                <w:snapToGrid w:val="0"/>
                <w:kern w:val="0"/>
              </w:rPr>
              <w:t>，室内透空空间高度不得超过</w:t>
            </w:r>
            <w:r>
              <w:rPr>
                <w:rFonts w:ascii="仿宋" w:hAnsi="仿宋" w:eastAsia="仿宋" w:cs="宋体"/>
                <w:snapToGrid w:val="0"/>
                <w:kern w:val="0"/>
              </w:rPr>
              <w:t>4.5m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tcBorders>
              <w:top w:val="single" w:color="auto" w:sz="4"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办公建筑</w:t>
            </w:r>
          </w:p>
        </w:tc>
        <w:tc>
          <w:tcPr>
            <w:tcW w:w="2766" w:type="dxa"/>
            <w:gridSpan w:val="2"/>
            <w:tcBorders>
              <w:top w:val="single" w:color="auto" w:sz="4" w:space="0"/>
              <w:left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门厅、中庭、大堂(含空中大堂)、公共阳台、多功能厅、会议厅</w:t>
            </w:r>
          </w:p>
        </w:tc>
        <w:tc>
          <w:tcPr>
            <w:tcW w:w="5116" w:type="dxa"/>
            <w:tcBorders>
              <w:top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时</w:t>
            </w:r>
            <w:r>
              <w:rPr>
                <w:rFonts w:hint="eastAsia" w:ascii="仿宋" w:hAnsi="仿宋" w:eastAsia="仿宋" w:cs="宋体"/>
                <w:snapToGrid w:val="0"/>
                <w:kern w:val="0"/>
              </w:rPr>
              <w:t>，</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10%；</w:t>
            </w:r>
          </w:p>
          <w:p>
            <w:pPr>
              <w:topLinePunct/>
              <w:snapToGrid w:val="0"/>
              <w:rPr>
                <w:rFonts w:ascii="仿宋" w:hAnsi="仿宋" w:eastAsia="仿宋" w:cs="宋体"/>
                <w:snapToGrid w:val="0"/>
                <w:kern w:val="0"/>
              </w:rPr>
            </w:pPr>
            <w:r>
              <w:rPr>
                <w:rFonts w:ascii="仿宋" w:hAnsi="仿宋" w:eastAsia="仿宋"/>
                <w:snapToGrid w:val="0"/>
                <w:kern w:val="0"/>
              </w:rPr>
              <w:t>50000</w:t>
            </w:r>
            <w:r>
              <w:rPr>
                <w:rFonts w:hint="eastAsia" w:ascii="仿宋" w:hAnsi="仿宋" w:eastAsia="仿宋"/>
                <w:snapToGrid w:val="0"/>
                <w:kern w:val="0"/>
              </w:rPr>
              <w:t>＜</w:t>
            </w: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100000</w:t>
            </w:r>
            <w:r>
              <w:rPr>
                <w:rFonts w:hint="eastAsia" w:ascii="仿宋" w:hAnsi="仿宋" w:eastAsia="仿宋"/>
                <w:snapToGrid w:val="0"/>
                <w:kern w:val="0"/>
              </w:rPr>
              <w:t>时</w:t>
            </w:r>
            <w:r>
              <w:rPr>
                <w:rFonts w:hint="eastAsia" w:ascii="仿宋" w:hAnsi="仿宋" w:eastAsia="仿宋" w:cs="宋体"/>
                <w:snapToGrid w:val="0"/>
                <w:kern w:val="0"/>
              </w:rPr>
              <w:t>，</w:t>
            </w:r>
          </w:p>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w:t>
            </w:r>
            <w:r>
              <w:rPr>
                <w:rFonts w:ascii="仿宋" w:hAnsi="仿宋" w:eastAsia="仿宋"/>
                <w:snapToGrid w:val="0"/>
                <w:kern w:val="0"/>
              </w:rPr>
              <w:t>10%＋（S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cs="宋体"/>
                <w:snapToGrid w:val="0"/>
                <w:kern w:val="0"/>
              </w:rPr>
              <w:t>）</w:t>
            </w:r>
            <w:r>
              <w:rPr>
                <w:rFonts w:hint="eastAsia" w:ascii="仿宋" w:hAnsi="仿宋" w:eastAsia="仿宋"/>
                <w:snapToGrid w:val="0"/>
                <w:kern w:val="0"/>
              </w:rPr>
              <w:t>×</w:t>
            </w:r>
            <w:r>
              <w:rPr>
                <w:rFonts w:ascii="仿宋" w:hAnsi="仿宋" w:eastAsia="仿宋"/>
                <w:snapToGrid w:val="0"/>
                <w:kern w:val="0"/>
              </w:rPr>
              <w:t>5%；</w:t>
            </w:r>
          </w:p>
          <w:p>
            <w:pPr>
              <w:topLinePunct/>
              <w:snapToGrid w:val="0"/>
              <w:rPr>
                <w:rFonts w:ascii="仿宋" w:hAnsi="仿宋" w:eastAsia="仿宋" w:cs="宋体"/>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100000</w:t>
            </w:r>
            <w:r>
              <w:rPr>
                <w:rFonts w:hint="eastAsia" w:ascii="仿宋" w:hAnsi="仿宋" w:eastAsia="仿宋"/>
                <w:snapToGrid w:val="0"/>
                <w:kern w:val="0"/>
              </w:rPr>
              <w:t>时</w:t>
            </w:r>
            <w:r>
              <w:rPr>
                <w:rFonts w:hint="eastAsia" w:ascii="仿宋" w:hAnsi="仿宋" w:eastAsia="仿宋" w:cs="宋体"/>
                <w:snapToGrid w:val="0"/>
                <w:kern w:val="0"/>
              </w:rPr>
              <w:t>，</w:t>
            </w:r>
          </w:p>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w:t>
            </w:r>
            <w:r>
              <w:rPr>
                <w:rFonts w:ascii="仿宋" w:hAnsi="仿宋" w:eastAsia="仿宋"/>
                <w:snapToGrid w:val="0"/>
                <w:kern w:val="0"/>
              </w:rPr>
              <w:t>10%＋50000</w:t>
            </w:r>
            <w:r>
              <w:rPr>
                <w:rFonts w:hint="eastAsia" w:ascii="仿宋" w:hAnsi="仿宋" w:eastAsia="仿宋"/>
                <w:snapToGrid w:val="0"/>
                <w:kern w:val="0"/>
              </w:rPr>
              <w:t>×</w:t>
            </w:r>
            <w:r>
              <w:rPr>
                <w:rFonts w:ascii="仿宋" w:hAnsi="仿宋" w:eastAsia="仿宋"/>
                <w:snapToGrid w:val="0"/>
                <w:kern w:val="0"/>
              </w:rPr>
              <w:t>5%＋（S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100000</w:t>
            </w:r>
            <w:r>
              <w:rPr>
                <w:rFonts w:hint="eastAsia" w:ascii="仿宋" w:hAnsi="仿宋" w:eastAsia="仿宋" w:cs="宋体"/>
                <w:snapToGrid w:val="0"/>
                <w:kern w:val="0"/>
              </w:rPr>
              <w:t>）</w:t>
            </w:r>
            <w:r>
              <w:rPr>
                <w:rFonts w:hint="eastAsia" w:ascii="仿宋" w:hAnsi="仿宋" w:eastAsia="仿宋"/>
                <w:snapToGrid w:val="0"/>
                <w:kern w:val="0"/>
              </w:rPr>
              <w:t>×</w:t>
            </w:r>
            <w:r>
              <w:rPr>
                <w:rFonts w:ascii="仿宋" w:hAnsi="仿宋" w:eastAsia="仿宋"/>
                <w:snapToGrid w:val="0"/>
                <w:kern w:val="0"/>
              </w:rPr>
              <w:t>3%。</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428" w:type="dxa"/>
            <w:vMerge w:val="restart"/>
            <w:tcBorders>
              <w:top w:val="single" w:color="auto" w:sz="4" w:space="0"/>
              <w:bottom w:val="single" w:color="auto" w:sz="4" w:space="0"/>
              <w:right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商业建筑</w:t>
            </w:r>
          </w:p>
        </w:tc>
        <w:tc>
          <w:tcPr>
            <w:tcW w:w="874" w:type="dxa"/>
            <w:tcBorders>
              <w:top w:val="single" w:color="auto" w:sz="4" w:space="0"/>
              <w:left w:val="single" w:color="auto" w:sz="2" w:space="0"/>
              <w:bottom w:val="single" w:color="auto" w:sz="2"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旅馆</w:t>
            </w:r>
          </w:p>
          <w:p>
            <w:pPr>
              <w:topLinePunct/>
              <w:snapToGrid w:val="0"/>
              <w:rPr>
                <w:rFonts w:ascii="仿宋" w:hAnsi="仿宋" w:eastAsia="仿宋"/>
                <w:snapToGrid w:val="0"/>
                <w:kern w:val="0"/>
              </w:rPr>
            </w:pPr>
            <w:r>
              <w:rPr>
                <w:rFonts w:hint="eastAsia" w:ascii="仿宋" w:hAnsi="仿宋" w:eastAsia="仿宋"/>
                <w:snapToGrid w:val="0"/>
                <w:kern w:val="0"/>
              </w:rPr>
              <w:t>(酒店)</w:t>
            </w:r>
          </w:p>
        </w:tc>
        <w:tc>
          <w:tcPr>
            <w:tcW w:w="2766" w:type="dxa"/>
            <w:gridSpan w:val="2"/>
            <w:tcBorders>
              <w:top w:val="single" w:color="auto" w:sz="4" w:space="0"/>
              <w:left w:val="single" w:color="auto" w:sz="4"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门厅、中庭、大堂(含空中大堂)、公共阳台、多功能厅、宴会厅、会议厅</w:t>
            </w:r>
          </w:p>
        </w:tc>
        <w:tc>
          <w:tcPr>
            <w:tcW w:w="5116" w:type="dxa"/>
            <w:tcBorders>
              <w:top w:val="single" w:color="auto" w:sz="4"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本栋旅馆(酒店)功能规定建筑面积×</w:t>
            </w:r>
            <w:r>
              <w:rPr>
                <w:rFonts w:ascii="仿宋" w:hAnsi="仿宋" w:eastAsia="仿宋"/>
                <w:snapToGrid w:val="0"/>
                <w:kern w:val="0"/>
              </w:rPr>
              <w:t>1</w:t>
            </w:r>
            <w:r>
              <w:rPr>
                <w:rFonts w:hint="eastAsia" w:ascii="仿宋" w:hAnsi="仿宋" w:eastAsia="仿宋"/>
                <w:snapToGrid w:val="0"/>
                <w:kern w:val="0"/>
              </w:rPr>
              <w:t>5</w:t>
            </w:r>
            <w:r>
              <w:rPr>
                <w:rFonts w:ascii="仿宋" w:hAnsi="仿宋" w:eastAsia="仿宋"/>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428" w:type="dxa"/>
            <w:vMerge w:val="continue"/>
            <w:tcBorders>
              <w:top w:val="single" w:color="auto" w:sz="2" w:space="0"/>
              <w:bottom w:val="single" w:color="auto" w:sz="4" w:space="0"/>
              <w:right w:val="single" w:color="auto" w:sz="2" w:space="0"/>
            </w:tcBorders>
            <w:shd w:val="clear" w:color="auto" w:fill="auto"/>
            <w:vAlign w:val="center"/>
          </w:tcPr>
          <w:p>
            <w:pPr>
              <w:topLinePunct/>
              <w:snapToGrid w:val="0"/>
              <w:jc w:val="left"/>
              <w:rPr>
                <w:rFonts w:ascii="仿宋" w:hAnsi="仿宋" w:eastAsia="仿宋"/>
                <w:snapToGrid w:val="0"/>
                <w:kern w:val="0"/>
              </w:rPr>
            </w:pPr>
          </w:p>
        </w:tc>
        <w:tc>
          <w:tcPr>
            <w:tcW w:w="874" w:type="dxa"/>
            <w:vMerge w:val="restart"/>
            <w:tcBorders>
              <w:top w:val="single" w:color="auto" w:sz="2" w:space="0"/>
              <w:left w:val="single" w:color="auto" w:sz="2" w:space="0"/>
              <w:bottom w:val="single" w:color="auto" w:sz="4" w:space="0"/>
              <w:right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除旅馆(酒店)外</w:t>
            </w:r>
          </w:p>
        </w:tc>
        <w:tc>
          <w:tcPr>
            <w:tcW w:w="638" w:type="dxa"/>
            <w:tcBorders>
              <w:top w:val="single" w:color="auto" w:sz="2" w:space="0"/>
              <w:left w:val="single" w:color="auto" w:sz="4"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普通</w:t>
            </w:r>
          </w:p>
        </w:tc>
        <w:tc>
          <w:tcPr>
            <w:tcW w:w="2128"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门厅、中庭、大堂(含空中大堂)</w:t>
            </w:r>
          </w:p>
        </w:tc>
        <w:tc>
          <w:tcPr>
            <w:tcW w:w="511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本栋商业功能规定建筑面积×</w:t>
            </w:r>
            <w:r>
              <w:rPr>
                <w:rFonts w:ascii="仿宋" w:hAnsi="仿宋" w:eastAsia="仿宋"/>
                <w:snapToGrid w:val="0"/>
                <w:kern w:val="0"/>
              </w:rPr>
              <w:t>10%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428" w:type="dxa"/>
            <w:vMerge w:val="continue"/>
            <w:tcBorders>
              <w:top w:val="single" w:color="auto" w:sz="2" w:space="0"/>
              <w:bottom w:val="single" w:color="auto" w:sz="4" w:space="0"/>
              <w:right w:val="single" w:color="auto" w:sz="2" w:space="0"/>
            </w:tcBorders>
            <w:shd w:val="clear" w:color="auto" w:fill="auto"/>
            <w:vAlign w:val="center"/>
          </w:tcPr>
          <w:p>
            <w:pPr>
              <w:topLinePunct/>
              <w:snapToGrid w:val="0"/>
              <w:rPr>
                <w:rFonts w:ascii="仿宋" w:hAnsi="仿宋" w:eastAsia="仿宋"/>
                <w:snapToGrid w:val="0"/>
                <w:kern w:val="0"/>
              </w:rPr>
            </w:pPr>
          </w:p>
        </w:tc>
        <w:tc>
          <w:tcPr>
            <w:tcW w:w="874" w:type="dxa"/>
            <w:vMerge w:val="continue"/>
            <w:tcBorders>
              <w:top w:val="single" w:color="auto" w:sz="4" w:space="0"/>
              <w:left w:val="single" w:color="auto" w:sz="2"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p>
        </w:tc>
        <w:tc>
          <w:tcPr>
            <w:tcW w:w="638" w:type="dxa"/>
            <w:tcBorders>
              <w:top w:val="single" w:color="auto" w:sz="2" w:space="0"/>
              <w:left w:val="single" w:color="auto" w:sz="4" w:space="0"/>
              <w:bottom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集中大型</w:t>
            </w:r>
          </w:p>
        </w:tc>
        <w:tc>
          <w:tcPr>
            <w:tcW w:w="2128" w:type="dxa"/>
            <w:tcBorders>
              <w:top w:val="single" w:color="auto" w:sz="2" w:space="0"/>
              <w:bottom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门厅、中庭、大堂(含空中大堂)、公共阳台、多功能厅、商业影厅、宴会厅</w:t>
            </w:r>
          </w:p>
        </w:tc>
        <w:tc>
          <w:tcPr>
            <w:tcW w:w="5116" w:type="dxa"/>
            <w:tcBorders>
              <w:top w:val="single" w:color="auto" w:sz="2"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本栋商业功能规定建筑面积×</w:t>
            </w:r>
            <w:r>
              <w:rPr>
                <w:rFonts w:ascii="仿宋" w:hAnsi="仿宋" w:eastAsia="仿宋"/>
                <w:snapToGrid w:val="0"/>
                <w:kern w:val="0"/>
              </w:rPr>
              <w:t>15%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tcBorders>
              <w:top w:val="single" w:color="auto" w:sz="4"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新型产业</w:t>
            </w:r>
          </w:p>
          <w:p>
            <w:pPr>
              <w:topLinePunct/>
              <w:snapToGrid w:val="0"/>
              <w:rPr>
                <w:rFonts w:ascii="仿宋" w:hAnsi="仿宋" w:eastAsia="仿宋"/>
                <w:snapToGrid w:val="0"/>
                <w:kern w:val="0"/>
              </w:rPr>
            </w:pPr>
            <w:r>
              <w:rPr>
                <w:rFonts w:hint="eastAsia" w:ascii="仿宋" w:hAnsi="仿宋" w:eastAsia="仿宋"/>
                <w:snapToGrid w:val="0"/>
                <w:kern w:val="0"/>
              </w:rPr>
              <w:t>建筑</w:t>
            </w:r>
          </w:p>
        </w:tc>
        <w:tc>
          <w:tcPr>
            <w:tcW w:w="2766" w:type="dxa"/>
            <w:gridSpan w:val="2"/>
            <w:tcBorders>
              <w:top w:val="single" w:color="auto" w:sz="4" w:space="0"/>
              <w:left w:val="single" w:color="auto" w:sz="4" w:space="0"/>
              <w:bottom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大堂(门厅)、公共阳台</w:t>
            </w:r>
          </w:p>
        </w:tc>
        <w:tc>
          <w:tcPr>
            <w:tcW w:w="5116" w:type="dxa"/>
            <w:tcBorders>
              <w:top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时</w:t>
            </w:r>
            <w:r>
              <w:rPr>
                <w:rFonts w:hint="eastAsia" w:ascii="仿宋" w:hAnsi="仿宋" w:eastAsia="仿宋" w:cs="宋体"/>
                <w:snapToGrid w:val="0"/>
                <w:kern w:val="0"/>
              </w:rPr>
              <w:t>，</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w:t>
            </w:r>
          </w:p>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时</w:t>
            </w:r>
            <w:r>
              <w:rPr>
                <w:rFonts w:hint="eastAsia" w:ascii="仿宋" w:hAnsi="仿宋" w:eastAsia="仿宋" w:cs="宋体"/>
                <w:snapToGrid w:val="0"/>
                <w:kern w:val="0"/>
              </w:rPr>
              <w:t>，</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w:t>
            </w:r>
            <w:r>
              <w:rPr>
                <w:rFonts w:ascii="仿宋" w:hAnsi="仿宋" w:eastAsia="仿宋"/>
                <w:snapToGrid w:val="0"/>
                <w:kern w:val="0"/>
              </w:rPr>
              <w:t>5%＋（S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cs="宋体"/>
                <w:snapToGrid w:val="0"/>
                <w:kern w:val="0"/>
              </w:rPr>
              <w:t>）</w:t>
            </w:r>
            <w:r>
              <w:rPr>
                <w:rFonts w:hint="eastAsia" w:ascii="仿宋" w:hAnsi="仿宋" w:eastAsia="仿宋"/>
                <w:snapToGrid w:val="0"/>
                <w:kern w:val="0"/>
              </w:rPr>
              <w:t>×</w:t>
            </w:r>
            <w:r>
              <w:rPr>
                <w:rFonts w:ascii="仿宋" w:hAnsi="仿宋" w:eastAsia="仿宋"/>
                <w:snapToGrid w:val="0"/>
                <w:kern w:val="0"/>
              </w:rPr>
              <w:t>3%。</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1302" w:type="dxa"/>
            <w:gridSpan w:val="2"/>
            <w:tcBorders>
              <w:top w:val="single" w:color="auto" w:sz="4"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物流建筑</w:t>
            </w:r>
          </w:p>
        </w:tc>
        <w:tc>
          <w:tcPr>
            <w:tcW w:w="2766" w:type="dxa"/>
            <w:gridSpan w:val="2"/>
            <w:tcBorders>
              <w:top w:val="single" w:color="auto" w:sz="4" w:space="0"/>
              <w:left w:val="single" w:color="auto" w:sz="4" w:space="0"/>
              <w:bottom w:val="single" w:color="auto" w:sz="4"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大堂(门厅)</w:t>
            </w:r>
          </w:p>
        </w:tc>
        <w:tc>
          <w:tcPr>
            <w:tcW w:w="5116" w:type="dxa"/>
            <w:tcBorders>
              <w:top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时</w:t>
            </w:r>
            <w:r>
              <w:rPr>
                <w:rFonts w:hint="eastAsia" w:ascii="仿宋" w:hAnsi="仿宋" w:eastAsia="仿宋" w:cs="宋体"/>
                <w:snapToGrid w:val="0"/>
                <w:kern w:val="0"/>
              </w:rPr>
              <w:t>，</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w:t>
            </w:r>
          </w:p>
          <w:p>
            <w:pPr>
              <w:topLinePunct/>
              <w:snapToGrid w:val="0"/>
              <w:rPr>
                <w:rFonts w:ascii="仿宋" w:hAnsi="仿宋" w:eastAsia="仿宋"/>
                <w:snapToGrid w:val="0"/>
                <w:kern w:val="0"/>
              </w:rPr>
            </w:pPr>
            <w:r>
              <w:rPr>
                <w:rFonts w:ascii="仿宋" w:hAnsi="仿宋" w:eastAsia="仿宋"/>
                <w:snapToGrid w:val="0"/>
                <w:kern w:val="0"/>
              </w:rPr>
              <w:t>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时</w:t>
            </w:r>
            <w:r>
              <w:rPr>
                <w:rFonts w:hint="eastAsia" w:ascii="仿宋" w:hAnsi="仿宋" w:eastAsia="仿宋" w:cs="宋体"/>
                <w:snapToGrid w:val="0"/>
                <w:kern w:val="0"/>
              </w:rPr>
              <w:t>，</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snapToGrid w:val="0"/>
                <w:kern w:val="0"/>
              </w:rPr>
              <w:t>×</w:t>
            </w:r>
            <w:r>
              <w:rPr>
                <w:rFonts w:ascii="仿宋" w:hAnsi="仿宋" w:eastAsia="仿宋"/>
                <w:snapToGrid w:val="0"/>
                <w:kern w:val="0"/>
              </w:rPr>
              <w:t>5%＋（S</w:t>
            </w:r>
            <w:r>
              <w:rPr>
                <w:rFonts w:ascii="仿宋" w:hAnsi="仿宋" w:eastAsia="仿宋"/>
                <w:snapToGrid w:val="0"/>
                <w:kern w:val="0"/>
                <w:vertAlign w:val="subscript"/>
              </w:rPr>
              <w:t>1</w:t>
            </w:r>
            <w:r>
              <w:rPr>
                <w:rFonts w:hint="eastAsia" w:ascii="仿宋" w:hAnsi="仿宋" w:eastAsia="仿宋"/>
                <w:snapToGrid w:val="0"/>
                <w:kern w:val="0"/>
              </w:rPr>
              <w:t>－</w:t>
            </w:r>
            <w:r>
              <w:rPr>
                <w:rFonts w:ascii="仿宋" w:hAnsi="仿宋" w:eastAsia="仿宋"/>
                <w:snapToGrid w:val="0"/>
                <w:kern w:val="0"/>
              </w:rPr>
              <w:t>50000</w:t>
            </w:r>
            <w:r>
              <w:rPr>
                <w:rFonts w:hint="eastAsia" w:ascii="仿宋" w:hAnsi="仿宋" w:eastAsia="仿宋" w:cs="宋体"/>
                <w:snapToGrid w:val="0"/>
                <w:kern w:val="0"/>
              </w:rPr>
              <w:t>）</w:t>
            </w:r>
            <w:r>
              <w:rPr>
                <w:rFonts w:hint="eastAsia" w:ascii="仿宋" w:hAnsi="仿宋" w:eastAsia="仿宋"/>
                <w:snapToGrid w:val="0"/>
                <w:kern w:val="0"/>
              </w:rPr>
              <w:t>×</w:t>
            </w:r>
            <w:r>
              <w:rPr>
                <w:rFonts w:ascii="仿宋" w:hAnsi="仿宋" w:eastAsia="仿宋"/>
                <w:snapToGrid w:val="0"/>
                <w:kern w:val="0"/>
              </w:rPr>
              <w:t>3%。</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right"/>
        </w:trPr>
        <w:tc>
          <w:tcPr>
            <w:tcW w:w="4068" w:type="dxa"/>
            <w:gridSpan w:val="4"/>
            <w:tcBorders>
              <w:top w:val="single" w:color="auto" w:sz="4" w:space="0"/>
              <w:bottom w:val="single" w:color="auto" w:sz="8"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非上述情形</w:t>
            </w:r>
          </w:p>
        </w:tc>
        <w:tc>
          <w:tcPr>
            <w:tcW w:w="5116" w:type="dxa"/>
            <w:tcBorders>
              <w:top w:val="single" w:color="auto" w:sz="4" w:space="0"/>
              <w:bottom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0</w:t>
            </w:r>
          </w:p>
        </w:tc>
      </w:tr>
    </w:tbl>
    <w:p>
      <w:pPr>
        <w:widowControl/>
        <w:jc w:val="left"/>
        <w:rPr>
          <w:rFonts w:ascii="宋体" w:hAnsi="宋体"/>
          <w:b/>
          <w:snapToGrid w:val="0"/>
          <w:kern w:val="0"/>
          <w:sz w:val="24"/>
          <w:szCs w:val="24"/>
        </w:rPr>
      </w:pPr>
      <w:r>
        <w:rPr>
          <w:rFonts w:hint="eastAsia" w:ascii="仿宋" w:hAnsi="仿宋" w:eastAsia="仿宋"/>
          <w:snapToGrid w:val="0"/>
          <w:kern w:val="0"/>
        </w:rPr>
        <w:t>表中</w:t>
      </w:r>
      <w:r>
        <w:rPr>
          <w:rFonts w:ascii="仿宋" w:hAnsi="仿宋" w:eastAsia="仿宋"/>
          <w:snapToGrid w:val="0"/>
          <w:kern w:val="0"/>
        </w:rPr>
        <w:t>S1</w:t>
      </w:r>
      <w:r>
        <w:rPr>
          <w:rFonts w:hint="eastAsia" w:ascii="仿宋" w:hAnsi="仿宋" w:eastAsia="仿宋"/>
          <w:snapToGrid w:val="0"/>
          <w:kern w:val="0"/>
        </w:rPr>
        <w:t>为本栋地相应功能规定建筑面积，</w:t>
      </w:r>
      <w:r>
        <w:rPr>
          <w:rFonts w:ascii="仿宋" w:hAnsi="仿宋" w:eastAsia="仿宋"/>
          <w:snapToGrid w:val="0"/>
          <w:kern w:val="0"/>
        </w:rPr>
        <w:t>S</w:t>
      </w:r>
      <w:r>
        <w:rPr>
          <w:rFonts w:ascii="仿宋" w:hAnsi="仿宋" w:eastAsia="仿宋"/>
          <w:snapToGrid w:val="0"/>
          <w:kern w:val="0"/>
          <w:vertAlign w:val="subscript"/>
        </w:rPr>
        <w:t>2</w:t>
      </w:r>
      <w:r>
        <w:rPr>
          <w:rFonts w:hint="eastAsia" w:ascii="仿宋" w:hAnsi="仿宋" w:eastAsia="仿宋"/>
          <w:snapToGrid w:val="0"/>
          <w:kern w:val="0"/>
        </w:rPr>
        <w:t>为室内透空空间的投影面积限值，单位为</w:t>
      </w:r>
      <w:r>
        <w:rPr>
          <w:rFonts w:hint="eastAsia" w:ascii="仿宋" w:hAnsi="仿宋" w:eastAsia="仿宋" w:cs="宋体"/>
          <w:snapToGrid w:val="0"/>
          <w:kern w:val="0"/>
        </w:rPr>
        <w:t>㎡</w:t>
      </w:r>
      <w:r>
        <w:rPr>
          <w:rFonts w:hint="eastAsia" w:ascii="仿宋" w:hAnsi="仿宋" w:eastAsia="仿宋"/>
          <w:snapToGrid w:val="0"/>
          <w:kern w:val="0"/>
        </w:rPr>
        <w:t>。</w:t>
      </w:r>
      <w:r>
        <w:rPr>
          <w:rFonts w:ascii="宋体" w:hAnsi="宋体"/>
          <w:b/>
          <w:snapToGrid w:val="0"/>
          <w:kern w:val="0"/>
          <w:sz w:val="24"/>
          <w:szCs w:val="24"/>
        </w:rPr>
        <w:br w:type="page"/>
      </w:r>
      <w:r>
        <w:rPr>
          <w:rFonts w:ascii="宋体" w:hAnsi="宋体"/>
          <w:b/>
          <w:snapToGrid w:val="0"/>
          <w:kern w:val="0"/>
          <w:sz w:val="24"/>
          <w:szCs w:val="24"/>
        </w:rPr>
        <w:t>A.0.4</w:t>
      </w:r>
      <w:r>
        <w:rPr>
          <w:rFonts w:hint="eastAsia" w:ascii="宋体" w:hAnsi="宋体"/>
          <w:b/>
          <w:snapToGrid w:val="0"/>
          <w:kern w:val="0"/>
          <w:sz w:val="24"/>
          <w:szCs w:val="24"/>
        </w:rPr>
        <w:t xml:space="preserve">    建筑层高</w:t>
      </w:r>
    </w:p>
    <w:p>
      <w:pPr>
        <w:topLinePunct/>
        <w:jc w:val="center"/>
        <w:rPr>
          <w:rFonts w:ascii="宋体" w:hAnsi="宋体"/>
          <w:snapToGrid w:val="0"/>
          <w:kern w:val="0"/>
        </w:rPr>
      </w:pPr>
      <w:r>
        <w:rPr>
          <w:rFonts w:hint="eastAsia" w:ascii="宋体" w:hAnsi="宋体"/>
          <w:snapToGrid w:val="0"/>
          <w:kern w:val="0"/>
        </w:rPr>
        <w:t>附表</w:t>
      </w:r>
      <w:r>
        <w:rPr>
          <w:rFonts w:ascii="宋体" w:hAnsi="宋体"/>
          <w:snapToGrid w:val="0"/>
          <w:kern w:val="0"/>
        </w:rPr>
        <w:t>A.0.4  建筑</w:t>
      </w:r>
      <w:r>
        <w:rPr>
          <w:rFonts w:hint="eastAsia" w:ascii="宋体" w:hAnsi="宋体"/>
          <w:snapToGrid w:val="0"/>
          <w:kern w:val="0"/>
        </w:rPr>
        <w:t>层高的限值和标准值</w:t>
      </w:r>
    </w:p>
    <w:tbl>
      <w:tblPr>
        <w:tblStyle w:val="19"/>
        <w:tblW w:w="8902"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437"/>
        <w:gridCol w:w="464"/>
        <w:gridCol w:w="891"/>
        <w:gridCol w:w="424"/>
        <w:gridCol w:w="228"/>
        <w:gridCol w:w="1514"/>
        <w:gridCol w:w="2073"/>
        <w:gridCol w:w="2020"/>
        <w:gridCol w:w="85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tcBorders>
              <w:top w:val="single" w:color="auto" w:sz="8" w:space="0"/>
              <w:bottom w:val="single" w:color="auto" w:sz="2" w:space="0"/>
              <w:right w:val="single" w:color="auto" w:sz="4" w:space="0"/>
            </w:tcBorders>
            <w:vAlign w:val="center"/>
          </w:tcPr>
          <w:p>
            <w:pPr>
              <w:topLinePunct/>
              <w:jc w:val="center"/>
              <w:rPr>
                <w:rFonts w:ascii="宋体" w:hAnsi="宋体"/>
                <w:snapToGrid w:val="0"/>
                <w:kern w:val="0"/>
              </w:rPr>
            </w:pPr>
            <w:r>
              <w:rPr>
                <w:rFonts w:hint="eastAsia" w:ascii="宋体" w:hAnsi="宋体"/>
                <w:snapToGrid w:val="0"/>
                <w:kern w:val="0"/>
              </w:rPr>
              <w:t>建筑类别</w:t>
            </w:r>
          </w:p>
        </w:tc>
        <w:tc>
          <w:tcPr>
            <w:tcW w:w="2073" w:type="dxa"/>
            <w:tcBorders>
              <w:left w:val="single" w:color="auto" w:sz="4" w:space="0"/>
              <w:bottom w:val="single" w:color="auto" w:sz="4" w:space="0"/>
            </w:tcBorders>
            <w:vAlign w:val="center"/>
          </w:tcPr>
          <w:p>
            <w:pPr>
              <w:topLinePunct/>
              <w:jc w:val="center"/>
              <w:rPr>
                <w:rFonts w:ascii="宋体" w:hAnsi="宋体"/>
                <w:snapToGrid w:val="0"/>
                <w:kern w:val="0"/>
              </w:rPr>
            </w:pPr>
            <w:r>
              <w:rPr>
                <w:rFonts w:hint="eastAsia" w:ascii="宋体" w:hAnsi="宋体"/>
                <w:snapToGrid w:val="0"/>
                <w:kern w:val="0"/>
              </w:rPr>
              <w:t>位置</w:t>
            </w:r>
          </w:p>
        </w:tc>
        <w:tc>
          <w:tcPr>
            <w:tcW w:w="2020" w:type="dxa"/>
            <w:tcBorders>
              <w:bottom w:val="single" w:color="auto" w:sz="4" w:space="0"/>
            </w:tcBorders>
            <w:vAlign w:val="center"/>
          </w:tcPr>
          <w:p>
            <w:pPr>
              <w:topLinePunct/>
              <w:jc w:val="center"/>
              <w:rPr>
                <w:rFonts w:ascii="宋体" w:hAnsi="宋体"/>
                <w:snapToGrid w:val="0"/>
                <w:kern w:val="0"/>
              </w:rPr>
            </w:pPr>
            <w:r>
              <w:rPr>
                <w:rFonts w:hint="eastAsia" w:ascii="宋体" w:hAnsi="宋体"/>
                <w:snapToGrid w:val="0"/>
                <w:kern w:val="0"/>
              </w:rPr>
              <w:t>限值</w:t>
            </w:r>
          </w:p>
        </w:tc>
        <w:tc>
          <w:tcPr>
            <w:tcW w:w="851" w:type="dxa"/>
            <w:tcBorders>
              <w:bottom w:val="single" w:color="auto" w:sz="4" w:space="0"/>
            </w:tcBorders>
            <w:vAlign w:val="center"/>
          </w:tcPr>
          <w:p>
            <w:pPr>
              <w:topLinePunct/>
              <w:jc w:val="center"/>
              <w:rPr>
                <w:rFonts w:ascii="宋体" w:hAnsi="宋体"/>
                <w:snapToGrid w:val="0"/>
                <w:kern w:val="0"/>
              </w:rPr>
            </w:pPr>
            <w:r>
              <w:rPr>
                <w:rFonts w:hint="eastAsia" w:ascii="宋体" w:hAnsi="宋体"/>
                <w:snapToGrid w:val="0"/>
                <w:kern w:val="0"/>
              </w:rPr>
              <w:t>标准值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restart"/>
            <w:tcBorders>
              <w:top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住宅建筑</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首层作为公共大堂</w:t>
            </w: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6.0m</w:t>
            </w: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top w:val="single" w:color="auto" w:sz="2"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住宅楼层</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3.6m</w:t>
            </w:r>
          </w:p>
        </w:tc>
        <w:tc>
          <w:tcPr>
            <w:tcW w:w="851" w:type="dxa"/>
            <w:vMerge w:val="continue"/>
            <w:tcBorders>
              <w:top w:val="single" w:color="auto" w:sz="2" w:space="0"/>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restart"/>
            <w:tcBorders>
              <w:top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宿舍建筑</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首层作为公共活动室</w:t>
            </w: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6.0m</w:t>
            </w: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top w:val="single" w:color="auto" w:sz="2"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设置单层床的</w:t>
            </w:r>
          </w:p>
        </w:tc>
        <w:tc>
          <w:tcPr>
            <w:tcW w:w="2020" w:type="dxa"/>
            <w:tcBorders>
              <w:top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3.3m</w:t>
            </w:r>
          </w:p>
        </w:tc>
        <w:tc>
          <w:tcPr>
            <w:tcW w:w="851" w:type="dxa"/>
            <w:vMerge w:val="continue"/>
            <w:tcBorders>
              <w:top w:val="single" w:color="auto" w:sz="2"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bottom w:val="single" w:color="auto" w:sz="2" w:space="0"/>
              <w:right w:val="single" w:color="auto" w:sz="4" w:space="0"/>
            </w:tcBorders>
            <w:vAlign w:val="center"/>
          </w:tcPr>
          <w:p>
            <w:pPr>
              <w:widowControl/>
              <w:jc w:val="left"/>
              <w:rPr>
                <w:rFonts w:ascii="仿宋" w:hAnsi="仿宋" w:eastAsia="仿宋"/>
                <w:snapToGrid w:val="0"/>
                <w:kern w:val="0"/>
              </w:rPr>
            </w:pPr>
          </w:p>
        </w:tc>
        <w:tc>
          <w:tcPr>
            <w:tcW w:w="2073" w:type="dxa"/>
            <w:tcBorders>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设置双层床的</w:t>
            </w:r>
          </w:p>
        </w:tc>
        <w:tc>
          <w:tcPr>
            <w:tcW w:w="2020" w:type="dxa"/>
            <w:tcBorders>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3.9m</w:t>
            </w:r>
          </w:p>
        </w:tc>
        <w:tc>
          <w:tcPr>
            <w:tcW w:w="851" w:type="dxa"/>
            <w:vMerge w:val="continue"/>
            <w:tcBorders>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restart"/>
            <w:tcBorders>
              <w:top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办公建筑</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6.0m</w:t>
            </w: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top w:val="single" w:color="auto" w:sz="2" w:space="0"/>
              <w:bottom w:val="single" w:color="auto" w:sz="2" w:space="0"/>
              <w:right w:val="single" w:color="auto" w:sz="4" w:space="0"/>
            </w:tcBorders>
            <w:vAlign w:val="center"/>
          </w:tcPr>
          <w:p>
            <w:pPr>
              <w:widowControl/>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二层及以上</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tcBorders>
              <w:top w:val="single" w:color="auto" w:sz="2" w:space="0"/>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restart"/>
            <w:tcBorders>
              <w:top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top w:val="single" w:color="auto" w:sz="2" w:space="0"/>
              <w:bottom w:val="single" w:color="auto" w:sz="4"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p>
        </w:tc>
        <w:tc>
          <w:tcPr>
            <w:tcW w:w="851" w:type="dxa"/>
            <w:vMerge w:val="continue"/>
            <w:tcBorders>
              <w:top w:val="single" w:color="auto" w:sz="2" w:space="0"/>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restart"/>
            <w:tcBorders>
              <w:top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商业建筑</w:t>
            </w:r>
          </w:p>
        </w:tc>
        <w:tc>
          <w:tcPr>
            <w:tcW w:w="3521" w:type="dxa"/>
            <w:gridSpan w:val="5"/>
            <w:tcBorders>
              <w:top w:val="single" w:color="auto" w:sz="2" w:space="0"/>
              <w:bottom w:val="single" w:color="auto" w:sz="4"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有特殊层高需求的仓储式商业</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8.0m</w:t>
            </w:r>
          </w:p>
        </w:tc>
        <w:tc>
          <w:tcPr>
            <w:tcW w:w="851"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8.0m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restart"/>
            <w:tcBorders>
              <w:top w:val="single" w:color="auto" w:sz="4" w:space="0"/>
              <w:left w:val="single" w:color="auto" w:sz="4" w:space="0"/>
              <w:right w:val="single" w:color="auto" w:sz="2" w:space="0"/>
            </w:tcBorders>
            <w:vAlign w:val="center"/>
          </w:tcPr>
          <w:p>
            <w:pPr>
              <w:topLinePunct/>
              <w:jc w:val="center"/>
              <w:rPr>
                <w:rFonts w:ascii="仿宋" w:hAnsi="仿宋" w:eastAsia="仿宋"/>
                <w:b/>
                <w:snapToGrid w:val="0"/>
                <w:kern w:val="0"/>
              </w:rPr>
            </w:pPr>
            <w:r>
              <w:rPr>
                <w:rFonts w:hint="eastAsia" w:ascii="仿宋" w:hAnsi="仿宋" w:eastAsia="仿宋"/>
                <w:snapToGrid w:val="0"/>
                <w:kern w:val="0"/>
              </w:rPr>
              <w:t>除上述情形外</w:t>
            </w:r>
          </w:p>
        </w:tc>
        <w:tc>
          <w:tcPr>
            <w:tcW w:w="3057" w:type="dxa"/>
            <w:gridSpan w:val="4"/>
            <w:vMerge w:val="restart"/>
            <w:tcBorders>
              <w:top w:val="single" w:color="auto" w:sz="4" w:space="0"/>
              <w:left w:val="single" w:color="auto" w:sz="4" w:space="0"/>
              <w:bottom w:val="single" w:color="auto" w:sz="2" w:space="0"/>
              <w:right w:val="single" w:color="auto" w:sz="2"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旅馆(酒店)</w:t>
            </w:r>
          </w:p>
        </w:tc>
        <w:tc>
          <w:tcPr>
            <w:tcW w:w="2073" w:type="dxa"/>
            <w:tcBorders>
              <w:top w:val="single" w:color="auto" w:sz="4"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首层作为大堂(门厅)</w:t>
            </w:r>
          </w:p>
        </w:tc>
        <w:tc>
          <w:tcPr>
            <w:tcW w:w="2020" w:type="dxa"/>
            <w:tcBorders>
              <w:top w:val="single" w:color="auto" w:sz="4"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6.0m</w:t>
            </w:r>
          </w:p>
        </w:tc>
        <w:tc>
          <w:tcPr>
            <w:tcW w:w="851" w:type="dxa"/>
            <w:vMerge w:val="restart"/>
            <w:tcBorders>
              <w:top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b/>
                <w:snapToGrid w:val="0"/>
                <w:kern w:val="0"/>
              </w:rPr>
            </w:pPr>
          </w:p>
        </w:tc>
        <w:tc>
          <w:tcPr>
            <w:tcW w:w="3057" w:type="dxa"/>
            <w:gridSpan w:val="4"/>
            <w:vMerge w:val="continue"/>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b/>
                <w:snapToGrid w:val="0"/>
                <w:kern w:val="0"/>
              </w:rPr>
            </w:pP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公共配套区域</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b/>
                <w:snapToGrid w:val="0"/>
                <w:kern w:val="0"/>
              </w:rPr>
            </w:pPr>
          </w:p>
        </w:tc>
        <w:tc>
          <w:tcPr>
            <w:tcW w:w="3057" w:type="dxa"/>
            <w:gridSpan w:val="4"/>
            <w:vMerge w:val="continue"/>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b/>
                <w:snapToGrid w:val="0"/>
                <w:kern w:val="0"/>
              </w:rPr>
            </w:pP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客房层</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4.2m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b/>
                <w:snapToGrid w:val="0"/>
                <w:kern w:val="0"/>
              </w:rPr>
            </w:pPr>
          </w:p>
        </w:tc>
        <w:tc>
          <w:tcPr>
            <w:tcW w:w="891" w:type="dxa"/>
            <w:vMerge w:val="restart"/>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除旅馆(酒店)外</w:t>
            </w:r>
          </w:p>
        </w:tc>
        <w:tc>
          <w:tcPr>
            <w:tcW w:w="2166" w:type="dxa"/>
            <w:gridSpan w:val="3"/>
            <w:vMerge w:val="restart"/>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普通商业建筑、层内</w:t>
            </w:r>
            <w:r>
              <w:rPr>
                <w:rFonts w:ascii="仿宋" w:hAnsi="仿宋" w:eastAsia="仿宋"/>
                <w:snapToGrid w:val="0"/>
                <w:kern w:val="0"/>
              </w:rPr>
              <w:t>50%</w:t>
            </w:r>
            <w:r>
              <w:rPr>
                <w:rFonts w:hint="eastAsia" w:ascii="仿宋" w:hAnsi="仿宋" w:eastAsia="仿宋"/>
                <w:snapToGrid w:val="0"/>
                <w:kern w:val="0"/>
              </w:rPr>
              <w:t>以上为小型商铺</w:t>
            </w: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首层至六层</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center"/>
              <w:rPr>
                <w:rFonts w:ascii="仿宋" w:hAnsi="仿宋" w:eastAsia="仿宋"/>
                <w:snapToGrid w:val="0"/>
                <w:kern w:val="0"/>
              </w:rPr>
            </w:pPr>
          </w:p>
        </w:tc>
        <w:tc>
          <w:tcPr>
            <w:tcW w:w="891" w:type="dxa"/>
            <w:vMerge w:val="continue"/>
            <w:tcBorders>
              <w:top w:val="single" w:color="auto" w:sz="2" w:space="0"/>
              <w:left w:val="single" w:color="auto" w:sz="4" w:space="0"/>
              <w:bottom w:val="single" w:color="auto" w:sz="2" w:space="0"/>
              <w:right w:val="single" w:color="auto" w:sz="2" w:space="0"/>
            </w:tcBorders>
            <w:vAlign w:val="center"/>
          </w:tcPr>
          <w:p>
            <w:pPr>
              <w:topLinePunct/>
              <w:jc w:val="center"/>
              <w:rPr>
                <w:rFonts w:ascii="仿宋" w:hAnsi="仿宋" w:eastAsia="仿宋"/>
                <w:snapToGrid w:val="0"/>
                <w:kern w:val="0"/>
              </w:rPr>
            </w:pPr>
          </w:p>
        </w:tc>
        <w:tc>
          <w:tcPr>
            <w:tcW w:w="2166" w:type="dxa"/>
            <w:gridSpan w:val="3"/>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center"/>
              <w:rPr>
                <w:rFonts w:ascii="仿宋" w:hAnsi="仿宋" w:eastAsia="仿宋"/>
                <w:snapToGrid w:val="0"/>
                <w:kern w:val="0"/>
              </w:rPr>
            </w:pPr>
          </w:p>
        </w:tc>
        <w:tc>
          <w:tcPr>
            <w:tcW w:w="891" w:type="dxa"/>
            <w:vMerge w:val="continue"/>
            <w:tcBorders>
              <w:top w:val="single" w:color="auto" w:sz="2" w:space="0"/>
              <w:left w:val="single" w:color="auto" w:sz="4" w:space="0"/>
              <w:bottom w:val="single" w:color="auto" w:sz="2" w:space="0"/>
              <w:right w:val="single" w:color="auto" w:sz="2" w:space="0"/>
            </w:tcBorders>
            <w:vAlign w:val="center"/>
          </w:tcPr>
          <w:p>
            <w:pPr>
              <w:topLinePunct/>
              <w:jc w:val="center"/>
              <w:rPr>
                <w:rFonts w:ascii="仿宋" w:hAnsi="仿宋" w:eastAsia="仿宋"/>
                <w:snapToGrid w:val="0"/>
                <w:kern w:val="0"/>
              </w:rPr>
            </w:pPr>
          </w:p>
        </w:tc>
        <w:tc>
          <w:tcPr>
            <w:tcW w:w="652" w:type="dxa"/>
            <w:gridSpan w:val="2"/>
            <w:vMerge w:val="restart"/>
            <w:tcBorders>
              <w:top w:val="single" w:color="auto" w:sz="2" w:space="0"/>
              <w:left w:val="single" w:color="auto" w:sz="2" w:space="0"/>
              <w:bottom w:val="single" w:color="auto" w:sz="2" w:space="0"/>
              <w:right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集中大型商业建筑</w:t>
            </w:r>
          </w:p>
        </w:tc>
        <w:tc>
          <w:tcPr>
            <w:tcW w:w="1514" w:type="dxa"/>
            <w:vMerge w:val="restart"/>
            <w:tcBorders>
              <w:top w:val="single" w:color="auto" w:sz="2" w:space="0"/>
              <w:left w:val="single" w:color="auto" w:sz="2" w:space="0"/>
              <w:bottom w:val="single" w:color="auto" w:sz="2" w:space="0"/>
              <w:right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单层商业建筑</w:t>
            </w:r>
          </w:p>
          <w:p>
            <w:pPr>
              <w:topLinePunct/>
              <w:jc w:val="center"/>
              <w:rPr>
                <w:rFonts w:ascii="仿宋" w:hAnsi="仿宋" w:eastAsia="仿宋"/>
                <w:snapToGrid w:val="0"/>
                <w:kern w:val="0"/>
              </w:rPr>
            </w:pPr>
            <w:r>
              <w:rPr>
                <w:rFonts w:hint="eastAsia" w:ascii="仿宋" w:hAnsi="仿宋" w:eastAsia="仿宋"/>
                <w:snapToGrid w:val="0"/>
                <w:kern w:val="0"/>
              </w:rPr>
              <w:t>面积≤</w:t>
            </w:r>
            <w:r>
              <w:rPr>
                <w:rFonts w:ascii="仿宋" w:hAnsi="仿宋" w:eastAsia="仿宋"/>
                <w:snapToGrid w:val="0"/>
                <w:kern w:val="0"/>
              </w:rPr>
              <w:t>8000㎡</w:t>
            </w: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6.6m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snapToGrid w:val="0"/>
                <w:kern w:val="0"/>
              </w:rPr>
            </w:pPr>
          </w:p>
        </w:tc>
        <w:tc>
          <w:tcPr>
            <w:tcW w:w="891" w:type="dxa"/>
            <w:vMerge w:val="continue"/>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652" w:type="dxa"/>
            <w:gridSpan w:val="2"/>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1514" w:type="dxa"/>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snapToGrid w:val="0"/>
                <w:kern w:val="0"/>
              </w:rPr>
            </w:pPr>
          </w:p>
        </w:tc>
        <w:tc>
          <w:tcPr>
            <w:tcW w:w="891" w:type="dxa"/>
            <w:vMerge w:val="continue"/>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652" w:type="dxa"/>
            <w:gridSpan w:val="2"/>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1514" w:type="dxa"/>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snapToGrid w:val="0"/>
                <w:kern w:val="0"/>
              </w:rPr>
            </w:pPr>
          </w:p>
        </w:tc>
        <w:tc>
          <w:tcPr>
            <w:tcW w:w="891" w:type="dxa"/>
            <w:vMerge w:val="continue"/>
            <w:tcBorders>
              <w:top w:val="single" w:color="auto" w:sz="2" w:space="0"/>
              <w:left w:val="single" w:color="auto" w:sz="4"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652" w:type="dxa"/>
            <w:gridSpan w:val="2"/>
            <w:vMerge w:val="continue"/>
            <w:tcBorders>
              <w:top w:val="single" w:color="auto" w:sz="2" w:space="0"/>
              <w:left w:val="single" w:color="auto" w:sz="2" w:space="0"/>
              <w:bottom w:val="single" w:color="auto" w:sz="2" w:space="0"/>
              <w:right w:val="single" w:color="auto" w:sz="2" w:space="0"/>
            </w:tcBorders>
            <w:vAlign w:val="center"/>
          </w:tcPr>
          <w:p>
            <w:pPr>
              <w:topLinePunct/>
              <w:jc w:val="left"/>
              <w:rPr>
                <w:rFonts w:ascii="仿宋" w:hAnsi="仿宋" w:eastAsia="仿宋"/>
                <w:snapToGrid w:val="0"/>
                <w:kern w:val="0"/>
              </w:rPr>
            </w:pPr>
          </w:p>
        </w:tc>
        <w:tc>
          <w:tcPr>
            <w:tcW w:w="1514" w:type="dxa"/>
            <w:vMerge w:val="restart"/>
            <w:tcBorders>
              <w:top w:val="single" w:color="auto" w:sz="2" w:space="0"/>
              <w:left w:val="single" w:color="auto" w:sz="2" w:space="0"/>
              <w:bottom w:val="single" w:color="auto" w:sz="2" w:space="0"/>
              <w:right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单层商业建筑</w:t>
            </w:r>
          </w:p>
          <w:p>
            <w:pPr>
              <w:topLinePunct/>
              <w:jc w:val="center"/>
              <w:rPr>
                <w:rFonts w:ascii="仿宋" w:hAnsi="仿宋" w:eastAsia="仿宋"/>
                <w:snapToGrid w:val="0"/>
                <w:kern w:val="0"/>
              </w:rPr>
            </w:pPr>
            <w:r>
              <w:rPr>
                <w:rFonts w:hint="eastAsia" w:ascii="仿宋" w:hAnsi="仿宋" w:eastAsia="仿宋"/>
                <w:snapToGrid w:val="0"/>
                <w:kern w:val="0"/>
              </w:rPr>
              <w:t>面积＞</w:t>
            </w:r>
            <w:r>
              <w:rPr>
                <w:rFonts w:ascii="仿宋" w:hAnsi="仿宋" w:eastAsia="仿宋"/>
                <w:snapToGrid w:val="0"/>
                <w:kern w:val="0"/>
              </w:rPr>
              <w:t>8000㎡</w:t>
            </w:r>
          </w:p>
        </w:tc>
        <w:tc>
          <w:tcPr>
            <w:tcW w:w="2073" w:type="dxa"/>
            <w:tcBorders>
              <w:top w:val="single" w:color="auto" w:sz="2" w:space="0"/>
              <w:left w:val="single" w:color="auto" w:sz="2" w:space="0"/>
              <w:bottom w:val="single" w:color="auto" w:sz="2"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首层至六层</w:t>
            </w:r>
          </w:p>
        </w:tc>
        <w:tc>
          <w:tcPr>
            <w:tcW w:w="2020" w:type="dxa"/>
            <w:tcBorders>
              <w:top w:val="single" w:color="auto" w:sz="2" w:space="0"/>
              <w:left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6.6m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snapToGrid w:val="0"/>
                <w:kern w:val="0"/>
              </w:rPr>
            </w:pPr>
          </w:p>
        </w:tc>
        <w:tc>
          <w:tcPr>
            <w:tcW w:w="891" w:type="dxa"/>
            <w:vMerge w:val="continue"/>
            <w:tcBorders>
              <w:top w:val="single" w:color="auto" w:sz="2" w:space="0"/>
              <w:left w:val="single" w:color="auto" w:sz="4" w:space="0"/>
              <w:bottom w:val="single" w:color="auto" w:sz="4" w:space="0"/>
              <w:right w:val="single" w:color="auto" w:sz="2" w:space="0"/>
            </w:tcBorders>
            <w:vAlign w:val="center"/>
          </w:tcPr>
          <w:p>
            <w:pPr>
              <w:topLinePunct/>
              <w:jc w:val="left"/>
              <w:rPr>
                <w:rFonts w:ascii="仿宋" w:hAnsi="仿宋" w:eastAsia="仿宋"/>
                <w:snapToGrid w:val="0"/>
                <w:kern w:val="0"/>
              </w:rPr>
            </w:pPr>
          </w:p>
        </w:tc>
        <w:tc>
          <w:tcPr>
            <w:tcW w:w="652" w:type="dxa"/>
            <w:gridSpan w:val="2"/>
            <w:vMerge w:val="continue"/>
            <w:tcBorders>
              <w:top w:val="single" w:color="auto" w:sz="2" w:space="0"/>
              <w:left w:val="single" w:color="auto" w:sz="2" w:space="0"/>
              <w:bottom w:val="single" w:color="auto" w:sz="4" w:space="0"/>
              <w:right w:val="single" w:color="auto" w:sz="2" w:space="0"/>
            </w:tcBorders>
            <w:vAlign w:val="center"/>
          </w:tcPr>
          <w:p>
            <w:pPr>
              <w:topLinePunct/>
              <w:jc w:val="left"/>
              <w:rPr>
                <w:rFonts w:ascii="仿宋" w:hAnsi="仿宋" w:eastAsia="仿宋"/>
                <w:snapToGrid w:val="0"/>
                <w:kern w:val="0"/>
              </w:rPr>
            </w:pPr>
          </w:p>
        </w:tc>
        <w:tc>
          <w:tcPr>
            <w:tcW w:w="1514" w:type="dxa"/>
            <w:vMerge w:val="continue"/>
            <w:tcBorders>
              <w:top w:val="single" w:color="auto" w:sz="2" w:space="0"/>
              <w:left w:val="single" w:color="auto" w:sz="2" w:space="0"/>
              <w:bottom w:val="single" w:color="auto" w:sz="4" w:space="0"/>
              <w:right w:val="single" w:color="auto" w:sz="2"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left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5.4</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center"/>
              <w:rPr>
                <w:rFonts w:ascii="仿宋" w:hAnsi="仿宋" w:eastAsia="仿宋"/>
                <w:snapToGrid w:val="0"/>
                <w:kern w:val="0"/>
              </w:rPr>
            </w:pPr>
          </w:p>
        </w:tc>
        <w:tc>
          <w:tcPr>
            <w:tcW w:w="464" w:type="dxa"/>
            <w:vMerge w:val="continue"/>
            <w:tcBorders>
              <w:left w:val="single" w:color="auto" w:sz="4" w:space="0"/>
              <w:right w:val="single" w:color="auto" w:sz="2" w:space="0"/>
            </w:tcBorders>
            <w:vAlign w:val="center"/>
          </w:tcPr>
          <w:p>
            <w:pPr>
              <w:topLinePunct/>
              <w:jc w:val="left"/>
              <w:rPr>
                <w:rFonts w:ascii="仿宋" w:hAnsi="仿宋" w:eastAsia="仿宋"/>
                <w:snapToGrid w:val="0"/>
                <w:kern w:val="0"/>
              </w:rPr>
            </w:pPr>
          </w:p>
        </w:tc>
        <w:tc>
          <w:tcPr>
            <w:tcW w:w="3057" w:type="dxa"/>
            <w:gridSpan w:val="4"/>
            <w:tcBorders>
              <w:top w:val="single" w:color="auto" w:sz="2" w:space="0"/>
              <w:left w:val="single" w:color="auto" w:sz="4" w:space="0"/>
              <w:right w:val="single" w:color="auto" w:sz="2" w:space="0"/>
            </w:tcBorders>
            <w:vAlign w:val="center"/>
          </w:tcPr>
          <w:p>
            <w:pPr>
              <w:topLinePunct/>
              <w:jc w:val="left"/>
              <w:rPr>
                <w:rFonts w:ascii="仿宋" w:hAnsi="仿宋" w:eastAsia="仿宋"/>
                <w:snapToGrid w:val="0"/>
                <w:color w:val="FF0000"/>
                <w:kern w:val="0"/>
              </w:rPr>
            </w:pPr>
            <w:r>
              <w:rPr>
                <w:rFonts w:hint="eastAsia" w:ascii="仿宋" w:hAnsi="仿宋" w:eastAsia="仿宋"/>
                <w:snapToGrid w:val="0"/>
                <w:kern w:val="0"/>
              </w:rPr>
              <w:t>半地下及地下商业建筑</w:t>
            </w: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color w:val="FF0000"/>
                <w:kern w:val="0"/>
              </w:rPr>
            </w:pPr>
          </w:p>
        </w:tc>
        <w:tc>
          <w:tcPr>
            <w:tcW w:w="2020" w:type="dxa"/>
            <w:tcBorders>
              <w:top w:val="single" w:color="auto" w:sz="2" w:space="0"/>
              <w:left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6.6m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restart"/>
            <w:tcBorders>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通用型标准厂房</w:t>
            </w:r>
          </w:p>
        </w:tc>
        <w:tc>
          <w:tcPr>
            <w:tcW w:w="3521" w:type="dxa"/>
            <w:gridSpan w:val="5"/>
            <w:tcBorders>
              <w:top w:val="single" w:color="auto" w:sz="2" w:space="0"/>
              <w:left w:val="single" w:color="auto" w:sz="4"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单层厂房</w:t>
            </w: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8.0m</w:t>
            </w:r>
          </w:p>
        </w:tc>
        <w:tc>
          <w:tcPr>
            <w:tcW w:w="851" w:type="dxa"/>
            <w:vAlign w:val="center"/>
          </w:tcPr>
          <w:p>
            <w:pPr>
              <w:topLinePunct/>
              <w:rPr>
                <w:rFonts w:ascii="仿宋" w:hAnsi="仿宋" w:eastAsia="仿宋"/>
                <w:snapToGrid w:val="0"/>
                <w:kern w:val="0"/>
              </w:rPr>
            </w:pPr>
            <w:r>
              <w:rPr>
                <w:rFonts w:hint="eastAsia" w:ascii="仿宋" w:hAnsi="仿宋" w:eastAsia="仿宋"/>
                <w:snapToGrid w:val="0"/>
                <w:kern w:val="0"/>
              </w:rPr>
              <w:t>8.0m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hint="eastAsia" w:ascii="仿宋" w:hAnsi="仿宋" w:eastAsia="仿宋"/>
                <w:snapToGrid w:val="0"/>
                <w:kern w:val="0"/>
              </w:rPr>
            </w:pPr>
          </w:p>
        </w:tc>
        <w:tc>
          <w:tcPr>
            <w:tcW w:w="3521" w:type="dxa"/>
            <w:gridSpan w:val="5"/>
            <w:vMerge w:val="restart"/>
            <w:tcBorders>
              <w:top w:val="single" w:color="auto" w:sz="2" w:space="0"/>
              <w:left w:val="single" w:color="auto" w:sz="4" w:space="0"/>
              <w:right w:val="single" w:color="auto" w:sz="2" w:space="0"/>
            </w:tcBorders>
            <w:vAlign w:val="center"/>
          </w:tcPr>
          <w:p>
            <w:pPr>
              <w:topLinePunct/>
              <w:rPr>
                <w:rFonts w:hint="eastAsia" w:ascii="仿宋" w:hAnsi="仿宋" w:eastAsia="仿宋"/>
                <w:snapToGrid w:val="0"/>
                <w:kern w:val="0"/>
              </w:rPr>
            </w:pPr>
            <w:r>
              <w:rPr>
                <w:rFonts w:hint="eastAsia" w:ascii="仿宋" w:hAnsi="仿宋" w:eastAsia="仿宋"/>
                <w:snapToGrid w:val="0"/>
                <w:kern w:val="0"/>
              </w:rPr>
              <w:t>特殊非单层厂房</w:t>
            </w: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8.0m</w:t>
            </w:r>
          </w:p>
        </w:tc>
        <w:tc>
          <w:tcPr>
            <w:tcW w:w="851" w:type="dxa"/>
            <w:vAlign w:val="center"/>
          </w:tcPr>
          <w:p>
            <w:pPr>
              <w:topLinePunct/>
              <w:rPr>
                <w:rFonts w:ascii="仿宋" w:hAnsi="仿宋" w:eastAsia="仿宋"/>
                <w:snapToGrid w:val="0"/>
                <w:kern w:val="0"/>
              </w:rPr>
            </w:pPr>
            <w:r>
              <w:rPr>
                <w:rFonts w:hint="eastAsia" w:ascii="仿宋" w:hAnsi="仿宋" w:eastAsia="仿宋"/>
                <w:snapToGrid w:val="0"/>
                <w:kern w:val="0"/>
              </w:rPr>
              <w:t>8.0m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hint="eastAsia" w:ascii="仿宋" w:hAnsi="仿宋" w:eastAsia="仿宋"/>
                <w:snapToGrid w:val="0"/>
                <w:kern w:val="0"/>
              </w:rPr>
            </w:pPr>
          </w:p>
        </w:tc>
        <w:tc>
          <w:tcPr>
            <w:tcW w:w="3521" w:type="dxa"/>
            <w:gridSpan w:val="5"/>
            <w:vMerge w:val="continue"/>
            <w:tcBorders>
              <w:left w:val="single" w:color="auto" w:sz="4" w:space="0"/>
              <w:right w:val="single" w:color="auto" w:sz="2" w:space="0"/>
            </w:tcBorders>
            <w:vAlign w:val="center"/>
          </w:tcPr>
          <w:p>
            <w:pPr>
              <w:topLinePunct/>
              <w:rPr>
                <w:rFonts w:hint="eastAsia" w:ascii="仿宋" w:hAnsi="仿宋" w:eastAsia="仿宋"/>
                <w:snapToGrid w:val="0"/>
                <w:kern w:val="0"/>
              </w:rPr>
            </w:pP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6.0m</w:t>
            </w:r>
          </w:p>
        </w:tc>
        <w:tc>
          <w:tcPr>
            <w:tcW w:w="851" w:type="dxa"/>
            <w:vAlign w:val="center"/>
          </w:tcPr>
          <w:p>
            <w:pPr>
              <w:topLinePunct/>
              <w:rPr>
                <w:rFonts w:ascii="仿宋" w:hAnsi="仿宋" w:eastAsia="仿宋"/>
                <w:snapToGrid w:val="0"/>
                <w:kern w:val="0"/>
              </w:rPr>
            </w:pPr>
            <w:r>
              <w:rPr>
                <w:rFonts w:hint="eastAsia" w:ascii="仿宋" w:hAnsi="仿宋" w:eastAsia="仿宋"/>
                <w:snapToGrid w:val="0"/>
                <w:kern w:val="0"/>
              </w:rPr>
              <w:t>6.0m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hint="eastAsia" w:ascii="仿宋" w:hAnsi="仿宋" w:eastAsia="仿宋"/>
                <w:snapToGrid w:val="0"/>
                <w:kern w:val="0"/>
              </w:rPr>
            </w:pPr>
          </w:p>
        </w:tc>
        <w:tc>
          <w:tcPr>
            <w:tcW w:w="3521" w:type="dxa"/>
            <w:gridSpan w:val="5"/>
            <w:vMerge w:val="continue"/>
            <w:tcBorders>
              <w:left w:val="single" w:color="auto" w:sz="4" w:space="0"/>
              <w:bottom w:val="single" w:color="auto" w:sz="4" w:space="0"/>
              <w:right w:val="single" w:color="auto" w:sz="2" w:space="0"/>
            </w:tcBorders>
            <w:vAlign w:val="center"/>
          </w:tcPr>
          <w:p>
            <w:pPr>
              <w:topLinePunct/>
              <w:rPr>
                <w:rFonts w:hint="eastAsia" w:ascii="仿宋" w:hAnsi="仿宋" w:eastAsia="仿宋"/>
                <w:snapToGrid w:val="0"/>
                <w:kern w:val="0"/>
              </w:rPr>
            </w:pP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5.4m</w:t>
            </w:r>
          </w:p>
        </w:tc>
        <w:tc>
          <w:tcPr>
            <w:tcW w:w="851" w:type="dxa"/>
            <w:vAlign w:val="center"/>
          </w:tcPr>
          <w:p>
            <w:pPr>
              <w:topLinePunct/>
              <w:rPr>
                <w:rFonts w:ascii="仿宋" w:hAnsi="仿宋" w:eastAsia="仿宋"/>
                <w:snapToGrid w:val="0"/>
                <w:kern w:val="0"/>
              </w:rPr>
            </w:pPr>
            <w:r>
              <w:rPr>
                <w:rFonts w:hint="eastAsia" w:ascii="仿宋" w:hAnsi="仿宋" w:eastAsia="仿宋"/>
                <w:snapToGrid w:val="0"/>
                <w:kern w:val="0"/>
              </w:rPr>
              <w:t>5.4m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ascii="仿宋" w:hAnsi="仿宋" w:eastAsia="仿宋"/>
                <w:snapToGrid w:val="0"/>
                <w:kern w:val="0"/>
              </w:rPr>
            </w:pPr>
          </w:p>
        </w:tc>
        <w:tc>
          <w:tcPr>
            <w:tcW w:w="3521" w:type="dxa"/>
            <w:gridSpan w:val="5"/>
            <w:vMerge w:val="restart"/>
            <w:tcBorders>
              <w:top w:val="single" w:color="auto" w:sz="2" w:space="0"/>
              <w:left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除上述情形外的非单层厂房</w:t>
            </w: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6.0m</w:t>
            </w:r>
          </w:p>
        </w:tc>
        <w:tc>
          <w:tcPr>
            <w:tcW w:w="851" w:type="dxa"/>
            <w:vMerge w:val="restart"/>
            <w:vAlign w:val="center"/>
          </w:tcPr>
          <w:p>
            <w:pPr>
              <w:topLinePunct/>
              <w:rPr>
                <w:rFonts w:ascii="仿宋" w:hAnsi="仿宋" w:eastAsia="仿宋"/>
                <w:snapToGrid w:val="0"/>
                <w:kern w:val="0"/>
              </w:rPr>
            </w:pPr>
            <w:r>
              <w:rPr>
                <w:rFonts w:hint="eastAsia"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ascii="仿宋" w:hAnsi="仿宋" w:eastAsia="仿宋"/>
                <w:snapToGrid w:val="0"/>
                <w:kern w:val="0"/>
              </w:rPr>
            </w:pPr>
          </w:p>
        </w:tc>
        <w:tc>
          <w:tcPr>
            <w:tcW w:w="3521" w:type="dxa"/>
            <w:gridSpan w:val="5"/>
            <w:vMerge w:val="continue"/>
            <w:tcBorders>
              <w:left w:val="single" w:color="auto" w:sz="4" w:space="0"/>
              <w:right w:val="single" w:color="auto" w:sz="2" w:space="0"/>
            </w:tcBorders>
            <w:vAlign w:val="center"/>
          </w:tcPr>
          <w:p>
            <w:pPr>
              <w:topLinePunct/>
              <w:rPr>
                <w:rFonts w:ascii="仿宋" w:hAnsi="仿宋" w:eastAsia="仿宋"/>
                <w:snapToGrid w:val="0"/>
                <w:kern w:val="0"/>
              </w:rPr>
            </w:pP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5.4m</w:t>
            </w:r>
          </w:p>
        </w:tc>
        <w:tc>
          <w:tcPr>
            <w:tcW w:w="851" w:type="dxa"/>
            <w:vMerge w:val="continue"/>
            <w:vAlign w:val="center"/>
          </w:tcPr>
          <w:p>
            <w:pPr>
              <w:topLinePunct/>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ascii="仿宋" w:hAnsi="仿宋" w:eastAsia="仿宋"/>
                <w:snapToGrid w:val="0"/>
                <w:kern w:val="0"/>
              </w:rPr>
            </w:pPr>
          </w:p>
        </w:tc>
        <w:tc>
          <w:tcPr>
            <w:tcW w:w="3521" w:type="dxa"/>
            <w:gridSpan w:val="5"/>
            <w:vMerge w:val="continue"/>
            <w:tcBorders>
              <w:left w:val="single" w:color="auto" w:sz="4" w:space="0"/>
              <w:bottom w:val="single" w:color="auto" w:sz="4" w:space="0"/>
              <w:right w:val="single" w:color="auto" w:sz="2" w:space="0"/>
            </w:tcBorders>
            <w:vAlign w:val="center"/>
          </w:tcPr>
          <w:p>
            <w:pPr>
              <w:topLinePunct/>
              <w:rPr>
                <w:rFonts w:ascii="仿宋" w:hAnsi="仿宋" w:eastAsia="仿宋"/>
                <w:snapToGrid w:val="0"/>
                <w:kern w:val="0"/>
              </w:rPr>
            </w:pPr>
          </w:p>
        </w:tc>
        <w:tc>
          <w:tcPr>
            <w:tcW w:w="2073" w:type="dxa"/>
            <w:tcBorders>
              <w:top w:val="single" w:color="auto" w:sz="2" w:space="0"/>
              <w:left w:val="single" w:color="auto" w:sz="2" w:space="0"/>
              <w:bottom w:val="single" w:color="auto" w:sz="4" w:space="0"/>
              <w:right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left w:val="single" w:color="auto" w:sz="2"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4.5m</w:t>
            </w:r>
          </w:p>
        </w:tc>
        <w:tc>
          <w:tcPr>
            <w:tcW w:w="851" w:type="dxa"/>
            <w:vMerge w:val="continue"/>
            <w:vAlign w:val="center"/>
          </w:tcPr>
          <w:p>
            <w:pPr>
              <w:topLinePunct/>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bottom w:val="single" w:color="auto" w:sz="2" w:space="0"/>
              <w:right w:val="single" w:color="auto" w:sz="4" w:space="0"/>
            </w:tcBorders>
            <w:vAlign w:val="center"/>
          </w:tcPr>
          <w:p>
            <w:pPr>
              <w:topLinePunct/>
              <w:rPr>
                <w:rFonts w:ascii="仿宋" w:hAnsi="仿宋" w:eastAsia="仿宋"/>
                <w:snapToGrid w:val="0"/>
                <w:kern w:val="0"/>
              </w:rPr>
            </w:pPr>
          </w:p>
        </w:tc>
        <w:tc>
          <w:tcPr>
            <w:tcW w:w="3521" w:type="dxa"/>
            <w:gridSpan w:val="5"/>
            <w:tcBorders>
              <w:top w:val="single" w:color="auto" w:sz="4" w:space="0"/>
              <w:bottom w:val="single" w:color="auto" w:sz="2"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厂房首层架空停车</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color w:val="FF0000"/>
                <w:kern w:val="0"/>
              </w:rPr>
            </w:pPr>
            <w:r>
              <w:rPr>
                <w:rFonts w:hint="eastAsia" w:ascii="仿宋" w:hAnsi="仿宋" w:eastAsia="仿宋"/>
                <w:snapToGrid w:val="0"/>
                <w:kern w:val="0"/>
              </w:rPr>
              <w:t>首层</w:t>
            </w:r>
          </w:p>
        </w:tc>
        <w:tc>
          <w:tcPr>
            <w:tcW w:w="2020" w:type="dxa"/>
            <w:tcBorders>
              <w:top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6.0m</w:t>
            </w:r>
          </w:p>
        </w:tc>
        <w:tc>
          <w:tcPr>
            <w:tcW w:w="851" w:type="dxa"/>
            <w:tcBorders>
              <w:top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restart"/>
            <w:tcBorders>
              <w:top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新型产业建筑</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6.0m</w:t>
            </w: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958" w:type="dxa"/>
            <w:gridSpan w:val="6"/>
            <w:vMerge w:val="continue"/>
            <w:tcBorders>
              <w:top w:val="single" w:color="auto" w:sz="2"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二层及以上</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tcBorders>
              <w:top w:val="single" w:color="auto" w:sz="2" w:space="0"/>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restart"/>
            <w:tcBorders>
              <w:top w:val="single" w:color="auto" w:sz="2" w:space="0"/>
              <w:right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仓库</w:t>
            </w:r>
          </w:p>
        </w:tc>
        <w:tc>
          <w:tcPr>
            <w:tcW w:w="3521" w:type="dxa"/>
            <w:gridSpan w:val="5"/>
            <w:tcBorders>
              <w:top w:val="single" w:color="auto" w:sz="2"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单层仓库、盘道式非单层保税仓库</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8.0m</w:t>
            </w:r>
          </w:p>
        </w:tc>
        <w:tc>
          <w:tcPr>
            <w:tcW w:w="851"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8.0m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3521" w:type="dxa"/>
            <w:gridSpan w:val="5"/>
            <w:vMerge w:val="restart"/>
            <w:tcBorders>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除上述情形外的非单层仓库</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8</w:t>
            </w:r>
            <w:r>
              <w:rPr>
                <w:rFonts w:ascii="仿宋" w:hAnsi="仿宋" w:eastAsia="仿宋"/>
                <w:snapToGrid w:val="0"/>
                <w:kern w:val="0"/>
              </w:rPr>
              <w:t>.0m</w:t>
            </w:r>
          </w:p>
        </w:tc>
        <w:tc>
          <w:tcPr>
            <w:tcW w:w="851" w:type="dxa"/>
            <w:vMerge w:val="restart"/>
            <w:tcBorders>
              <w:top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3521" w:type="dxa"/>
            <w:gridSpan w:val="5"/>
            <w:vMerge w:val="continue"/>
            <w:tcBorders>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6.0</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3521" w:type="dxa"/>
            <w:gridSpan w:val="5"/>
            <w:vMerge w:val="continue"/>
            <w:tcBorders>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tcBorders>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38"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3521" w:type="dxa"/>
            <w:gridSpan w:val="5"/>
            <w:tcBorders>
              <w:top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仓库首层架空停车</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color w:val="FF0000"/>
                <w:kern w:val="0"/>
              </w:rPr>
            </w:pPr>
            <w:r>
              <w:rPr>
                <w:rFonts w:hint="eastAsia" w:ascii="仿宋" w:hAnsi="仿宋" w:eastAsia="仿宋"/>
                <w:snapToGrid w:val="0"/>
                <w:kern w:val="0"/>
              </w:rPr>
              <w:t>首层</w:t>
            </w: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8.0m</w:t>
            </w:r>
          </w:p>
        </w:tc>
        <w:tc>
          <w:tcPr>
            <w:tcW w:w="851" w:type="dxa"/>
            <w:tcBorders>
              <w:top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38"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3521" w:type="dxa"/>
            <w:gridSpan w:val="5"/>
            <w:tcBorders>
              <w:top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半地下及地下仓库</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color w:val="FF0000"/>
                <w:kern w:val="0"/>
              </w:rPr>
            </w:pP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6.6m</w:t>
            </w:r>
          </w:p>
        </w:tc>
        <w:tc>
          <w:tcPr>
            <w:tcW w:w="851" w:type="dxa"/>
            <w:tcBorders>
              <w:top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restart"/>
            <w:tcBorders>
              <w:top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物流建筑</w:t>
            </w:r>
          </w:p>
        </w:tc>
        <w:tc>
          <w:tcPr>
            <w:tcW w:w="3521" w:type="dxa"/>
            <w:gridSpan w:val="5"/>
            <w:tcBorders>
              <w:top w:val="single" w:color="auto" w:sz="2" w:space="0"/>
              <w:bottom w:val="single" w:color="auto" w:sz="2" w:space="0"/>
              <w:right w:val="single" w:color="auto" w:sz="4" w:space="0"/>
            </w:tcBorders>
            <w:vAlign w:val="center"/>
          </w:tcPr>
          <w:p>
            <w:pPr>
              <w:topLinePunct/>
              <w:jc w:val="left"/>
              <w:rPr>
                <w:rFonts w:ascii="仿宋" w:hAnsi="仿宋" w:eastAsia="仿宋"/>
                <w:snapToGrid w:val="0"/>
                <w:kern w:val="0"/>
              </w:rPr>
            </w:pPr>
            <w:r>
              <w:rPr>
                <w:rFonts w:hint="eastAsia" w:ascii="仿宋" w:hAnsi="仿宋" w:eastAsia="仿宋"/>
                <w:snapToGrid w:val="0"/>
                <w:kern w:val="0"/>
              </w:rPr>
              <w:t>盘道式保税物流建筑</w:t>
            </w:r>
          </w:p>
        </w:tc>
        <w:tc>
          <w:tcPr>
            <w:tcW w:w="2073" w:type="dxa"/>
            <w:tcBorders>
              <w:top w:val="single" w:color="auto" w:sz="2" w:space="0"/>
              <w:left w:val="single" w:color="auto" w:sz="4" w:space="0"/>
              <w:bottom w:val="single" w:color="auto" w:sz="4" w:space="0"/>
            </w:tcBorders>
            <w:vAlign w:val="center"/>
          </w:tcPr>
          <w:p>
            <w:pPr>
              <w:topLinePunct/>
              <w:rPr>
                <w:rFonts w:ascii="仿宋" w:hAnsi="仿宋" w:eastAsia="仿宋"/>
                <w:snapToGrid w:val="0"/>
                <w:kern w:val="0"/>
              </w:rPr>
            </w:pPr>
          </w:p>
        </w:tc>
        <w:tc>
          <w:tcPr>
            <w:tcW w:w="2020"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8.0m</w:t>
            </w:r>
          </w:p>
        </w:tc>
        <w:tc>
          <w:tcPr>
            <w:tcW w:w="851" w:type="dxa"/>
            <w:tcBorders>
              <w:top w:val="single" w:color="auto" w:sz="2" w:space="0"/>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8.0m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restart"/>
            <w:tcBorders>
              <w:top w:val="single" w:color="auto" w:sz="4" w:space="0"/>
              <w:left w:val="single" w:color="auto" w:sz="4"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除上述情形外的物流建筑</w:t>
            </w:r>
          </w:p>
        </w:tc>
        <w:tc>
          <w:tcPr>
            <w:tcW w:w="2166" w:type="dxa"/>
            <w:gridSpan w:val="3"/>
            <w:vMerge w:val="restart"/>
            <w:tcBorders>
              <w:top w:val="single" w:color="auto" w:sz="4" w:space="0"/>
              <w:left w:val="single" w:color="auto" w:sz="4"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普通物流建筑</w:t>
            </w:r>
          </w:p>
        </w:tc>
        <w:tc>
          <w:tcPr>
            <w:tcW w:w="2073" w:type="dxa"/>
            <w:tcBorders>
              <w:top w:val="single" w:color="auto" w:sz="4"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6.6m</w:t>
            </w:r>
          </w:p>
        </w:tc>
        <w:tc>
          <w:tcPr>
            <w:tcW w:w="851" w:type="dxa"/>
            <w:vMerge w:val="restart"/>
            <w:tcBorders>
              <w:top w:val="single" w:color="auto" w:sz="4"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2166" w:type="dxa"/>
            <w:gridSpan w:val="3"/>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2073" w:type="dxa"/>
            <w:tcBorders>
              <w:top w:val="single" w:color="auto" w:sz="2" w:space="0"/>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tcBorders>
              <w:top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tcBorders>
              <w:top w:val="single" w:color="auto" w:sz="2"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2166" w:type="dxa"/>
            <w:gridSpan w:val="3"/>
            <w:vMerge w:val="continue"/>
            <w:tcBorders>
              <w:left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center"/>
              <w:rPr>
                <w:rFonts w:ascii="仿宋" w:hAnsi="仿宋" w:eastAsia="仿宋"/>
                <w:snapToGrid w:val="0"/>
                <w:kern w:val="0"/>
              </w:rPr>
            </w:pPr>
          </w:p>
        </w:tc>
        <w:tc>
          <w:tcPr>
            <w:tcW w:w="652" w:type="dxa"/>
            <w:gridSpan w:val="2"/>
            <w:vMerge w:val="restart"/>
            <w:tcBorders>
              <w:left w:val="single" w:color="auto" w:sz="4" w:space="0"/>
              <w:bottom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集中大型</w:t>
            </w:r>
          </w:p>
          <w:p>
            <w:pPr>
              <w:topLinePunct/>
              <w:jc w:val="center"/>
              <w:rPr>
                <w:rFonts w:ascii="仿宋" w:hAnsi="仿宋" w:eastAsia="仿宋"/>
                <w:snapToGrid w:val="0"/>
                <w:kern w:val="0"/>
              </w:rPr>
            </w:pPr>
            <w:r>
              <w:rPr>
                <w:rFonts w:hint="eastAsia" w:ascii="仿宋" w:hAnsi="仿宋" w:eastAsia="仿宋"/>
                <w:snapToGrid w:val="0"/>
                <w:kern w:val="0"/>
              </w:rPr>
              <w:t>物流建筑</w:t>
            </w:r>
          </w:p>
        </w:tc>
        <w:tc>
          <w:tcPr>
            <w:tcW w:w="1514" w:type="dxa"/>
            <w:vMerge w:val="restart"/>
            <w:tcBorders>
              <w:bottom w:val="single" w:color="auto" w:sz="2" w:space="0"/>
              <w:right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单层物流建筑面积≤</w:t>
            </w:r>
            <w:r>
              <w:rPr>
                <w:rFonts w:ascii="仿宋" w:hAnsi="仿宋" w:eastAsia="仿宋"/>
                <w:snapToGrid w:val="0"/>
                <w:kern w:val="0"/>
              </w:rPr>
              <w:t>8000㎡</w:t>
            </w:r>
          </w:p>
        </w:tc>
        <w:tc>
          <w:tcPr>
            <w:tcW w:w="2073" w:type="dxa"/>
            <w:tcBorders>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首层</w:t>
            </w:r>
          </w:p>
        </w:tc>
        <w:tc>
          <w:tcPr>
            <w:tcW w:w="2020" w:type="dxa"/>
            <w:vAlign w:val="center"/>
          </w:tcPr>
          <w:p>
            <w:pPr>
              <w:topLinePunct/>
              <w:jc w:val="center"/>
              <w:rPr>
                <w:rFonts w:ascii="仿宋" w:hAnsi="仿宋" w:eastAsia="仿宋"/>
                <w:snapToGrid w:val="0"/>
                <w:kern w:val="0"/>
              </w:rPr>
            </w:pPr>
            <w:r>
              <w:rPr>
                <w:rFonts w:ascii="仿宋" w:hAnsi="仿宋" w:eastAsia="仿宋"/>
                <w:snapToGrid w:val="0"/>
                <w:kern w:val="0"/>
              </w:rPr>
              <w:t>6.6m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652" w:type="dxa"/>
            <w:gridSpan w:val="2"/>
            <w:vMerge w:val="continue"/>
            <w:tcBorders>
              <w:left w:val="single" w:color="auto" w:sz="4" w:space="0"/>
              <w:bottom w:val="single" w:color="auto" w:sz="2" w:space="0"/>
            </w:tcBorders>
            <w:vAlign w:val="center"/>
          </w:tcPr>
          <w:p>
            <w:pPr>
              <w:topLinePunct/>
              <w:jc w:val="left"/>
              <w:rPr>
                <w:rFonts w:ascii="仿宋" w:hAnsi="仿宋" w:eastAsia="仿宋"/>
                <w:snapToGrid w:val="0"/>
                <w:kern w:val="0"/>
              </w:rPr>
            </w:pPr>
          </w:p>
        </w:tc>
        <w:tc>
          <w:tcPr>
            <w:tcW w:w="1514" w:type="dxa"/>
            <w:vMerge w:val="continue"/>
            <w:tcBorders>
              <w:bottom w:val="single" w:color="auto" w:sz="2" w:space="0"/>
              <w:right w:val="single" w:color="auto" w:sz="4" w:space="0"/>
            </w:tcBorders>
            <w:vAlign w:val="center"/>
          </w:tcPr>
          <w:p>
            <w:pPr>
              <w:topLinePunct/>
              <w:jc w:val="center"/>
              <w:rPr>
                <w:rFonts w:ascii="仿宋" w:hAnsi="仿宋" w:eastAsia="仿宋"/>
                <w:snapToGrid w:val="0"/>
                <w:kern w:val="0"/>
              </w:rPr>
            </w:pPr>
          </w:p>
        </w:tc>
        <w:tc>
          <w:tcPr>
            <w:tcW w:w="2073" w:type="dxa"/>
            <w:tcBorders>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二至六层</w:t>
            </w:r>
          </w:p>
        </w:tc>
        <w:tc>
          <w:tcPr>
            <w:tcW w:w="2020" w:type="dxa"/>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652" w:type="dxa"/>
            <w:gridSpan w:val="2"/>
            <w:vMerge w:val="continue"/>
            <w:tcBorders>
              <w:left w:val="single" w:color="auto" w:sz="4" w:space="0"/>
              <w:bottom w:val="single" w:color="auto" w:sz="2" w:space="0"/>
            </w:tcBorders>
            <w:vAlign w:val="center"/>
          </w:tcPr>
          <w:p>
            <w:pPr>
              <w:topLinePunct/>
              <w:jc w:val="left"/>
              <w:rPr>
                <w:rFonts w:ascii="仿宋" w:hAnsi="仿宋" w:eastAsia="仿宋"/>
                <w:snapToGrid w:val="0"/>
                <w:kern w:val="0"/>
              </w:rPr>
            </w:pPr>
          </w:p>
        </w:tc>
        <w:tc>
          <w:tcPr>
            <w:tcW w:w="1514" w:type="dxa"/>
            <w:vMerge w:val="continue"/>
            <w:tcBorders>
              <w:bottom w:val="single" w:color="auto" w:sz="2" w:space="0"/>
              <w:right w:val="single" w:color="auto" w:sz="4" w:space="0"/>
            </w:tcBorders>
            <w:vAlign w:val="center"/>
          </w:tcPr>
          <w:p>
            <w:pPr>
              <w:topLinePunct/>
              <w:jc w:val="center"/>
              <w:rPr>
                <w:rFonts w:ascii="仿宋" w:hAnsi="仿宋" w:eastAsia="仿宋"/>
                <w:snapToGrid w:val="0"/>
                <w:kern w:val="0"/>
              </w:rPr>
            </w:pPr>
          </w:p>
        </w:tc>
        <w:tc>
          <w:tcPr>
            <w:tcW w:w="2073" w:type="dxa"/>
            <w:tcBorders>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vAlign w:val="center"/>
          </w:tcPr>
          <w:p>
            <w:pPr>
              <w:topLinePunct/>
              <w:jc w:val="center"/>
              <w:rPr>
                <w:rFonts w:ascii="仿宋" w:hAnsi="仿宋" w:eastAsia="仿宋"/>
                <w:snapToGrid w:val="0"/>
                <w:kern w:val="0"/>
              </w:rPr>
            </w:pPr>
            <w:r>
              <w:rPr>
                <w:rFonts w:ascii="仿宋" w:hAnsi="仿宋" w:eastAsia="仿宋"/>
                <w:snapToGrid w:val="0"/>
                <w:kern w:val="0"/>
              </w:rPr>
              <w:t>4.5m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right w:val="single" w:color="auto" w:sz="4" w:space="0"/>
            </w:tcBorders>
            <w:vAlign w:val="center"/>
          </w:tcPr>
          <w:p>
            <w:pPr>
              <w:topLinePunct/>
              <w:jc w:val="left"/>
              <w:rPr>
                <w:rFonts w:ascii="仿宋" w:hAnsi="仿宋" w:eastAsia="仿宋"/>
                <w:snapToGrid w:val="0"/>
                <w:kern w:val="0"/>
              </w:rPr>
            </w:pPr>
          </w:p>
        </w:tc>
        <w:tc>
          <w:tcPr>
            <w:tcW w:w="652" w:type="dxa"/>
            <w:gridSpan w:val="2"/>
            <w:vMerge w:val="continue"/>
            <w:tcBorders>
              <w:left w:val="single" w:color="auto" w:sz="4" w:space="0"/>
              <w:bottom w:val="single" w:color="auto" w:sz="2" w:space="0"/>
            </w:tcBorders>
            <w:vAlign w:val="center"/>
          </w:tcPr>
          <w:p>
            <w:pPr>
              <w:topLinePunct/>
              <w:jc w:val="left"/>
              <w:rPr>
                <w:rFonts w:ascii="仿宋" w:hAnsi="仿宋" w:eastAsia="仿宋"/>
                <w:snapToGrid w:val="0"/>
                <w:kern w:val="0"/>
              </w:rPr>
            </w:pPr>
          </w:p>
        </w:tc>
        <w:tc>
          <w:tcPr>
            <w:tcW w:w="1514" w:type="dxa"/>
            <w:vMerge w:val="restart"/>
            <w:tcBorders>
              <w:bottom w:val="single" w:color="auto" w:sz="2" w:space="0"/>
              <w:right w:val="single" w:color="auto" w:sz="4"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单层物流建筑面积＞</w:t>
            </w:r>
            <w:r>
              <w:rPr>
                <w:rFonts w:ascii="仿宋" w:hAnsi="仿宋" w:eastAsia="仿宋"/>
                <w:snapToGrid w:val="0"/>
                <w:kern w:val="0"/>
              </w:rPr>
              <w:t>8000㎡</w:t>
            </w:r>
          </w:p>
        </w:tc>
        <w:tc>
          <w:tcPr>
            <w:tcW w:w="2073" w:type="dxa"/>
            <w:tcBorders>
              <w:lef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首层至六层</w:t>
            </w:r>
          </w:p>
        </w:tc>
        <w:tc>
          <w:tcPr>
            <w:tcW w:w="2020" w:type="dxa"/>
            <w:vAlign w:val="center"/>
          </w:tcPr>
          <w:p>
            <w:pPr>
              <w:topLinePunct/>
              <w:jc w:val="center"/>
              <w:rPr>
                <w:rFonts w:ascii="仿宋" w:hAnsi="仿宋" w:eastAsia="仿宋"/>
                <w:snapToGrid w:val="0"/>
                <w:kern w:val="0"/>
              </w:rPr>
            </w:pPr>
            <w:r>
              <w:rPr>
                <w:rFonts w:ascii="仿宋" w:hAnsi="仿宋" w:eastAsia="仿宋"/>
                <w:snapToGrid w:val="0"/>
                <w:kern w:val="0"/>
              </w:rPr>
              <w:t>6.6m</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jc w:val="left"/>
              <w:rPr>
                <w:rFonts w:ascii="仿宋" w:hAnsi="仿宋" w:eastAsia="仿宋"/>
                <w:snapToGrid w:val="0"/>
                <w:kern w:val="0"/>
              </w:rPr>
            </w:pPr>
          </w:p>
        </w:tc>
        <w:tc>
          <w:tcPr>
            <w:tcW w:w="1355" w:type="dxa"/>
            <w:gridSpan w:val="2"/>
            <w:vMerge w:val="continue"/>
            <w:tcBorders>
              <w:left w:val="single" w:color="auto" w:sz="4" w:space="0"/>
              <w:bottom w:val="single" w:color="auto" w:sz="2" w:space="0"/>
              <w:right w:val="single" w:color="auto" w:sz="4" w:space="0"/>
            </w:tcBorders>
            <w:vAlign w:val="center"/>
          </w:tcPr>
          <w:p>
            <w:pPr>
              <w:topLinePunct/>
              <w:jc w:val="left"/>
              <w:rPr>
                <w:rFonts w:ascii="仿宋" w:hAnsi="仿宋" w:eastAsia="仿宋"/>
                <w:snapToGrid w:val="0"/>
                <w:kern w:val="0"/>
              </w:rPr>
            </w:pPr>
          </w:p>
        </w:tc>
        <w:tc>
          <w:tcPr>
            <w:tcW w:w="652" w:type="dxa"/>
            <w:gridSpan w:val="2"/>
            <w:vMerge w:val="continue"/>
            <w:tcBorders>
              <w:left w:val="single" w:color="auto" w:sz="4" w:space="0"/>
              <w:bottom w:val="single" w:color="auto" w:sz="2" w:space="0"/>
            </w:tcBorders>
            <w:vAlign w:val="center"/>
          </w:tcPr>
          <w:p>
            <w:pPr>
              <w:topLinePunct/>
              <w:jc w:val="left"/>
              <w:rPr>
                <w:rFonts w:ascii="仿宋" w:hAnsi="仿宋" w:eastAsia="仿宋"/>
                <w:snapToGrid w:val="0"/>
                <w:kern w:val="0"/>
              </w:rPr>
            </w:pPr>
          </w:p>
        </w:tc>
        <w:tc>
          <w:tcPr>
            <w:tcW w:w="1514" w:type="dxa"/>
            <w:vMerge w:val="continue"/>
            <w:tcBorders>
              <w:bottom w:val="single" w:color="auto" w:sz="2" w:space="0"/>
              <w:right w:val="single" w:color="auto" w:sz="4" w:space="0"/>
            </w:tcBorders>
            <w:vAlign w:val="center"/>
          </w:tcPr>
          <w:p>
            <w:pPr>
              <w:topLinePunct/>
              <w:jc w:val="left"/>
              <w:rPr>
                <w:rFonts w:ascii="仿宋" w:hAnsi="仿宋" w:eastAsia="仿宋"/>
                <w:snapToGrid w:val="0"/>
                <w:kern w:val="0"/>
              </w:rPr>
            </w:pPr>
          </w:p>
        </w:tc>
        <w:tc>
          <w:tcPr>
            <w:tcW w:w="2073" w:type="dxa"/>
            <w:tcBorders>
              <w:left w:val="single" w:color="auto" w:sz="4" w:space="0"/>
              <w:bottom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七层及以上</w:t>
            </w:r>
          </w:p>
        </w:tc>
        <w:tc>
          <w:tcPr>
            <w:tcW w:w="2020" w:type="dxa"/>
            <w:tcBorders>
              <w:bottom w:val="single" w:color="auto" w:sz="4" w:space="0"/>
            </w:tcBorders>
            <w:vAlign w:val="center"/>
          </w:tcPr>
          <w:p>
            <w:pPr>
              <w:topLinePunct/>
              <w:jc w:val="center"/>
              <w:rPr>
                <w:rFonts w:ascii="仿宋" w:hAnsi="仿宋" w:eastAsia="仿宋"/>
                <w:snapToGrid w:val="0"/>
                <w:kern w:val="0"/>
              </w:rPr>
            </w:pPr>
            <w:r>
              <w:rPr>
                <w:rFonts w:ascii="仿宋" w:hAnsi="仿宋" w:eastAsia="仿宋"/>
                <w:snapToGrid w:val="0"/>
                <w:kern w:val="0"/>
              </w:rPr>
              <w:t>5.</w:t>
            </w:r>
            <w:r>
              <w:rPr>
                <w:rFonts w:hint="eastAsia" w:ascii="仿宋" w:hAnsi="仿宋" w:eastAsia="仿宋"/>
                <w:snapToGrid w:val="0"/>
                <w:kern w:val="0"/>
              </w:rPr>
              <w:t>4</w:t>
            </w:r>
            <w:r>
              <w:rPr>
                <w:rFonts w:ascii="仿宋" w:hAnsi="仿宋" w:eastAsia="仿宋"/>
                <w:snapToGrid w:val="0"/>
                <w:kern w:val="0"/>
              </w:rPr>
              <w:t>m</w:t>
            </w:r>
          </w:p>
        </w:tc>
        <w:tc>
          <w:tcPr>
            <w:tcW w:w="851" w:type="dxa"/>
            <w:vMerge w:val="continue"/>
            <w:tcBorders>
              <w:bottom w:val="single" w:color="auto" w:sz="4" w:space="0"/>
            </w:tcBorders>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right w:val="single" w:color="auto" w:sz="4" w:space="0"/>
            </w:tcBorders>
            <w:vAlign w:val="center"/>
          </w:tcPr>
          <w:p>
            <w:pPr>
              <w:topLinePunct/>
              <w:rPr>
                <w:rFonts w:ascii="仿宋" w:hAnsi="仿宋" w:eastAsia="仿宋"/>
                <w:snapToGrid w:val="0"/>
                <w:kern w:val="0"/>
              </w:rPr>
            </w:pPr>
          </w:p>
        </w:tc>
        <w:tc>
          <w:tcPr>
            <w:tcW w:w="3521" w:type="dxa"/>
            <w:gridSpan w:val="5"/>
            <w:tcBorders>
              <w:top w:val="single" w:color="auto" w:sz="6" w:space="0"/>
              <w:left w:val="single" w:color="auto" w:sz="4" w:space="0"/>
              <w:right w:val="single" w:color="auto" w:sz="4" w:space="0"/>
            </w:tcBorders>
            <w:vAlign w:val="center"/>
          </w:tcPr>
          <w:p>
            <w:pPr>
              <w:topLinePunct/>
              <w:rPr>
                <w:rFonts w:ascii="仿宋" w:hAnsi="仿宋" w:eastAsia="仿宋"/>
                <w:snapToGrid w:val="0"/>
                <w:color w:val="FF0000"/>
                <w:kern w:val="0"/>
              </w:rPr>
            </w:pPr>
            <w:r>
              <w:rPr>
                <w:rFonts w:hint="eastAsia" w:ascii="仿宋" w:hAnsi="仿宋" w:eastAsia="仿宋"/>
                <w:snapToGrid w:val="0"/>
                <w:kern w:val="0"/>
              </w:rPr>
              <w:t>半地下及地下物流建筑</w:t>
            </w:r>
          </w:p>
        </w:tc>
        <w:tc>
          <w:tcPr>
            <w:tcW w:w="2073" w:type="dxa"/>
            <w:tcBorders>
              <w:top w:val="single" w:color="auto" w:sz="6" w:space="0"/>
              <w:left w:val="single" w:color="auto" w:sz="4" w:space="0"/>
              <w:bottom w:val="single" w:color="auto" w:sz="2" w:space="0"/>
            </w:tcBorders>
            <w:vAlign w:val="center"/>
          </w:tcPr>
          <w:p>
            <w:pPr>
              <w:topLinePunct/>
              <w:rPr>
                <w:rFonts w:ascii="仿宋" w:hAnsi="仿宋" w:eastAsia="仿宋"/>
                <w:snapToGrid w:val="0"/>
                <w:color w:val="FF0000"/>
                <w:kern w:val="0"/>
              </w:rPr>
            </w:pPr>
          </w:p>
        </w:tc>
        <w:tc>
          <w:tcPr>
            <w:tcW w:w="2020" w:type="dxa"/>
            <w:tcBorders>
              <w:top w:val="single" w:color="auto" w:sz="6" w:space="0"/>
              <w:bottom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6.6m</w:t>
            </w:r>
          </w:p>
        </w:tc>
        <w:tc>
          <w:tcPr>
            <w:tcW w:w="851" w:type="dxa"/>
            <w:tcBorders>
              <w:top w:val="single" w:color="auto" w:sz="6"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3.0m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restart"/>
            <w:tcBorders>
              <w:top w:val="single" w:color="auto" w:sz="6" w:space="0"/>
            </w:tcBorders>
            <w:vAlign w:val="center"/>
          </w:tcPr>
          <w:p>
            <w:pPr>
              <w:topLinePunct/>
              <w:rPr>
                <w:rFonts w:ascii="仿宋" w:hAnsi="仿宋" w:eastAsia="仿宋"/>
                <w:snapToGrid w:val="0"/>
                <w:kern w:val="0"/>
              </w:rPr>
            </w:pPr>
            <w:r>
              <w:rPr>
                <w:rFonts w:hint="eastAsia" w:ascii="仿宋" w:hAnsi="仿宋" w:eastAsia="仿宋"/>
                <w:snapToGrid w:val="0"/>
                <w:kern w:val="0"/>
              </w:rPr>
              <w:t>各类</w:t>
            </w:r>
          </w:p>
          <w:p>
            <w:pPr>
              <w:topLinePunct/>
              <w:rPr>
                <w:rFonts w:ascii="仿宋" w:hAnsi="仿宋" w:eastAsia="仿宋"/>
                <w:snapToGrid w:val="0"/>
                <w:kern w:val="0"/>
              </w:rPr>
            </w:pPr>
            <w:r>
              <w:rPr>
                <w:rFonts w:hint="eastAsia" w:ascii="仿宋" w:hAnsi="仿宋" w:eastAsia="仿宋"/>
                <w:snapToGrid w:val="0"/>
                <w:kern w:val="0"/>
              </w:rPr>
              <w:t>建筑</w:t>
            </w:r>
            <w:r>
              <w:rPr>
                <w:rFonts w:ascii="仿宋" w:hAnsi="仿宋" w:eastAsia="仿宋"/>
                <w:snapToGrid w:val="0"/>
                <w:kern w:val="0"/>
              </w:rPr>
              <w:t xml:space="preserve"> </w:t>
            </w:r>
          </w:p>
        </w:tc>
        <w:tc>
          <w:tcPr>
            <w:tcW w:w="3521" w:type="dxa"/>
            <w:gridSpan w:val="5"/>
            <w:tcBorders>
              <w:top w:val="single" w:color="auto" w:sz="6" w:space="0"/>
              <w:bottom w:val="single" w:color="auto" w:sz="2"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避难层、设备层</w:t>
            </w:r>
          </w:p>
        </w:tc>
        <w:tc>
          <w:tcPr>
            <w:tcW w:w="2073" w:type="dxa"/>
            <w:tcBorders>
              <w:top w:val="single" w:color="auto" w:sz="6" w:space="0"/>
              <w:left w:val="single" w:color="auto" w:sz="4" w:space="0"/>
              <w:bottom w:val="single" w:color="auto" w:sz="2" w:space="0"/>
            </w:tcBorders>
            <w:vAlign w:val="center"/>
          </w:tcPr>
          <w:p>
            <w:pPr>
              <w:topLinePunct/>
              <w:rPr>
                <w:rFonts w:ascii="仿宋" w:hAnsi="仿宋" w:eastAsia="仿宋"/>
                <w:snapToGrid w:val="0"/>
                <w:kern w:val="0"/>
              </w:rPr>
            </w:pPr>
          </w:p>
        </w:tc>
        <w:tc>
          <w:tcPr>
            <w:tcW w:w="2020" w:type="dxa"/>
            <w:tcBorders>
              <w:top w:val="single" w:color="auto" w:sz="6" w:space="0"/>
              <w:bottom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6.0</w:t>
            </w:r>
            <w:r>
              <w:rPr>
                <w:rFonts w:ascii="仿宋" w:hAnsi="仿宋" w:eastAsia="仿宋"/>
                <w:snapToGrid w:val="0"/>
                <w:kern w:val="0"/>
              </w:rPr>
              <w:t>m</w:t>
            </w:r>
          </w:p>
        </w:tc>
        <w:tc>
          <w:tcPr>
            <w:tcW w:w="851" w:type="dxa"/>
            <w:tcBorders>
              <w:top w:val="single" w:color="auto" w:sz="6"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vAlign w:val="center"/>
          </w:tcPr>
          <w:p>
            <w:pPr>
              <w:topLinePunct/>
              <w:rPr>
                <w:rFonts w:ascii="仿宋" w:hAnsi="仿宋" w:eastAsia="仿宋"/>
                <w:snapToGrid w:val="0"/>
                <w:kern w:val="0"/>
              </w:rPr>
            </w:pPr>
          </w:p>
        </w:tc>
        <w:tc>
          <w:tcPr>
            <w:tcW w:w="1779" w:type="dxa"/>
            <w:gridSpan w:val="3"/>
            <w:vMerge w:val="restart"/>
            <w:tcBorders>
              <w:top w:val="single" w:color="auto" w:sz="2"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屋面构件</w:t>
            </w:r>
          </w:p>
        </w:tc>
        <w:tc>
          <w:tcPr>
            <w:tcW w:w="1742" w:type="dxa"/>
            <w:gridSpan w:val="2"/>
            <w:tcBorders>
              <w:top w:val="single" w:color="auto" w:sz="2" w:space="0"/>
              <w:bottom w:val="single" w:color="auto" w:sz="8"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实体女儿墙</w:t>
            </w:r>
          </w:p>
        </w:tc>
        <w:tc>
          <w:tcPr>
            <w:tcW w:w="2073" w:type="dxa"/>
            <w:tcBorders>
              <w:top w:val="single" w:color="auto" w:sz="2" w:space="0"/>
              <w:left w:val="single" w:color="auto" w:sz="4" w:space="0"/>
              <w:bottom w:val="single" w:color="auto" w:sz="2" w:space="0"/>
            </w:tcBorders>
            <w:vAlign w:val="center"/>
          </w:tcPr>
          <w:p>
            <w:pPr>
              <w:topLinePunct/>
              <w:rPr>
                <w:rFonts w:ascii="仿宋" w:hAnsi="仿宋" w:eastAsia="仿宋"/>
                <w:snapToGrid w:val="0"/>
                <w:kern w:val="0"/>
              </w:rPr>
            </w:pPr>
          </w:p>
        </w:tc>
        <w:tc>
          <w:tcPr>
            <w:tcW w:w="2020" w:type="dxa"/>
            <w:tcBorders>
              <w:top w:val="single" w:color="auto" w:sz="2" w:space="0"/>
              <w:bottom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1.5m</w:t>
            </w:r>
          </w:p>
        </w:tc>
        <w:tc>
          <w:tcPr>
            <w:tcW w:w="851" w:type="dxa"/>
            <w:vMerge w:val="restart"/>
            <w:tcBorders>
              <w:top w:val="single" w:color="auto" w:sz="2" w:space="0"/>
            </w:tcBorders>
            <w:vAlign w:val="center"/>
          </w:tcPr>
          <w:p>
            <w:pPr>
              <w:topLinePunct/>
              <w:jc w:val="center"/>
              <w:rPr>
                <w:rFonts w:ascii="仿宋" w:hAnsi="仿宋" w:eastAsia="仿宋"/>
                <w:snapToGrid w:val="0"/>
                <w:kern w:val="0"/>
              </w:rPr>
            </w:pPr>
            <w:r>
              <w:rPr>
                <w:rFonts w:ascii="仿宋" w:hAnsi="仿宋" w:eastAsia="仿宋"/>
                <w:snapToGrid w:val="0"/>
                <w:kern w:val="0"/>
              </w:rPr>
              <w:t>2.2m</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vAlign w:val="center"/>
          </w:tcPr>
          <w:p>
            <w:pPr>
              <w:topLinePunct/>
              <w:rPr>
                <w:rFonts w:ascii="仿宋" w:hAnsi="仿宋" w:eastAsia="仿宋"/>
                <w:snapToGrid w:val="0"/>
                <w:kern w:val="0"/>
              </w:rPr>
            </w:pPr>
          </w:p>
        </w:tc>
        <w:tc>
          <w:tcPr>
            <w:tcW w:w="1779" w:type="dxa"/>
            <w:gridSpan w:val="3"/>
            <w:vMerge w:val="continue"/>
            <w:tcBorders>
              <w:right w:val="single" w:color="auto" w:sz="4" w:space="0"/>
            </w:tcBorders>
            <w:vAlign w:val="center"/>
          </w:tcPr>
          <w:p>
            <w:pPr>
              <w:topLinePunct/>
              <w:rPr>
                <w:rFonts w:ascii="仿宋" w:hAnsi="仿宋" w:eastAsia="仿宋"/>
                <w:snapToGrid w:val="0"/>
                <w:kern w:val="0"/>
              </w:rPr>
            </w:pPr>
          </w:p>
        </w:tc>
        <w:tc>
          <w:tcPr>
            <w:tcW w:w="1742" w:type="dxa"/>
            <w:gridSpan w:val="2"/>
            <w:vMerge w:val="restart"/>
            <w:tcBorders>
              <w:top w:val="single" w:color="auto" w:sz="8" w:space="0"/>
              <w:right w:val="single" w:color="auto" w:sz="4" w:space="0"/>
            </w:tcBorders>
            <w:vAlign w:val="center"/>
          </w:tcPr>
          <w:p>
            <w:pPr>
              <w:topLinePunct/>
              <w:rPr>
                <w:rFonts w:ascii="仿宋" w:hAnsi="仿宋" w:eastAsia="仿宋"/>
                <w:snapToGrid w:val="0"/>
                <w:kern w:val="0"/>
              </w:rPr>
            </w:pPr>
            <w:r>
              <w:rPr>
                <w:rFonts w:hint="eastAsia" w:ascii="仿宋" w:hAnsi="仿宋" w:eastAsia="仿宋"/>
                <w:snapToGrid w:val="0"/>
                <w:kern w:val="0"/>
              </w:rPr>
              <w:t>屋面构架、幕墙</w:t>
            </w:r>
          </w:p>
        </w:tc>
        <w:tc>
          <w:tcPr>
            <w:tcW w:w="2073" w:type="dxa"/>
            <w:tcBorders>
              <w:top w:val="single" w:color="auto" w:sz="2"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建筑高度≤24m</w:t>
            </w:r>
          </w:p>
        </w:tc>
        <w:tc>
          <w:tcPr>
            <w:tcW w:w="2020" w:type="dxa"/>
            <w:tcBorders>
              <w:top w:val="single" w:color="auto" w:sz="2" w:space="0"/>
              <w:bottom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2.2m</w:t>
            </w:r>
            <w:r>
              <w:rPr>
                <w:rFonts w:ascii="仿宋" w:hAnsi="仿宋" w:eastAsia="仿宋"/>
                <w:snapToGrid w:val="0"/>
                <w:kern w:val="0"/>
              </w:rPr>
              <w:t xml:space="preserve"> </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vAlign w:val="center"/>
          </w:tcPr>
          <w:p>
            <w:pPr>
              <w:topLinePunct/>
              <w:rPr>
                <w:rFonts w:ascii="仿宋" w:hAnsi="仿宋" w:eastAsia="仿宋"/>
                <w:snapToGrid w:val="0"/>
                <w:kern w:val="0"/>
              </w:rPr>
            </w:pPr>
          </w:p>
        </w:tc>
        <w:tc>
          <w:tcPr>
            <w:tcW w:w="1779" w:type="dxa"/>
            <w:gridSpan w:val="3"/>
            <w:vMerge w:val="continue"/>
            <w:tcBorders>
              <w:right w:val="single" w:color="auto" w:sz="4" w:space="0"/>
            </w:tcBorders>
            <w:vAlign w:val="center"/>
          </w:tcPr>
          <w:p>
            <w:pPr>
              <w:topLinePunct/>
              <w:rPr>
                <w:rFonts w:ascii="仿宋" w:hAnsi="仿宋" w:eastAsia="仿宋"/>
                <w:snapToGrid w:val="0"/>
                <w:kern w:val="0"/>
              </w:rPr>
            </w:pPr>
          </w:p>
        </w:tc>
        <w:tc>
          <w:tcPr>
            <w:tcW w:w="1742" w:type="dxa"/>
            <w:gridSpan w:val="2"/>
            <w:vMerge w:val="continue"/>
            <w:tcBorders>
              <w:top w:val="single" w:color="auto" w:sz="8" w:space="0"/>
              <w:right w:val="single" w:color="auto" w:sz="4" w:space="0"/>
            </w:tcBorders>
            <w:vAlign w:val="center"/>
          </w:tcPr>
          <w:p>
            <w:pPr>
              <w:topLinePunct/>
              <w:rPr>
                <w:rFonts w:ascii="仿宋" w:hAnsi="仿宋" w:eastAsia="仿宋"/>
                <w:snapToGrid w:val="0"/>
                <w:kern w:val="0"/>
              </w:rPr>
            </w:pPr>
          </w:p>
        </w:tc>
        <w:tc>
          <w:tcPr>
            <w:tcW w:w="2073" w:type="dxa"/>
            <w:tcBorders>
              <w:top w:val="single" w:color="auto" w:sz="2" w:space="0"/>
              <w:left w:val="single" w:color="auto" w:sz="4" w:space="0"/>
              <w:bottom w:val="single" w:color="auto" w:sz="2" w:space="0"/>
            </w:tcBorders>
            <w:vAlign w:val="center"/>
          </w:tcPr>
          <w:p>
            <w:pPr>
              <w:topLinePunct/>
              <w:rPr>
                <w:rFonts w:ascii="仿宋" w:hAnsi="仿宋" w:eastAsia="仿宋"/>
                <w:snapToGrid w:val="0"/>
                <w:kern w:val="0"/>
              </w:rPr>
            </w:pPr>
            <w:r>
              <w:rPr>
                <w:rFonts w:hint="eastAsia" w:ascii="仿宋" w:hAnsi="仿宋" w:eastAsia="仿宋"/>
                <w:snapToGrid w:val="0"/>
                <w:kern w:val="0"/>
              </w:rPr>
              <w:t>24m＜建筑高度≤150m</w:t>
            </w:r>
          </w:p>
        </w:tc>
        <w:tc>
          <w:tcPr>
            <w:tcW w:w="2020" w:type="dxa"/>
            <w:tcBorders>
              <w:top w:val="single" w:color="auto" w:sz="2" w:space="0"/>
              <w:bottom w:val="single" w:color="auto" w:sz="2"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取9m和屋面高度10%中的较小值</w:t>
            </w:r>
          </w:p>
        </w:tc>
        <w:tc>
          <w:tcPr>
            <w:tcW w:w="851" w:type="dxa"/>
            <w:vMerge w:val="continue"/>
            <w:vAlign w:val="center"/>
          </w:tcPr>
          <w:p>
            <w:pPr>
              <w:topLinePunct/>
              <w:jc w:val="center"/>
              <w:rPr>
                <w:rFonts w:ascii="仿宋" w:hAnsi="仿宋" w:eastAsia="仿宋"/>
                <w:snapToGrid w:val="0"/>
                <w:kern w:val="0"/>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37" w:type="dxa"/>
            <w:vMerge w:val="continue"/>
            <w:tcBorders>
              <w:bottom w:val="single" w:color="auto" w:sz="8" w:space="0"/>
            </w:tcBorders>
            <w:vAlign w:val="center"/>
          </w:tcPr>
          <w:p>
            <w:pPr>
              <w:topLinePunct/>
              <w:rPr>
                <w:rFonts w:ascii="仿宋" w:hAnsi="仿宋" w:eastAsia="仿宋"/>
                <w:snapToGrid w:val="0"/>
                <w:kern w:val="0"/>
              </w:rPr>
            </w:pPr>
          </w:p>
        </w:tc>
        <w:tc>
          <w:tcPr>
            <w:tcW w:w="1779" w:type="dxa"/>
            <w:gridSpan w:val="3"/>
            <w:vMerge w:val="continue"/>
            <w:tcBorders>
              <w:bottom w:val="single" w:color="auto" w:sz="8" w:space="0"/>
              <w:right w:val="single" w:color="auto" w:sz="4" w:space="0"/>
            </w:tcBorders>
            <w:vAlign w:val="center"/>
          </w:tcPr>
          <w:p>
            <w:pPr>
              <w:topLinePunct/>
              <w:rPr>
                <w:rFonts w:ascii="仿宋" w:hAnsi="仿宋" w:eastAsia="仿宋"/>
                <w:snapToGrid w:val="0"/>
                <w:kern w:val="0"/>
              </w:rPr>
            </w:pPr>
          </w:p>
        </w:tc>
        <w:tc>
          <w:tcPr>
            <w:tcW w:w="1742" w:type="dxa"/>
            <w:gridSpan w:val="2"/>
            <w:vMerge w:val="continue"/>
            <w:tcBorders>
              <w:bottom w:val="single" w:color="auto" w:sz="8" w:space="0"/>
              <w:right w:val="single" w:color="auto" w:sz="4" w:space="0"/>
            </w:tcBorders>
            <w:vAlign w:val="center"/>
          </w:tcPr>
          <w:p>
            <w:pPr>
              <w:topLinePunct/>
              <w:rPr>
                <w:rFonts w:ascii="仿宋" w:hAnsi="仿宋" w:eastAsia="仿宋"/>
                <w:snapToGrid w:val="0"/>
                <w:kern w:val="0"/>
              </w:rPr>
            </w:pPr>
          </w:p>
        </w:tc>
        <w:tc>
          <w:tcPr>
            <w:tcW w:w="2073" w:type="dxa"/>
            <w:tcBorders>
              <w:top w:val="single" w:color="auto" w:sz="2" w:space="0"/>
              <w:left w:val="single" w:color="auto" w:sz="4" w:space="0"/>
              <w:bottom w:val="single" w:color="auto" w:sz="8" w:space="0"/>
            </w:tcBorders>
            <w:vAlign w:val="center"/>
          </w:tcPr>
          <w:p>
            <w:pPr>
              <w:topLinePunct/>
              <w:rPr>
                <w:rFonts w:ascii="仿宋" w:hAnsi="仿宋" w:eastAsia="仿宋"/>
                <w:snapToGrid w:val="0"/>
                <w:kern w:val="0"/>
              </w:rPr>
            </w:pPr>
            <w:r>
              <w:rPr>
                <w:rFonts w:hint="eastAsia" w:ascii="仿宋" w:hAnsi="仿宋" w:eastAsia="仿宋"/>
                <w:snapToGrid w:val="0"/>
                <w:kern w:val="0"/>
              </w:rPr>
              <w:t>150m＜建筑高度≤250m</w:t>
            </w:r>
          </w:p>
        </w:tc>
        <w:tc>
          <w:tcPr>
            <w:tcW w:w="2020" w:type="dxa"/>
            <w:tcBorders>
              <w:top w:val="single" w:color="auto" w:sz="2" w:space="0"/>
              <w:bottom w:val="single" w:color="auto" w:sz="8" w:space="0"/>
            </w:tcBorders>
            <w:vAlign w:val="center"/>
          </w:tcPr>
          <w:p>
            <w:pPr>
              <w:topLinePunct/>
              <w:jc w:val="center"/>
              <w:rPr>
                <w:rFonts w:ascii="仿宋" w:hAnsi="仿宋" w:eastAsia="仿宋"/>
                <w:snapToGrid w:val="0"/>
                <w:kern w:val="0"/>
              </w:rPr>
            </w:pPr>
            <w:r>
              <w:rPr>
                <w:rFonts w:hint="eastAsia" w:ascii="仿宋" w:hAnsi="仿宋" w:eastAsia="仿宋"/>
                <w:snapToGrid w:val="0"/>
                <w:kern w:val="0"/>
              </w:rPr>
              <w:t>12.0m</w:t>
            </w:r>
          </w:p>
        </w:tc>
        <w:tc>
          <w:tcPr>
            <w:tcW w:w="851" w:type="dxa"/>
            <w:vMerge w:val="continue"/>
            <w:tcBorders>
              <w:bottom w:val="single" w:color="auto" w:sz="8" w:space="0"/>
            </w:tcBorders>
            <w:vAlign w:val="center"/>
          </w:tcPr>
          <w:p>
            <w:pPr>
              <w:topLinePunct/>
              <w:jc w:val="center"/>
              <w:rPr>
                <w:rFonts w:ascii="仿宋" w:hAnsi="仿宋" w:eastAsia="仿宋"/>
                <w:snapToGrid w:val="0"/>
                <w:kern w:val="0"/>
              </w:rPr>
            </w:pPr>
          </w:p>
        </w:tc>
      </w:tr>
    </w:tbl>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A.0.5</w:t>
      </w:r>
      <w:r>
        <w:rPr>
          <w:rFonts w:hint="eastAsia" w:ascii="宋体" w:hAnsi="宋体"/>
          <w:b/>
          <w:snapToGrid w:val="0"/>
          <w:kern w:val="0"/>
          <w:sz w:val="24"/>
          <w:szCs w:val="24"/>
        </w:rPr>
        <w:t xml:space="preserve">    计一半面积的阳台</w:t>
      </w:r>
    </w:p>
    <w:p>
      <w:pPr>
        <w:topLinePunct/>
        <w:snapToGrid w:val="0"/>
        <w:ind w:firstLine="1050" w:firstLineChars="500"/>
        <w:jc w:val="center"/>
        <w:rPr>
          <w:rFonts w:ascii="宋体" w:hAnsi="宋体"/>
          <w:b/>
          <w:snapToGrid w:val="0"/>
          <w:kern w:val="0"/>
        </w:rPr>
      </w:pPr>
      <w:r>
        <w:rPr>
          <w:rFonts w:hint="eastAsia" w:ascii="宋体" w:hAnsi="宋体"/>
          <w:snapToGrid w:val="0"/>
          <w:kern w:val="0"/>
        </w:rPr>
        <w:t>附表</w:t>
      </w:r>
      <w:r>
        <w:rPr>
          <w:rFonts w:ascii="宋体" w:hAnsi="宋体"/>
          <w:snapToGrid w:val="0"/>
          <w:kern w:val="0"/>
        </w:rPr>
        <w:t xml:space="preserve">A.0.5  </w:t>
      </w:r>
      <w:r>
        <w:rPr>
          <w:rFonts w:hint="eastAsia" w:ascii="宋体" w:hAnsi="宋体"/>
          <w:snapToGrid w:val="0"/>
          <w:kern w:val="0"/>
        </w:rPr>
        <w:t>计一半面积阳台的投影面积限值</w:t>
      </w:r>
    </w:p>
    <w:tbl>
      <w:tblPr>
        <w:tblStyle w:val="19"/>
        <w:tblW w:w="918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36"/>
        <w:gridCol w:w="1726"/>
        <w:gridCol w:w="2693"/>
        <w:gridCol w:w="4130"/>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6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topLinePunct/>
              <w:snapToGrid w:val="0"/>
              <w:jc w:val="center"/>
              <w:rPr>
                <w:rFonts w:ascii="宋体" w:hAnsi="宋体"/>
                <w:b/>
                <w:snapToGrid w:val="0"/>
                <w:kern w:val="0"/>
              </w:rPr>
            </w:pPr>
            <w:r>
              <w:rPr>
                <w:rFonts w:hint="eastAsia" w:ascii="宋体" w:hAnsi="宋体"/>
                <w:snapToGrid w:val="0"/>
                <w:kern w:val="0"/>
              </w:rPr>
              <w:t>建筑类别</w:t>
            </w:r>
          </w:p>
        </w:tc>
        <w:tc>
          <w:tcPr>
            <w:tcW w:w="2693" w:type="dxa"/>
            <w:tcBorders>
              <w:top w:val="single" w:color="auto" w:sz="8" w:space="0"/>
              <w:left w:val="single" w:color="auto" w:sz="4" w:space="0"/>
              <w:bottom w:val="single" w:color="auto" w:sz="4"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位置</w:t>
            </w:r>
          </w:p>
        </w:tc>
        <w:tc>
          <w:tcPr>
            <w:tcW w:w="4130" w:type="dxa"/>
            <w:tcBorders>
              <w:top w:val="single" w:color="auto" w:sz="8" w:space="0"/>
              <w:bottom w:val="single" w:color="auto" w:sz="4" w:space="0"/>
              <w:right w:val="single" w:color="auto" w:sz="8" w:space="0"/>
            </w:tcBorders>
            <w:shd w:val="clear" w:color="auto" w:fill="auto"/>
            <w:vAlign w:val="center"/>
          </w:tcPr>
          <w:p>
            <w:pPr>
              <w:topLinePunct/>
              <w:snapToGrid w:val="0"/>
              <w:jc w:val="center"/>
              <w:rPr>
                <w:rFonts w:ascii="宋体" w:hAnsi="宋体"/>
                <w:b/>
                <w:snapToGrid w:val="0"/>
                <w:kern w:val="0"/>
              </w:rPr>
            </w:pPr>
            <w:r>
              <w:rPr>
                <w:rFonts w:hint="eastAsia" w:ascii="宋体" w:hAnsi="宋体"/>
                <w:snapToGrid w:val="0"/>
                <w:kern w:val="0"/>
              </w:rPr>
              <w:t>限值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36" w:type="dxa"/>
            <w:vMerge w:val="restart"/>
            <w:tcBorders>
              <w:top w:val="single" w:color="auto" w:sz="4" w:space="0"/>
              <w:left w:val="single" w:color="auto" w:sz="8" w:space="0"/>
              <w:bottom w:val="single" w:color="auto" w:sz="2" w:space="0"/>
              <w:right w:val="single" w:color="auto" w:sz="2"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住宅建筑</w:t>
            </w:r>
          </w:p>
        </w:tc>
        <w:tc>
          <w:tcPr>
            <w:tcW w:w="1726" w:type="dxa"/>
            <w:tcBorders>
              <w:top w:val="single" w:color="auto" w:sz="4" w:space="0"/>
              <w:left w:val="single" w:color="auto" w:sz="2" w:space="0"/>
              <w:bottom w:val="single" w:color="auto" w:sz="2" w:space="0"/>
              <w:right w:val="single" w:color="auto" w:sz="2"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未设置室内透空</w:t>
            </w:r>
          </w:p>
        </w:tc>
        <w:tc>
          <w:tcPr>
            <w:tcW w:w="2693" w:type="dxa"/>
            <w:vMerge w:val="restart"/>
            <w:tcBorders>
              <w:top w:val="single" w:color="auto" w:sz="4" w:space="0"/>
              <w:left w:val="single" w:color="auto" w:sz="2" w:space="0"/>
              <w:bottom w:val="single" w:color="auto" w:sz="2" w:space="0"/>
              <w:right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面宽、进深均不小于</w:t>
            </w:r>
            <w:r>
              <w:rPr>
                <w:rFonts w:ascii="仿宋" w:hAnsi="仿宋" w:eastAsia="仿宋"/>
                <w:snapToGrid w:val="0"/>
                <w:kern w:val="0"/>
              </w:rPr>
              <w:t>2.4m</w:t>
            </w:r>
            <w:r>
              <w:rPr>
                <w:rFonts w:hint="eastAsia" w:ascii="仿宋" w:hAnsi="仿宋" w:eastAsia="仿宋"/>
                <w:snapToGrid w:val="0"/>
                <w:kern w:val="0"/>
              </w:rPr>
              <w:t>的居住空间（起居室、客厅、餐厅、卧室）及一个厨房（或与其连通的卫生间）</w:t>
            </w:r>
          </w:p>
        </w:tc>
        <w:tc>
          <w:tcPr>
            <w:tcW w:w="4130" w:type="dxa"/>
            <w:tcBorders>
              <w:top w:val="single" w:color="auto" w:sz="4" w:space="0"/>
              <w:left w:val="single" w:color="auto" w:sz="2" w:space="0"/>
              <w:bottom w:val="single" w:color="auto" w:sz="2" w:space="0"/>
              <w:right w:val="single" w:color="auto" w:sz="8"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阳台总投影面积≥</w:t>
            </w:r>
            <w:r>
              <w:rPr>
                <w:rFonts w:ascii="仿宋" w:hAnsi="仿宋" w:eastAsia="仿宋"/>
                <w:snapToGrid w:val="0"/>
                <w:kern w:val="0"/>
              </w:rPr>
              <w:t>6㎡</w:t>
            </w:r>
            <w:r>
              <w:rPr>
                <w:rFonts w:hint="eastAsia" w:ascii="仿宋" w:hAnsi="仿宋" w:eastAsia="仿宋"/>
                <w:snapToGrid w:val="0"/>
                <w:kern w:val="0"/>
              </w:rPr>
              <w:t>时，取</w:t>
            </w:r>
            <w:r>
              <w:rPr>
                <w:rFonts w:ascii="仿宋" w:hAnsi="仿宋" w:eastAsia="仿宋"/>
                <w:snapToGrid w:val="0"/>
                <w:kern w:val="0"/>
              </w:rPr>
              <w:t>60</w:t>
            </w:r>
            <w:r>
              <w:rPr>
                <w:rFonts w:hint="eastAsia" w:ascii="仿宋" w:hAnsi="仿宋" w:eastAsia="仿宋" w:cs="宋体"/>
                <w:snapToGrid w:val="0"/>
                <w:kern w:val="0"/>
              </w:rPr>
              <w:t>㎡</w:t>
            </w:r>
            <w:r>
              <w:rPr>
                <w:rFonts w:hint="eastAsia" w:ascii="仿宋" w:hAnsi="仿宋" w:eastAsia="仿宋"/>
                <w:snapToGrid w:val="0"/>
                <w:kern w:val="0"/>
              </w:rPr>
              <w:t>与除阳台外户内建筑面积×</w:t>
            </w:r>
            <w:r>
              <w:rPr>
                <w:rFonts w:ascii="仿宋" w:hAnsi="仿宋" w:eastAsia="仿宋"/>
                <w:snapToGrid w:val="0"/>
                <w:kern w:val="0"/>
              </w:rPr>
              <w:t>20%</w:t>
            </w:r>
            <w:r>
              <w:rPr>
                <w:rFonts w:hint="eastAsia" w:ascii="仿宋" w:hAnsi="仿宋" w:eastAsia="仿宋"/>
                <w:snapToGrid w:val="0"/>
                <w:kern w:val="0"/>
              </w:rPr>
              <w:t>中</w:t>
            </w:r>
            <w:r>
              <w:rPr>
                <w:rFonts w:hint="eastAsia" w:ascii="仿宋" w:hAnsi="仿宋" w:eastAsia="仿宋" w:cs="宋体"/>
                <w:snapToGrid w:val="0"/>
                <w:kern w:val="0"/>
              </w:rPr>
              <w:t>的较小值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636" w:type="dxa"/>
            <w:vMerge w:val="continue"/>
            <w:tcBorders>
              <w:top w:val="single" w:color="auto" w:sz="2" w:space="0"/>
              <w:left w:val="single" w:color="auto" w:sz="8" w:space="0"/>
              <w:bottom w:val="single" w:color="auto" w:sz="4" w:space="0"/>
              <w:right w:val="single" w:color="auto" w:sz="2" w:space="0"/>
            </w:tcBorders>
            <w:shd w:val="clear" w:color="auto" w:fill="auto"/>
            <w:vAlign w:val="center"/>
          </w:tcPr>
          <w:p>
            <w:pPr>
              <w:topLinePunct/>
              <w:snapToGrid w:val="0"/>
              <w:rPr>
                <w:rFonts w:ascii="仿宋" w:hAnsi="仿宋" w:eastAsia="仿宋"/>
                <w:b/>
                <w:snapToGrid w:val="0"/>
                <w:kern w:val="0"/>
              </w:rPr>
            </w:pPr>
          </w:p>
        </w:tc>
        <w:tc>
          <w:tcPr>
            <w:tcW w:w="1726" w:type="dxa"/>
            <w:tcBorders>
              <w:top w:val="single" w:color="auto" w:sz="2" w:space="0"/>
              <w:left w:val="single" w:color="auto" w:sz="2" w:space="0"/>
              <w:bottom w:val="single" w:color="auto" w:sz="4" w:space="0"/>
              <w:right w:val="single" w:color="auto" w:sz="2"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设置室内透空、错层式</w:t>
            </w:r>
          </w:p>
        </w:tc>
        <w:tc>
          <w:tcPr>
            <w:tcW w:w="2693" w:type="dxa"/>
            <w:vMerge w:val="continue"/>
            <w:tcBorders>
              <w:top w:val="single" w:color="auto" w:sz="2" w:space="0"/>
              <w:left w:val="single" w:color="auto" w:sz="2" w:space="0"/>
              <w:bottom w:val="single" w:color="auto" w:sz="4" w:space="0"/>
              <w:right w:val="single" w:color="auto" w:sz="2" w:space="0"/>
            </w:tcBorders>
            <w:shd w:val="clear" w:color="auto" w:fill="auto"/>
            <w:vAlign w:val="center"/>
          </w:tcPr>
          <w:p>
            <w:pPr>
              <w:topLinePunct/>
              <w:snapToGrid w:val="0"/>
              <w:rPr>
                <w:rFonts w:ascii="仿宋" w:hAnsi="仿宋" w:eastAsia="仿宋"/>
                <w:b/>
                <w:snapToGrid w:val="0"/>
                <w:kern w:val="0"/>
              </w:rPr>
            </w:pPr>
          </w:p>
        </w:tc>
        <w:tc>
          <w:tcPr>
            <w:tcW w:w="4130" w:type="dxa"/>
            <w:tcBorders>
              <w:top w:val="single" w:color="auto" w:sz="2" w:space="0"/>
              <w:left w:val="single" w:color="auto" w:sz="2" w:space="0"/>
              <w:bottom w:val="single" w:color="auto" w:sz="4" w:space="0"/>
              <w:right w:val="single" w:color="auto" w:sz="8"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阳台总投影面积≥</w:t>
            </w:r>
            <w:r>
              <w:rPr>
                <w:rFonts w:ascii="仿宋" w:hAnsi="仿宋" w:eastAsia="仿宋"/>
                <w:snapToGrid w:val="0"/>
                <w:kern w:val="0"/>
              </w:rPr>
              <w:t>6㎡</w:t>
            </w:r>
            <w:r>
              <w:rPr>
                <w:rFonts w:hint="eastAsia" w:ascii="仿宋" w:hAnsi="仿宋" w:eastAsia="仿宋"/>
                <w:snapToGrid w:val="0"/>
                <w:kern w:val="0"/>
              </w:rPr>
              <w:t>时，取</w:t>
            </w:r>
            <w:r>
              <w:rPr>
                <w:rFonts w:ascii="仿宋" w:hAnsi="仿宋" w:eastAsia="仿宋"/>
                <w:snapToGrid w:val="0"/>
                <w:kern w:val="0"/>
              </w:rPr>
              <w:t>30</w:t>
            </w:r>
            <w:r>
              <w:rPr>
                <w:rFonts w:hint="eastAsia" w:ascii="仿宋" w:hAnsi="仿宋" w:eastAsia="仿宋" w:cs="宋体"/>
                <w:snapToGrid w:val="0"/>
                <w:kern w:val="0"/>
              </w:rPr>
              <w:t>㎡</w:t>
            </w:r>
            <w:r>
              <w:rPr>
                <w:rFonts w:hint="eastAsia" w:ascii="仿宋" w:hAnsi="仿宋" w:eastAsia="仿宋"/>
                <w:snapToGrid w:val="0"/>
                <w:kern w:val="0"/>
              </w:rPr>
              <w:t>与除阳台外户内建筑面积×</w:t>
            </w:r>
            <w:r>
              <w:rPr>
                <w:rFonts w:ascii="仿宋" w:hAnsi="仿宋" w:eastAsia="仿宋"/>
                <w:snapToGrid w:val="0"/>
                <w:kern w:val="0"/>
              </w:rPr>
              <w:t>10%</w:t>
            </w:r>
            <w:r>
              <w:rPr>
                <w:rFonts w:hint="eastAsia" w:ascii="仿宋" w:hAnsi="仿宋" w:eastAsia="仿宋"/>
                <w:snapToGrid w:val="0"/>
                <w:kern w:val="0"/>
              </w:rPr>
              <w:t>中</w:t>
            </w:r>
            <w:r>
              <w:rPr>
                <w:rFonts w:hint="eastAsia" w:ascii="仿宋" w:hAnsi="仿宋" w:eastAsia="仿宋" w:cs="宋体"/>
                <w:snapToGrid w:val="0"/>
                <w:kern w:val="0"/>
              </w:rPr>
              <w:t>的较小值</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宿舍建筑</w:t>
            </w:r>
          </w:p>
        </w:tc>
        <w:tc>
          <w:tcPr>
            <w:tcW w:w="2693" w:type="dxa"/>
            <w:tcBorders>
              <w:top w:val="single" w:color="auto" w:sz="4" w:space="0"/>
              <w:left w:val="single" w:color="auto" w:sz="4" w:space="0"/>
              <w:bottom w:val="single" w:color="auto" w:sz="4"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户内</w:t>
            </w:r>
          </w:p>
        </w:tc>
        <w:tc>
          <w:tcPr>
            <w:tcW w:w="4130" w:type="dxa"/>
            <w:tcBorders>
              <w:top w:val="single" w:color="auto" w:sz="4" w:space="0"/>
              <w:bottom w:val="single" w:color="auto" w:sz="4" w:space="0"/>
              <w:right w:val="single" w:color="auto" w:sz="8"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阳台总投影面积≥</w:t>
            </w:r>
            <w:r>
              <w:rPr>
                <w:rFonts w:ascii="仿宋" w:hAnsi="仿宋" w:eastAsia="仿宋"/>
                <w:snapToGrid w:val="0"/>
                <w:kern w:val="0"/>
              </w:rPr>
              <w:t>6㎡</w:t>
            </w:r>
            <w:r>
              <w:rPr>
                <w:rFonts w:hint="eastAsia" w:ascii="仿宋" w:hAnsi="仿宋" w:eastAsia="仿宋"/>
                <w:snapToGrid w:val="0"/>
                <w:kern w:val="0"/>
              </w:rPr>
              <w:t>时，除阳台外户内建筑面积×</w:t>
            </w:r>
            <w:r>
              <w:rPr>
                <w:rFonts w:ascii="仿宋" w:hAnsi="仿宋" w:eastAsia="仿宋"/>
                <w:snapToGrid w:val="0"/>
                <w:kern w:val="0"/>
              </w:rPr>
              <w:t>15%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办公建筑</w:t>
            </w:r>
          </w:p>
        </w:tc>
        <w:tc>
          <w:tcPr>
            <w:tcW w:w="2693" w:type="dxa"/>
            <w:tcBorders>
              <w:top w:val="single" w:color="auto" w:sz="4" w:space="0"/>
              <w:left w:val="single" w:color="auto" w:sz="4" w:space="0"/>
              <w:bottom w:val="single" w:color="auto" w:sz="4"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不限</w:t>
            </w:r>
          </w:p>
        </w:tc>
        <w:tc>
          <w:tcPr>
            <w:tcW w:w="4130" w:type="dxa"/>
            <w:tcBorders>
              <w:top w:val="single" w:color="auto" w:sz="4" w:space="0"/>
              <w:bottom w:val="single" w:color="auto" w:sz="4" w:space="0"/>
              <w:right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本栋办公功能规定建筑面积×</w:t>
            </w:r>
            <w:r>
              <w:rPr>
                <w:rFonts w:ascii="仿宋" w:hAnsi="仿宋" w:eastAsia="仿宋"/>
                <w:snapToGrid w:val="0"/>
                <w:kern w:val="0"/>
              </w:rPr>
              <w:t>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36" w:type="dxa"/>
            <w:vMerge w:val="restart"/>
            <w:tcBorders>
              <w:top w:val="single" w:color="auto" w:sz="4" w:space="0"/>
              <w:left w:val="single" w:color="auto" w:sz="8" w:space="0"/>
              <w:bottom w:val="single" w:color="auto" w:sz="4" w:space="0"/>
              <w:right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商业建筑</w:t>
            </w:r>
          </w:p>
        </w:tc>
        <w:tc>
          <w:tcPr>
            <w:tcW w:w="1726" w:type="dxa"/>
            <w:tcBorders>
              <w:top w:val="single" w:color="auto" w:sz="4" w:space="0"/>
              <w:left w:val="single" w:color="auto" w:sz="2"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旅馆(酒店)</w:t>
            </w:r>
          </w:p>
        </w:tc>
        <w:tc>
          <w:tcPr>
            <w:tcW w:w="2693" w:type="dxa"/>
            <w:tcBorders>
              <w:top w:val="single" w:color="auto" w:sz="4" w:space="0"/>
              <w:left w:val="single" w:color="auto" w:sz="4"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不限</w:t>
            </w:r>
          </w:p>
        </w:tc>
        <w:tc>
          <w:tcPr>
            <w:tcW w:w="4130" w:type="dxa"/>
            <w:tcBorders>
              <w:top w:val="single" w:color="auto" w:sz="4" w:space="0"/>
              <w:bottom w:val="single" w:color="auto" w:sz="2" w:space="0"/>
              <w:right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本栋旅馆或酒店功能规定建筑面积×</w:t>
            </w:r>
            <w:r>
              <w:rPr>
                <w:rFonts w:ascii="仿宋" w:hAnsi="仿宋" w:eastAsia="仿宋"/>
                <w:snapToGrid w:val="0"/>
                <w:kern w:val="0"/>
              </w:rPr>
              <w:t>10%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36" w:type="dxa"/>
            <w:vMerge w:val="continue"/>
            <w:tcBorders>
              <w:top w:val="single" w:color="auto" w:sz="2" w:space="0"/>
              <w:left w:val="single" w:color="auto" w:sz="8" w:space="0"/>
              <w:bottom w:val="single" w:color="auto" w:sz="4" w:space="0"/>
              <w:right w:val="single" w:color="auto" w:sz="2" w:space="0"/>
            </w:tcBorders>
            <w:shd w:val="clear" w:color="auto" w:fill="auto"/>
            <w:vAlign w:val="center"/>
          </w:tcPr>
          <w:p>
            <w:pPr>
              <w:topLinePunct/>
              <w:snapToGrid w:val="0"/>
              <w:rPr>
                <w:rFonts w:ascii="仿宋" w:hAnsi="仿宋" w:eastAsia="仿宋"/>
                <w:snapToGrid w:val="0"/>
                <w:kern w:val="0"/>
              </w:rPr>
            </w:pPr>
          </w:p>
        </w:tc>
        <w:tc>
          <w:tcPr>
            <w:tcW w:w="1726" w:type="dxa"/>
            <w:tcBorders>
              <w:left w:val="single" w:color="auto" w:sz="2" w:space="0"/>
              <w:bottom w:val="single" w:color="auto" w:sz="4" w:space="0"/>
              <w:right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除旅馆(酒店)外</w:t>
            </w:r>
          </w:p>
        </w:tc>
        <w:tc>
          <w:tcPr>
            <w:tcW w:w="2693" w:type="dxa"/>
            <w:tcBorders>
              <w:top w:val="single" w:color="auto" w:sz="2" w:space="0"/>
              <w:left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不限</w:t>
            </w:r>
          </w:p>
        </w:tc>
        <w:tc>
          <w:tcPr>
            <w:tcW w:w="4130" w:type="dxa"/>
            <w:tcBorders>
              <w:top w:val="single" w:color="auto" w:sz="2" w:space="0"/>
              <w:bottom w:val="single" w:color="auto" w:sz="4" w:space="0"/>
              <w:right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本栋商业功能规定建筑面积×</w:t>
            </w:r>
            <w:r>
              <w:rPr>
                <w:rFonts w:ascii="仿宋" w:hAnsi="仿宋" w:eastAsia="仿宋"/>
                <w:snapToGrid w:val="0"/>
                <w:kern w:val="0"/>
              </w:rPr>
              <w:t>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topLinePunct/>
              <w:snapToGrid w:val="0"/>
              <w:rPr>
                <w:rFonts w:ascii="仿宋" w:hAnsi="仿宋" w:eastAsia="仿宋"/>
                <w:b/>
                <w:snapToGrid w:val="0"/>
                <w:kern w:val="0"/>
              </w:rPr>
            </w:pPr>
            <w:r>
              <w:rPr>
                <w:rFonts w:hint="eastAsia" w:ascii="仿宋" w:hAnsi="仿宋" w:eastAsia="仿宋"/>
                <w:snapToGrid w:val="0"/>
                <w:kern w:val="0"/>
              </w:rPr>
              <w:t>新型产业建筑</w:t>
            </w:r>
          </w:p>
        </w:tc>
        <w:tc>
          <w:tcPr>
            <w:tcW w:w="2693" w:type="dxa"/>
            <w:tcBorders>
              <w:top w:val="single" w:color="auto" w:sz="4" w:space="0"/>
              <w:left w:val="single" w:color="auto" w:sz="4" w:space="0"/>
              <w:bottom w:val="single" w:color="auto" w:sz="4"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不限</w:t>
            </w:r>
          </w:p>
        </w:tc>
        <w:tc>
          <w:tcPr>
            <w:tcW w:w="4130" w:type="dxa"/>
            <w:tcBorders>
              <w:top w:val="single" w:color="auto" w:sz="4" w:space="0"/>
              <w:bottom w:val="single" w:color="auto" w:sz="4" w:space="0"/>
              <w:right w:val="single" w:color="auto" w:sz="8"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本栋相应功能规定建筑面积×</w:t>
            </w:r>
            <w:r>
              <w:rPr>
                <w:rFonts w:ascii="仿宋" w:hAnsi="仿宋" w:eastAsia="仿宋"/>
                <w:snapToGrid w:val="0"/>
                <w:kern w:val="0"/>
              </w:rPr>
              <w:t>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55" w:type="dxa"/>
            <w:gridSpan w:val="3"/>
            <w:tcBorders>
              <w:top w:val="single" w:color="auto" w:sz="4" w:space="0"/>
              <w:left w:val="single" w:color="auto" w:sz="8" w:space="0"/>
              <w:bottom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非上述情形</w:t>
            </w:r>
          </w:p>
        </w:tc>
        <w:tc>
          <w:tcPr>
            <w:tcW w:w="4130" w:type="dxa"/>
            <w:tcBorders>
              <w:top w:val="single" w:color="auto" w:sz="4" w:space="0"/>
              <w:bottom w:val="single" w:color="auto" w:sz="8" w:space="0"/>
              <w:right w:val="single" w:color="auto" w:sz="8" w:space="0"/>
            </w:tcBorders>
            <w:shd w:val="clear" w:color="auto" w:fill="auto"/>
            <w:vAlign w:val="center"/>
          </w:tcPr>
          <w:p>
            <w:pPr>
              <w:topLinePunct/>
              <w:rPr>
                <w:rFonts w:ascii="仿宋" w:hAnsi="仿宋" w:eastAsia="仿宋"/>
                <w:snapToGrid w:val="0"/>
                <w:kern w:val="0"/>
              </w:rPr>
            </w:pPr>
            <w:r>
              <w:rPr>
                <w:rFonts w:hint="eastAsia" w:ascii="仿宋" w:hAnsi="仿宋" w:eastAsia="仿宋"/>
                <w:snapToGrid w:val="0"/>
                <w:kern w:val="0"/>
              </w:rPr>
              <w:t>0</w:t>
            </w:r>
          </w:p>
        </w:tc>
      </w:tr>
    </w:tbl>
    <w:p>
      <w:pPr>
        <w:spacing w:before="211" w:beforeLines="50"/>
        <w:rPr>
          <w:rFonts w:ascii="宋体" w:hAnsi="宋体"/>
          <w:b/>
          <w:snapToGrid w:val="0"/>
          <w:kern w:val="0"/>
        </w:rPr>
      </w:pPr>
      <w:r>
        <w:rPr>
          <w:rFonts w:ascii="宋体" w:hAnsi="宋体"/>
          <w:b/>
          <w:snapToGrid w:val="0"/>
          <w:kern w:val="0"/>
          <w:sz w:val="32"/>
          <w:szCs w:val="32"/>
        </w:rPr>
        <w:br w:type="page"/>
      </w:r>
      <w:r>
        <w:rPr>
          <w:rFonts w:hint="eastAsia" w:ascii="宋体" w:hAnsi="宋体"/>
          <w:b/>
          <w:snapToGrid w:val="0"/>
          <w:kern w:val="0"/>
          <w:sz w:val="32"/>
          <w:szCs w:val="32"/>
        </w:rPr>
        <w:t>附录B 建筑工程设计各阶段图纸基本内容及要求</w:t>
      </w:r>
    </w:p>
    <w:p>
      <w:pPr>
        <w:topLinePunct/>
        <w:snapToGrid w:val="0"/>
        <w:spacing w:before="211" w:beforeLines="50"/>
        <w:rPr>
          <w:rFonts w:ascii="宋体" w:hAnsi="宋体"/>
          <w:b/>
          <w:snapToGrid w:val="0"/>
          <w:kern w:val="0"/>
          <w:sz w:val="24"/>
          <w:szCs w:val="24"/>
        </w:rPr>
      </w:pPr>
      <w:r>
        <w:rPr>
          <w:rFonts w:hint="eastAsia" w:ascii="宋体" w:hAnsi="宋体"/>
          <w:b/>
          <w:snapToGrid w:val="0"/>
          <w:kern w:val="0"/>
          <w:sz w:val="24"/>
          <w:szCs w:val="24"/>
        </w:rPr>
        <w:t>B.0.1    建筑工程设计各阶段图纸一览表</w:t>
      </w:r>
    </w:p>
    <w:tbl>
      <w:tblPr>
        <w:tblStyle w:val="19"/>
        <w:tblW w:w="9191"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076"/>
        <w:gridCol w:w="5896"/>
        <w:gridCol w:w="680"/>
        <w:gridCol w:w="680"/>
        <w:gridCol w:w="853"/>
        <w:gridCol w:w="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vMerge w:val="restart"/>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序号</w:t>
            </w:r>
          </w:p>
        </w:tc>
        <w:tc>
          <w:tcPr>
            <w:tcW w:w="5896" w:type="dxa"/>
            <w:vMerge w:val="restart"/>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图纸名称</w:t>
            </w:r>
          </w:p>
        </w:tc>
        <w:tc>
          <w:tcPr>
            <w:tcW w:w="2213" w:type="dxa"/>
            <w:gridSpan w:val="3"/>
            <w:vAlign w:val="center"/>
          </w:tcPr>
          <w:p>
            <w:pPr>
              <w:topLinePunct/>
              <w:snapToGrid w:val="0"/>
              <w:jc w:val="center"/>
              <w:rPr>
                <w:rFonts w:ascii="宋体" w:hAnsi="宋体"/>
                <w:snapToGrid w:val="0"/>
                <w:kern w:val="0"/>
              </w:rPr>
            </w:pPr>
            <w:r>
              <w:rPr>
                <w:rFonts w:hint="eastAsia" w:ascii="宋体" w:hAnsi="宋体"/>
                <w:snapToGrid w:val="0"/>
                <w:kern w:val="0"/>
              </w:rPr>
              <w:t>设计阶段</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6" w:type="dxa"/>
            <w:vMerge w:val="continue"/>
            <w:shd w:val="clear" w:color="auto" w:fill="auto"/>
            <w:vAlign w:val="center"/>
          </w:tcPr>
          <w:p>
            <w:pPr>
              <w:topLinePunct/>
              <w:snapToGrid w:val="0"/>
              <w:jc w:val="center"/>
              <w:rPr>
                <w:rFonts w:ascii="宋体" w:hAnsi="宋体"/>
                <w:snapToGrid w:val="0"/>
                <w:kern w:val="0"/>
              </w:rPr>
            </w:pPr>
          </w:p>
        </w:tc>
        <w:tc>
          <w:tcPr>
            <w:tcW w:w="5896" w:type="dxa"/>
            <w:vMerge w:val="continue"/>
            <w:shd w:val="clear" w:color="auto" w:fill="auto"/>
            <w:vAlign w:val="center"/>
          </w:tcPr>
          <w:p>
            <w:pPr>
              <w:topLinePunct/>
              <w:snapToGrid w:val="0"/>
              <w:rPr>
                <w:rFonts w:ascii="宋体" w:hAnsi="宋体"/>
                <w:snapToGrid w:val="0"/>
                <w:kern w:val="0"/>
              </w:rPr>
            </w:pPr>
          </w:p>
        </w:tc>
        <w:tc>
          <w:tcPr>
            <w:tcW w:w="680" w:type="dxa"/>
            <w:vAlign w:val="center"/>
          </w:tcPr>
          <w:p>
            <w:pPr>
              <w:topLinePunct/>
              <w:snapToGrid w:val="0"/>
              <w:jc w:val="center"/>
              <w:rPr>
                <w:rFonts w:ascii="宋体" w:hAnsi="宋体"/>
                <w:snapToGrid w:val="0"/>
                <w:kern w:val="0"/>
              </w:rPr>
            </w:pPr>
            <w:r>
              <w:rPr>
                <w:rFonts w:hint="eastAsia" w:ascii="宋体" w:hAnsi="宋体"/>
                <w:snapToGrid w:val="0"/>
                <w:kern w:val="0"/>
              </w:rPr>
              <w:t>方案</w:t>
            </w:r>
          </w:p>
        </w:tc>
        <w:tc>
          <w:tcPr>
            <w:tcW w:w="680" w:type="dxa"/>
            <w:vAlign w:val="center"/>
          </w:tcPr>
          <w:p>
            <w:pPr>
              <w:topLinePunct/>
              <w:snapToGrid w:val="0"/>
              <w:jc w:val="center"/>
              <w:rPr>
                <w:rFonts w:ascii="宋体" w:hAnsi="宋体"/>
                <w:snapToGrid w:val="0"/>
                <w:kern w:val="0"/>
              </w:rPr>
            </w:pPr>
            <w:r>
              <w:rPr>
                <w:rFonts w:hint="eastAsia" w:ascii="宋体" w:hAnsi="宋体"/>
                <w:snapToGrid w:val="0"/>
                <w:kern w:val="0"/>
              </w:rPr>
              <w:t>初设</w:t>
            </w:r>
          </w:p>
        </w:tc>
        <w:tc>
          <w:tcPr>
            <w:tcW w:w="859" w:type="dxa"/>
            <w:gridSpan w:val="2"/>
            <w:vAlign w:val="center"/>
          </w:tcPr>
          <w:p>
            <w:pPr>
              <w:topLinePunct/>
              <w:snapToGrid w:val="0"/>
              <w:jc w:val="center"/>
              <w:rPr>
                <w:rFonts w:ascii="宋体" w:hAnsi="宋体"/>
                <w:snapToGrid w:val="0"/>
                <w:kern w:val="0"/>
              </w:rPr>
            </w:pPr>
            <w:r>
              <w:rPr>
                <w:rFonts w:hint="eastAsia" w:ascii="宋体" w:hAnsi="宋体"/>
                <w:snapToGrid w:val="0"/>
                <w:kern w:val="0"/>
              </w:rPr>
              <w:t>施工图</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1</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屋顶总平面</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2</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一层总平面及竖向设计图</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3</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核增建筑面积专篇</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4</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绿色建筑设计专篇</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5</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绿化设计专篇</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6</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消防总平面图（仅供参考）</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7</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人防总平面图（仅供参考）</w:t>
            </w:r>
          </w:p>
        </w:tc>
        <w:tc>
          <w:tcPr>
            <w:tcW w:w="680" w:type="dxa"/>
            <w:vAlign w:val="center"/>
          </w:tcPr>
          <w:p>
            <w:pPr>
              <w:topLinePunct/>
              <w:snapToGrid w:val="0"/>
              <w:jc w:val="center"/>
              <w:rPr>
                <w:rFonts w:ascii="仿宋" w:hAnsi="仿宋" w:eastAsia="仿宋"/>
                <w:snapToGrid w:val="0"/>
                <w:kern w:val="0"/>
              </w:rPr>
            </w:pP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8</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建筑平、立、剖面图</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9</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透视（含鸟瞰）彩色效果图</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10</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日照分析图</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11</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三维仿真模型数据的电子文件</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283" w:hRule="atLeast"/>
          <w:jc w:val="center"/>
        </w:trPr>
        <w:tc>
          <w:tcPr>
            <w:tcW w:w="1076" w:type="dxa"/>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12</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与上述图纸文件完全相同的电子文件</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r>
    </w:tbl>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B.0.2    </w:t>
      </w:r>
      <w:r>
        <w:rPr>
          <w:rFonts w:hint="eastAsia" w:ascii="宋体" w:hAnsi="宋体"/>
          <w:b/>
          <w:snapToGrid w:val="0"/>
          <w:kern w:val="0"/>
          <w:sz w:val="24"/>
          <w:szCs w:val="24"/>
        </w:rPr>
        <w:t>建筑工程设计各阶段图纸内容一览表</w:t>
      </w:r>
    </w:p>
    <w:tbl>
      <w:tblPr>
        <w:tblStyle w:val="19"/>
        <w:tblW w:w="9184"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075"/>
        <w:gridCol w:w="5896"/>
        <w:gridCol w:w="680"/>
        <w:gridCol w:w="680"/>
        <w:gridCol w:w="85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top w:val="single" w:color="auto" w:sz="8" w:space="0"/>
              <w:left w:val="single" w:color="auto" w:sz="8" w:space="0"/>
              <w:bottom w:val="single" w:color="auto" w:sz="2"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名称</w:t>
            </w:r>
          </w:p>
        </w:tc>
        <w:tc>
          <w:tcPr>
            <w:tcW w:w="5896" w:type="dxa"/>
            <w:vMerge w:val="restart"/>
            <w:tcBorders>
              <w:top w:val="single" w:color="auto" w:sz="8" w:space="0"/>
              <w:bottom w:val="single" w:color="auto" w:sz="2"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主要内容</w:t>
            </w:r>
          </w:p>
        </w:tc>
        <w:tc>
          <w:tcPr>
            <w:tcW w:w="2213" w:type="dxa"/>
            <w:gridSpan w:val="3"/>
            <w:tcBorders>
              <w:top w:val="single" w:color="auto" w:sz="8" w:space="0"/>
              <w:bottom w:val="single" w:color="auto" w:sz="2" w:space="0"/>
              <w:right w:val="single" w:color="auto" w:sz="8" w:space="0"/>
            </w:tcBorders>
            <w:vAlign w:val="center"/>
          </w:tcPr>
          <w:p>
            <w:pPr>
              <w:topLinePunct/>
              <w:snapToGrid w:val="0"/>
              <w:jc w:val="center"/>
              <w:rPr>
                <w:rFonts w:ascii="宋体" w:hAnsi="宋体"/>
                <w:snapToGrid w:val="0"/>
                <w:kern w:val="0"/>
              </w:rPr>
            </w:pPr>
            <w:r>
              <w:rPr>
                <w:rFonts w:hint="eastAsia" w:ascii="宋体" w:hAnsi="宋体"/>
                <w:snapToGrid w:val="0"/>
                <w:kern w:val="0"/>
              </w:rPr>
              <w:t>设计阶段</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宋体" w:hAnsi="宋体"/>
                <w:snapToGrid w:val="0"/>
                <w:kern w:val="0"/>
              </w:rPr>
            </w:pPr>
          </w:p>
        </w:tc>
        <w:tc>
          <w:tcPr>
            <w:tcW w:w="5896" w:type="dxa"/>
            <w:vMerge w:val="continue"/>
            <w:tcBorders>
              <w:top w:val="single" w:color="auto" w:sz="2" w:space="0"/>
              <w:bottom w:val="single" w:color="auto" w:sz="2" w:space="0"/>
            </w:tcBorders>
            <w:shd w:val="clear" w:color="auto" w:fill="auto"/>
            <w:vAlign w:val="center"/>
          </w:tcPr>
          <w:p>
            <w:pPr>
              <w:topLinePunct/>
              <w:snapToGrid w:val="0"/>
              <w:rPr>
                <w:rFonts w:ascii="宋体" w:hAnsi="宋体"/>
                <w:snapToGrid w:val="0"/>
                <w:kern w:val="0"/>
              </w:rPr>
            </w:pPr>
          </w:p>
        </w:tc>
        <w:tc>
          <w:tcPr>
            <w:tcW w:w="680" w:type="dxa"/>
            <w:tcBorders>
              <w:top w:val="single" w:color="auto" w:sz="2" w:space="0"/>
              <w:bottom w:val="single" w:color="auto" w:sz="2" w:space="0"/>
            </w:tcBorders>
            <w:vAlign w:val="center"/>
          </w:tcPr>
          <w:p>
            <w:pPr>
              <w:topLinePunct/>
              <w:snapToGrid w:val="0"/>
              <w:jc w:val="center"/>
              <w:rPr>
                <w:rFonts w:ascii="宋体" w:hAnsi="宋体"/>
                <w:snapToGrid w:val="0"/>
                <w:kern w:val="0"/>
              </w:rPr>
            </w:pPr>
            <w:r>
              <w:rPr>
                <w:rFonts w:hint="eastAsia" w:ascii="宋体" w:hAnsi="宋体"/>
                <w:snapToGrid w:val="0"/>
                <w:kern w:val="0"/>
              </w:rPr>
              <w:t>方案</w:t>
            </w:r>
          </w:p>
        </w:tc>
        <w:tc>
          <w:tcPr>
            <w:tcW w:w="680" w:type="dxa"/>
            <w:tcBorders>
              <w:top w:val="single" w:color="auto" w:sz="2" w:space="0"/>
              <w:bottom w:val="single" w:color="auto" w:sz="2" w:space="0"/>
            </w:tcBorders>
            <w:vAlign w:val="center"/>
          </w:tcPr>
          <w:p>
            <w:pPr>
              <w:topLinePunct/>
              <w:snapToGrid w:val="0"/>
              <w:jc w:val="center"/>
              <w:rPr>
                <w:rFonts w:ascii="宋体" w:hAnsi="宋体"/>
                <w:snapToGrid w:val="0"/>
                <w:kern w:val="0"/>
              </w:rPr>
            </w:pPr>
            <w:r>
              <w:rPr>
                <w:rFonts w:hint="eastAsia" w:ascii="宋体" w:hAnsi="宋体"/>
                <w:snapToGrid w:val="0"/>
                <w:kern w:val="0"/>
              </w:rPr>
              <w:t>初设</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施工图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top w:val="single" w:color="auto" w:sz="2" w:space="0"/>
              <w:left w:val="single" w:color="auto" w:sz="8"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屋顶总平面图</w:t>
            </w: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《建筑工程设计文件编制深度规定》要求。</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《深圳市建筑工程施工图设计文件编制深度规定》要求。</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拟建各建（构）筑物的两端控制轴线号及尺寸。</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拟建各建（构）筑物与用地红线的间距。</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幼儿园用地、工业厂区的办公生活用地及其它专项用地应清晰标明用地范围及用地面积。</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用地红线外周边至少</w:t>
            </w:r>
            <w:r>
              <w:rPr>
                <w:rFonts w:ascii="仿宋" w:hAnsi="仿宋" w:eastAsia="仿宋"/>
                <w:snapToGrid w:val="0"/>
                <w:kern w:val="0"/>
              </w:rPr>
              <w:t>50m</w:t>
            </w:r>
            <w:r>
              <w:rPr>
                <w:rFonts w:hint="eastAsia" w:ascii="仿宋" w:hAnsi="仿宋" w:eastAsia="仿宋"/>
                <w:snapToGrid w:val="0"/>
                <w:kern w:val="0"/>
              </w:rPr>
              <w:t>范围内的：地形及地貌；原有及规划道路的位置；主要现状建筑物和构筑物及地下建筑物的位置、名称、功能、层数、距用地红线的间距。</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分期建设项目应清晰标明各期用地范围，明确图示建（构）筑物的建设期数（图面表达应有明确区分），分别注明已报建范围、本次报建范围、未报建范围。</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主要技术经济指标表。</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一层总平面及竖向设计图</w:t>
            </w: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《建筑工程设计文件编制深度规定》要求。</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《深圳市建筑工程施工图设计文件编制深度规定》要求。</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p>
        </w:tc>
        <w:tc>
          <w:tcPr>
            <w:tcW w:w="680" w:type="dxa"/>
            <w:tcBorders>
              <w:top w:val="single" w:color="auto" w:sz="2" w:space="0"/>
              <w:bottom w:val="single" w:color="auto" w:sz="2" w:space="0"/>
            </w:tcBorders>
            <w:vAlign w:val="center"/>
          </w:tcPr>
          <w:p>
            <w:pPr>
              <w:topLinePunct/>
              <w:jc w:val="center"/>
              <w:rPr>
                <w:rFonts w:ascii="仿宋" w:hAnsi="仿宋" w:eastAsia="仿宋"/>
                <w:snapToGrid w:val="0"/>
                <w:kern w:val="0"/>
              </w:rPr>
            </w:pPr>
          </w:p>
        </w:tc>
        <w:tc>
          <w:tcPr>
            <w:tcW w:w="853" w:type="dxa"/>
            <w:tcBorders>
              <w:top w:val="single" w:color="auto" w:sz="2" w:space="0"/>
              <w:bottom w:val="single" w:color="auto" w:sz="2" w:space="0"/>
              <w:right w:val="single" w:color="auto" w:sz="8" w:space="0"/>
            </w:tcBorders>
            <w:shd w:val="clear" w:color="auto" w:fill="auto"/>
            <w:vAlign w:val="center"/>
          </w:tcPr>
          <w:p>
            <w:pPr>
              <w:topLinePunct/>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拟建各建（构）筑物的两端控制轴线号及尺寸。</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以虚线表示地下建（构）筑物外轮廓。</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拟建各建筑物定位坐标、各出入口位置及名称、室外地面标高。</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拟建各建</w:t>
            </w:r>
            <w:r>
              <w:rPr>
                <w:rFonts w:ascii="仿宋" w:hAnsi="仿宋" w:eastAsia="仿宋"/>
                <w:snapToGrid w:val="0"/>
                <w:kern w:val="0"/>
              </w:rPr>
              <w:t>(构)筑物相对设计标高±0.000对应的绝对标高。</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用地出入口处市政道路的现状标高或规划标高。</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周边相邻地块现状或规划确定标高</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用地出入口道路宽度、中心线与用地红线交点的坐标及设计标高。</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8" w:space="0"/>
            </w:tcBorders>
            <w:shd w:val="clear" w:color="auto" w:fill="auto"/>
            <w:vAlign w:val="center"/>
          </w:tcPr>
          <w:p>
            <w:pPr>
              <w:topLinePunct/>
              <w:snapToGrid w:val="0"/>
              <w:rPr>
                <w:rFonts w:ascii="仿宋" w:hAnsi="仿宋" w:eastAsia="仿宋"/>
                <w:snapToGrid w:val="0"/>
                <w:kern w:val="0"/>
              </w:rPr>
            </w:pPr>
          </w:p>
        </w:tc>
        <w:tc>
          <w:tcPr>
            <w:tcW w:w="5896" w:type="dxa"/>
            <w:tcBorders>
              <w:top w:val="single" w:color="auto" w:sz="2" w:space="0"/>
              <w:bottom w:val="single" w:color="auto" w:sz="8"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道路宽度、起终点及转折点的路面中心坐标、转弯半径。</w:t>
            </w:r>
          </w:p>
        </w:tc>
        <w:tc>
          <w:tcPr>
            <w:tcW w:w="680" w:type="dxa"/>
            <w:tcBorders>
              <w:top w:val="single" w:color="auto" w:sz="2" w:space="0"/>
              <w:bottom w:val="single" w:color="auto" w:sz="8"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tcBorders>
              <w:top w:val="single" w:color="auto" w:sz="2" w:space="0"/>
              <w:bottom w:val="single" w:color="auto" w:sz="8" w:space="0"/>
            </w:tcBorders>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top w:val="single" w:color="auto" w:sz="2" w:space="0"/>
              <w:bottom w:val="single" w:color="auto" w:sz="8"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r>
    </w:tbl>
    <w:p>
      <w:pPr>
        <w:spacing w:before="211" w:beforeLines="50"/>
      </w:pPr>
    </w:p>
    <w:tbl>
      <w:tblPr>
        <w:tblStyle w:val="19"/>
        <w:tblW w:w="9184"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075"/>
        <w:gridCol w:w="5896"/>
        <w:gridCol w:w="680"/>
        <w:gridCol w:w="680"/>
        <w:gridCol w:w="85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top w:val="single" w:color="auto" w:sz="8" w:space="0"/>
              <w:left w:val="single" w:color="auto" w:sz="8" w:space="0"/>
              <w:bottom w:val="single" w:color="auto" w:sz="2"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名称</w:t>
            </w:r>
          </w:p>
        </w:tc>
        <w:tc>
          <w:tcPr>
            <w:tcW w:w="5896" w:type="dxa"/>
            <w:vMerge w:val="restart"/>
            <w:tcBorders>
              <w:top w:val="single" w:color="auto" w:sz="8" w:space="0"/>
              <w:bottom w:val="single" w:color="auto" w:sz="2"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主要内容</w:t>
            </w:r>
          </w:p>
        </w:tc>
        <w:tc>
          <w:tcPr>
            <w:tcW w:w="2213" w:type="dxa"/>
            <w:gridSpan w:val="3"/>
            <w:tcBorders>
              <w:top w:val="single" w:color="auto" w:sz="8" w:space="0"/>
              <w:bottom w:val="single" w:color="auto" w:sz="2" w:space="0"/>
              <w:right w:val="single" w:color="auto" w:sz="8" w:space="0"/>
            </w:tcBorders>
            <w:vAlign w:val="center"/>
          </w:tcPr>
          <w:p>
            <w:pPr>
              <w:topLinePunct/>
              <w:snapToGrid w:val="0"/>
              <w:jc w:val="center"/>
              <w:rPr>
                <w:rFonts w:ascii="宋体" w:hAnsi="宋体"/>
                <w:snapToGrid w:val="0"/>
                <w:kern w:val="0"/>
              </w:rPr>
            </w:pPr>
            <w:r>
              <w:rPr>
                <w:rFonts w:hint="eastAsia" w:ascii="宋体" w:hAnsi="宋体"/>
                <w:snapToGrid w:val="0"/>
                <w:kern w:val="0"/>
              </w:rPr>
              <w:t>设计阶段</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top w:val="single" w:color="auto" w:sz="2" w:space="0"/>
              <w:left w:val="single" w:color="auto" w:sz="8" w:space="0"/>
              <w:bottom w:val="single" w:color="auto" w:sz="4" w:space="0"/>
            </w:tcBorders>
            <w:shd w:val="clear" w:color="auto" w:fill="auto"/>
            <w:vAlign w:val="center"/>
          </w:tcPr>
          <w:p>
            <w:pPr>
              <w:topLinePunct/>
              <w:snapToGrid w:val="0"/>
              <w:rPr>
                <w:rFonts w:ascii="宋体" w:hAnsi="宋体"/>
                <w:snapToGrid w:val="0"/>
                <w:kern w:val="0"/>
              </w:rPr>
            </w:pPr>
          </w:p>
        </w:tc>
        <w:tc>
          <w:tcPr>
            <w:tcW w:w="5896" w:type="dxa"/>
            <w:vMerge w:val="continue"/>
            <w:tcBorders>
              <w:top w:val="single" w:color="auto" w:sz="2" w:space="0"/>
              <w:bottom w:val="single" w:color="auto" w:sz="4" w:space="0"/>
            </w:tcBorders>
            <w:shd w:val="clear" w:color="auto" w:fill="auto"/>
            <w:vAlign w:val="center"/>
          </w:tcPr>
          <w:p>
            <w:pPr>
              <w:topLinePunct/>
              <w:snapToGrid w:val="0"/>
              <w:rPr>
                <w:rFonts w:ascii="宋体" w:hAnsi="宋体"/>
                <w:snapToGrid w:val="0"/>
                <w:kern w:val="0"/>
              </w:rPr>
            </w:pPr>
          </w:p>
        </w:tc>
        <w:tc>
          <w:tcPr>
            <w:tcW w:w="680" w:type="dxa"/>
            <w:tcBorders>
              <w:top w:val="single" w:color="auto" w:sz="2" w:space="0"/>
              <w:bottom w:val="single" w:color="auto" w:sz="4" w:space="0"/>
            </w:tcBorders>
            <w:vAlign w:val="center"/>
          </w:tcPr>
          <w:p>
            <w:pPr>
              <w:topLinePunct/>
              <w:snapToGrid w:val="0"/>
              <w:jc w:val="center"/>
              <w:rPr>
                <w:rFonts w:ascii="宋体" w:hAnsi="宋体"/>
                <w:snapToGrid w:val="0"/>
                <w:kern w:val="0"/>
              </w:rPr>
            </w:pPr>
            <w:r>
              <w:rPr>
                <w:rFonts w:hint="eastAsia" w:ascii="宋体" w:hAnsi="宋体"/>
                <w:snapToGrid w:val="0"/>
                <w:kern w:val="0"/>
              </w:rPr>
              <w:t>方案</w:t>
            </w:r>
          </w:p>
        </w:tc>
        <w:tc>
          <w:tcPr>
            <w:tcW w:w="680" w:type="dxa"/>
            <w:tcBorders>
              <w:top w:val="single" w:color="auto" w:sz="2" w:space="0"/>
              <w:bottom w:val="single" w:color="auto" w:sz="4" w:space="0"/>
            </w:tcBorders>
            <w:vAlign w:val="center"/>
          </w:tcPr>
          <w:p>
            <w:pPr>
              <w:topLinePunct/>
              <w:snapToGrid w:val="0"/>
              <w:jc w:val="center"/>
              <w:rPr>
                <w:rFonts w:ascii="宋体" w:hAnsi="宋体"/>
                <w:snapToGrid w:val="0"/>
                <w:kern w:val="0"/>
              </w:rPr>
            </w:pPr>
            <w:r>
              <w:rPr>
                <w:rFonts w:hint="eastAsia" w:ascii="宋体" w:hAnsi="宋体"/>
                <w:snapToGrid w:val="0"/>
                <w:kern w:val="0"/>
              </w:rPr>
              <w:t>初设</w:t>
            </w:r>
          </w:p>
        </w:tc>
        <w:tc>
          <w:tcPr>
            <w:tcW w:w="853" w:type="dxa"/>
            <w:tcBorders>
              <w:top w:val="single" w:color="auto" w:sz="2" w:space="0"/>
              <w:bottom w:val="single" w:color="auto" w:sz="4" w:space="0"/>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snapToGrid w:val="0"/>
                <w:kern w:val="0"/>
              </w:rPr>
              <w:t>施工图</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top w:val="single" w:color="auto" w:sz="4" w:space="0"/>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核增建筑面积专篇</w:t>
            </w:r>
          </w:p>
        </w:tc>
        <w:tc>
          <w:tcPr>
            <w:tcW w:w="5896" w:type="dxa"/>
            <w:tcBorders>
              <w:top w:val="single" w:color="auto" w:sz="4" w:space="0"/>
              <w:bottom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在设计说明中明确表述用地红线内所有作为核增的空间建筑面积的位置、范围、面积、功能等。</w:t>
            </w:r>
          </w:p>
        </w:tc>
        <w:tc>
          <w:tcPr>
            <w:tcW w:w="680" w:type="dxa"/>
            <w:tcBorders>
              <w:top w:val="single" w:color="auto" w:sz="4" w:space="0"/>
              <w:bottom w:val="single" w:color="auto" w:sz="2" w:space="0"/>
            </w:tcBorders>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tcBorders>
              <w:top w:val="single" w:color="auto" w:sz="4" w:space="0"/>
              <w:bottom w:val="single" w:color="auto" w:sz="2" w:space="0"/>
            </w:tcBorders>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tcBorders>
              <w:top w:val="single" w:color="auto" w:sz="4" w:space="0"/>
              <w:bottom w:val="single" w:color="auto" w:sz="2" w:space="0"/>
              <w:right w:val="single" w:color="auto" w:sz="8" w:space="0"/>
            </w:tcBorders>
            <w:shd w:val="clear" w:color="auto" w:fill="auto"/>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jc w:val="center"/>
              <w:rPr>
                <w:rFonts w:ascii="宋体" w:hAnsi="宋体"/>
                <w:snapToGrid w:val="0"/>
                <w:kern w:val="0"/>
              </w:rPr>
            </w:pPr>
          </w:p>
        </w:tc>
        <w:tc>
          <w:tcPr>
            <w:tcW w:w="5896" w:type="dxa"/>
            <w:tcBorders>
              <w:top w:val="single" w:color="auto" w:sz="2" w:space="0"/>
            </w:tcBorders>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在图纸文件中明确标识用地红线内所有作为核增的空间建筑面积的位置、范围、面积、功能等。</w:t>
            </w:r>
          </w:p>
        </w:tc>
        <w:tc>
          <w:tcPr>
            <w:tcW w:w="680" w:type="dxa"/>
            <w:tcBorders>
              <w:top w:val="single" w:color="auto" w:sz="2" w:space="0"/>
            </w:tcBorders>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tcBorders>
              <w:top w:val="single" w:color="auto" w:sz="2" w:space="0"/>
            </w:tcBorders>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tcBorders>
              <w:top w:val="single" w:color="auto" w:sz="2" w:space="0"/>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tcBorders>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绿色建筑设计专篇</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按照深圳市绿色建筑设计方案编制的相关要求。</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仿宋" w:hAnsi="仿宋" w:eastAsia="仿宋"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tcBorders>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绿化设计专篇</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明确标识用地红线内所有绿化用地的位置、范围、面积、覆土厚度等</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消防</w:t>
            </w:r>
          </w:p>
          <w:p>
            <w:pPr>
              <w:topLinePunct/>
              <w:snapToGrid w:val="0"/>
              <w:jc w:val="center"/>
              <w:rPr>
                <w:rFonts w:ascii="仿宋" w:hAnsi="仿宋" w:eastAsia="仿宋"/>
                <w:snapToGrid w:val="0"/>
                <w:kern w:val="0"/>
              </w:rPr>
            </w:pPr>
            <w:r>
              <w:rPr>
                <w:rFonts w:hint="eastAsia" w:ascii="仿宋" w:hAnsi="仿宋" w:eastAsia="仿宋"/>
                <w:snapToGrid w:val="0"/>
                <w:kern w:val="0"/>
              </w:rPr>
              <w:t>总平面图</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屋顶总平面图所含基本内容。</w:t>
            </w:r>
          </w:p>
        </w:tc>
        <w:tc>
          <w:tcPr>
            <w:tcW w:w="680" w:type="dxa"/>
            <w:vAlign w:val="center"/>
          </w:tcPr>
          <w:p>
            <w:pPr>
              <w:topLinePunct/>
              <w:snapToGrid w:val="0"/>
              <w:jc w:val="center"/>
              <w:rPr>
                <w:rFonts w:ascii="仿宋" w:hAnsi="仿宋" w:eastAsia="仿宋"/>
                <w:snapToGrid w:val="0"/>
                <w:kern w:val="0"/>
              </w:rPr>
            </w:pP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仿宋" w:hAnsi="仿宋" w:eastAsia="仿宋"/>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注明消防车道、消防车流线及相关竖向设计。</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仿宋" w:hAnsi="仿宋" w:eastAsia="仿宋"/>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需设消防登高面的拟建各建筑物应以粗虚线表示该建筑的消防登高面，以灰色阴影线注明消防登高场地及相关尺寸。</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tcBorders>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人防</w:t>
            </w:r>
          </w:p>
          <w:p>
            <w:pPr>
              <w:topLinePunct/>
              <w:snapToGrid w:val="0"/>
              <w:jc w:val="center"/>
              <w:rPr>
                <w:rFonts w:ascii="仿宋" w:hAnsi="仿宋" w:eastAsia="仿宋"/>
                <w:snapToGrid w:val="0"/>
                <w:kern w:val="0"/>
              </w:rPr>
            </w:pPr>
            <w:r>
              <w:rPr>
                <w:rFonts w:hint="eastAsia" w:ascii="仿宋" w:hAnsi="仿宋" w:eastAsia="仿宋"/>
                <w:snapToGrid w:val="0"/>
                <w:kern w:val="0"/>
              </w:rPr>
              <w:t>总平面图</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按人防设计相关要求。</w:t>
            </w:r>
          </w:p>
        </w:tc>
        <w:tc>
          <w:tcPr>
            <w:tcW w:w="680" w:type="dxa"/>
            <w:vAlign w:val="center"/>
          </w:tcPr>
          <w:p>
            <w:pPr>
              <w:topLinePunct/>
              <w:snapToGrid w:val="0"/>
              <w:jc w:val="center"/>
              <w:rPr>
                <w:rFonts w:ascii="仿宋" w:hAnsi="仿宋" w:eastAsia="仿宋"/>
                <w:snapToGrid w:val="0"/>
                <w:kern w:val="0"/>
              </w:rPr>
            </w:pP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restart"/>
            <w:tcBorders>
              <w:lef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各层</w:t>
            </w:r>
          </w:p>
          <w:p>
            <w:pPr>
              <w:topLinePunct/>
              <w:snapToGrid w:val="0"/>
              <w:jc w:val="center"/>
              <w:rPr>
                <w:rFonts w:ascii="仿宋" w:hAnsi="仿宋" w:eastAsia="仿宋"/>
                <w:snapToGrid w:val="0"/>
                <w:kern w:val="0"/>
              </w:rPr>
            </w:pPr>
            <w:r>
              <w:rPr>
                <w:rFonts w:hint="eastAsia" w:ascii="仿宋" w:hAnsi="仿宋" w:eastAsia="仿宋"/>
                <w:snapToGrid w:val="0"/>
                <w:kern w:val="0"/>
              </w:rPr>
              <w:t>平面图</w:t>
            </w: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《建筑工程设计文件编制深度规定》要求。</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宋体" w:hAnsi="宋体"/>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《深圳市施工图设计文件编制深度规定》要求。</w:t>
            </w:r>
          </w:p>
        </w:tc>
        <w:tc>
          <w:tcPr>
            <w:tcW w:w="680" w:type="dxa"/>
            <w:vAlign w:val="center"/>
          </w:tcPr>
          <w:p>
            <w:pPr>
              <w:topLinePunct/>
              <w:snapToGrid w:val="0"/>
              <w:jc w:val="center"/>
              <w:rPr>
                <w:rFonts w:ascii="仿宋" w:hAnsi="仿宋" w:eastAsia="仿宋"/>
                <w:snapToGrid w:val="0"/>
                <w:kern w:val="0"/>
              </w:rPr>
            </w:pPr>
          </w:p>
        </w:tc>
        <w:tc>
          <w:tcPr>
            <w:tcW w:w="680" w:type="dxa"/>
            <w:vAlign w:val="center"/>
          </w:tcPr>
          <w:p>
            <w:pPr>
              <w:topLinePunct/>
              <w:snapToGrid w:val="0"/>
              <w:jc w:val="center"/>
              <w:rPr>
                <w:rFonts w:ascii="仿宋" w:hAnsi="仿宋" w:eastAsia="仿宋"/>
                <w:snapToGrid w:val="0"/>
                <w:kern w:val="0"/>
              </w:rPr>
            </w:pP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宋体" w:hAnsi="宋体"/>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涉及本规则控制部分需列出其范围、名称、面积、比例等。</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宋体" w:hAnsi="宋体"/>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ascii="仿宋" w:hAnsi="仿宋" w:eastAsia="仿宋"/>
                <w:snapToGrid w:val="0"/>
                <w:kern w:val="0"/>
              </w:rPr>
              <w:t>该层核增建筑面积的范围、功能和数量。</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75" w:type="dxa"/>
            <w:vMerge w:val="continue"/>
            <w:tcBorders>
              <w:left w:val="single" w:color="auto" w:sz="8" w:space="0"/>
            </w:tcBorders>
            <w:shd w:val="clear" w:color="auto" w:fill="auto"/>
            <w:vAlign w:val="center"/>
          </w:tcPr>
          <w:p>
            <w:pPr>
              <w:topLinePunct/>
              <w:snapToGrid w:val="0"/>
              <w:rPr>
                <w:rFonts w:ascii="宋体" w:hAnsi="宋体"/>
                <w:snapToGrid w:val="0"/>
                <w:kern w:val="0"/>
              </w:rPr>
            </w:pPr>
          </w:p>
        </w:tc>
        <w:tc>
          <w:tcPr>
            <w:tcW w:w="5896" w:type="dxa"/>
            <w:shd w:val="clear" w:color="auto" w:fill="auto"/>
            <w:vAlign w:val="center"/>
          </w:tcPr>
          <w:p>
            <w:pPr>
              <w:topLinePunct/>
              <w:snapToGrid w:val="0"/>
              <w:rPr>
                <w:rFonts w:ascii="仿宋" w:hAnsi="仿宋" w:eastAsia="仿宋"/>
                <w:snapToGrid w:val="0"/>
                <w:kern w:val="0"/>
              </w:rPr>
            </w:pPr>
            <w:r>
              <w:rPr>
                <w:rFonts w:hint="eastAsia" w:ascii="仿宋" w:hAnsi="仿宋" w:eastAsia="仿宋"/>
                <w:snapToGrid w:val="0"/>
                <w:kern w:val="0"/>
              </w:rPr>
              <w:t>电子文件中应对涉及本规定控制部分设置相应的图层。</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680" w:type="dxa"/>
            <w:vAlign w:val="center"/>
          </w:tcPr>
          <w:p>
            <w:pPr>
              <w:topLinePunct/>
              <w:snapToGrid w:val="0"/>
              <w:jc w:val="center"/>
              <w:rPr>
                <w:rFonts w:ascii="仿宋" w:hAnsi="仿宋" w:eastAsia="仿宋" w:cs="Times New Roman"/>
                <w:snapToGrid w:val="0"/>
                <w:kern w:val="0"/>
              </w:rPr>
            </w:pPr>
            <w:r>
              <w:rPr>
                <w:rFonts w:hint="eastAsia" w:ascii="仿宋" w:hAnsi="仿宋" w:eastAsia="仿宋" w:cs="Times New Roman"/>
                <w:snapToGrid w:val="0"/>
                <w:kern w:val="0"/>
              </w:rPr>
              <w:t>●</w:t>
            </w:r>
          </w:p>
        </w:tc>
        <w:tc>
          <w:tcPr>
            <w:tcW w:w="853" w:type="dxa"/>
            <w:tcBorders>
              <w:right w:val="single" w:color="auto" w:sz="8" w:space="0"/>
            </w:tcBorders>
            <w:shd w:val="clear" w:color="auto" w:fill="auto"/>
            <w:vAlign w:val="center"/>
          </w:tcPr>
          <w:p>
            <w:pPr>
              <w:topLinePunct/>
              <w:snapToGrid w:val="0"/>
              <w:jc w:val="center"/>
              <w:rPr>
                <w:rFonts w:ascii="宋体" w:hAnsi="宋体" w:cs="Times New Roman"/>
                <w:snapToGrid w:val="0"/>
                <w:kern w:val="0"/>
              </w:rPr>
            </w:pPr>
            <w:r>
              <w:rPr>
                <w:rFonts w:hint="eastAsia" w:ascii="宋体" w:hAnsi="宋体" w:cs="Times New Roman"/>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9184" w:type="dxa"/>
            <w:gridSpan w:val="5"/>
            <w:tcBorders>
              <w:left w:val="single" w:color="auto" w:sz="8" w:space="0"/>
              <w:bottom w:val="single" w:color="auto" w:sz="8" w:space="0"/>
              <w:right w:val="single" w:color="auto" w:sz="8" w:space="0"/>
            </w:tcBorders>
            <w:vAlign w:val="center"/>
          </w:tcPr>
          <w:p>
            <w:pPr>
              <w:topLinePunct/>
              <w:snapToGrid w:val="0"/>
              <w:rPr>
                <w:rFonts w:ascii="仿宋" w:hAnsi="仿宋" w:eastAsia="仿宋"/>
                <w:snapToGrid w:val="0"/>
                <w:kern w:val="0"/>
              </w:rPr>
            </w:pPr>
            <w:r>
              <w:rPr>
                <w:rFonts w:hint="eastAsia" w:ascii="仿宋" w:hAnsi="仿宋" w:eastAsia="仿宋"/>
                <w:snapToGrid w:val="0"/>
                <w:kern w:val="0"/>
              </w:rPr>
              <w:t>建筑立面图、剖面图、透视图，按建设部《建筑工程设计文件编制深度规定》要求的内容。施工图阶段按《深圳市施工图设计文件编制深度规定》要求的内容。</w:t>
            </w:r>
          </w:p>
        </w:tc>
      </w:tr>
    </w:tbl>
    <w:p>
      <w:pPr>
        <w:widowControl/>
        <w:jc w:val="left"/>
        <w:rPr>
          <w:rFonts w:ascii="宋体" w:hAnsi="宋体"/>
          <w:b/>
          <w:snapToGrid w:val="0"/>
          <w:kern w:val="0"/>
        </w:rPr>
      </w:pPr>
      <w:r>
        <w:rPr>
          <w:rFonts w:hint="eastAsia" w:ascii="仿宋" w:hAnsi="仿宋" w:eastAsia="仿宋"/>
          <w:snapToGrid w:val="0"/>
          <w:kern w:val="0"/>
        </w:rPr>
        <w:t>表中</w:t>
      </w:r>
      <w:r>
        <w:rPr>
          <w:rFonts w:hint="eastAsia" w:ascii="仿宋" w:hAnsi="仿宋" w:eastAsia="仿宋" w:cs="Times New Roman"/>
          <w:snapToGrid w:val="0"/>
          <w:kern w:val="0"/>
        </w:rPr>
        <w:t>●为必须满足的要求，○为按实际需要应满足的要求。</w:t>
      </w:r>
      <w:r>
        <w:rPr>
          <w:rFonts w:ascii="宋体" w:hAnsi="宋体"/>
          <w:b/>
          <w:snapToGrid w:val="0"/>
          <w:kern w:val="0"/>
        </w:rPr>
        <w:br w:type="page"/>
      </w:r>
    </w:p>
    <w:p>
      <w:pPr>
        <w:widowControl/>
        <w:jc w:val="left"/>
        <w:rPr>
          <w:rFonts w:ascii="宋体" w:hAnsi="宋体"/>
          <w:b/>
          <w:snapToGrid w:val="0"/>
          <w:kern w:val="0"/>
        </w:rPr>
      </w:pPr>
      <w:r>
        <w:rPr>
          <w:rFonts w:hint="eastAsia" w:ascii="宋体" w:hAnsi="宋体"/>
          <w:b/>
          <w:snapToGrid w:val="0"/>
          <w:kern w:val="0"/>
          <w:sz w:val="32"/>
          <w:szCs w:val="32"/>
        </w:rPr>
        <w:t>附录</w:t>
      </w:r>
      <w:r>
        <w:rPr>
          <w:rFonts w:ascii="宋体" w:hAnsi="宋体"/>
          <w:b/>
          <w:snapToGrid w:val="0"/>
          <w:kern w:val="0"/>
          <w:sz w:val="32"/>
          <w:szCs w:val="32"/>
        </w:rPr>
        <w:t xml:space="preserve">C </w:t>
      </w:r>
      <w:r>
        <w:rPr>
          <w:rFonts w:hint="eastAsia" w:ascii="宋体" w:hAnsi="宋体"/>
          <w:b/>
          <w:snapToGrid w:val="0"/>
          <w:kern w:val="0"/>
          <w:sz w:val="32"/>
          <w:szCs w:val="32"/>
        </w:rPr>
        <w:t>主要技术经济指标表</w:t>
      </w:r>
    </w:p>
    <w:p>
      <w:pPr>
        <w:widowControl/>
        <w:spacing w:before="211" w:beforeLines="50"/>
        <w:jc w:val="left"/>
        <w:rPr>
          <w:rFonts w:ascii="宋体" w:hAnsi="宋体"/>
          <w:b/>
          <w:snapToGrid w:val="0"/>
          <w:kern w:val="0"/>
          <w:sz w:val="24"/>
          <w:szCs w:val="24"/>
        </w:rPr>
      </w:pPr>
      <w:r>
        <w:rPr>
          <w:rFonts w:ascii="宋体" w:hAnsi="宋体"/>
          <w:b/>
          <w:snapToGrid w:val="0"/>
          <w:kern w:val="0"/>
          <w:sz w:val="24"/>
          <w:szCs w:val="24"/>
        </w:rPr>
        <w:t xml:space="preserve">C.0.1    </w:t>
      </w:r>
      <w:r>
        <w:rPr>
          <w:rFonts w:hint="eastAsia" w:ascii="宋体" w:hAnsi="宋体"/>
          <w:b/>
          <w:snapToGrid w:val="0"/>
          <w:kern w:val="0"/>
          <w:sz w:val="24"/>
          <w:szCs w:val="24"/>
        </w:rPr>
        <w:t>主要技术经济指标表</w:t>
      </w:r>
    </w:p>
    <w:tbl>
      <w:tblPr>
        <w:tblStyle w:val="19"/>
        <w:tblW w:w="9797"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945"/>
        <w:gridCol w:w="1080"/>
        <w:gridCol w:w="199"/>
        <w:gridCol w:w="226"/>
        <w:gridCol w:w="1378"/>
        <w:gridCol w:w="708"/>
        <w:gridCol w:w="1276"/>
        <w:gridCol w:w="783"/>
        <w:gridCol w:w="1067"/>
        <w:gridCol w:w="29"/>
        <w:gridCol w:w="1036"/>
        <w:gridCol w:w="1062"/>
        <w:gridCol w:w="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797" w:type="dxa"/>
            <w:gridSpan w:val="13"/>
            <w:tcBorders>
              <w:top w:val="single" w:color="auto" w:sz="8" w:space="0"/>
              <w:left w:val="single" w:color="auto" w:sz="8" w:space="0"/>
              <w:bottom w:val="single" w:color="auto" w:sz="2" w:space="0"/>
              <w:right w:val="single" w:color="auto" w:sz="8" w:space="0"/>
            </w:tcBorders>
          </w:tcPr>
          <w:p>
            <w:pPr>
              <w:topLinePunct/>
              <w:snapToGrid w:val="0"/>
              <w:jc w:val="left"/>
              <w:rPr>
                <w:rFonts w:ascii="仿宋" w:hAnsi="仿宋" w:eastAsia="仿宋"/>
                <w:snapToGrid w:val="0"/>
                <w:kern w:val="0"/>
              </w:rPr>
            </w:pPr>
            <w:r>
              <w:rPr>
                <w:rFonts w:hint="eastAsia" w:ascii="仿宋" w:hAnsi="仿宋" w:eastAsia="仿宋"/>
                <w:snapToGrid w:val="0"/>
                <w:kern w:val="0"/>
              </w:rPr>
              <w:t>一、项目概况</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025" w:type="dxa"/>
            <w:gridSpan w:val="2"/>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项目名称</w:t>
            </w:r>
          </w:p>
        </w:tc>
        <w:tc>
          <w:tcPr>
            <w:tcW w:w="2511" w:type="dxa"/>
            <w:gridSpan w:val="4"/>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276"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用地单位</w:t>
            </w:r>
          </w:p>
        </w:tc>
        <w:tc>
          <w:tcPr>
            <w:tcW w:w="3985" w:type="dxa"/>
            <w:gridSpan w:val="6"/>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025" w:type="dxa"/>
            <w:gridSpan w:val="2"/>
            <w:tcBorders>
              <w:top w:val="single" w:color="auto" w:sz="2" w:space="0"/>
              <w:left w:val="single" w:color="auto" w:sz="8"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宗地号/宗地代码</w:t>
            </w:r>
          </w:p>
        </w:tc>
        <w:tc>
          <w:tcPr>
            <w:tcW w:w="2511" w:type="dxa"/>
            <w:gridSpan w:val="4"/>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276"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用地位置</w:t>
            </w:r>
          </w:p>
        </w:tc>
        <w:tc>
          <w:tcPr>
            <w:tcW w:w="3985" w:type="dxa"/>
            <w:gridSpan w:val="6"/>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797" w:type="dxa"/>
            <w:gridSpan w:val="13"/>
            <w:tcBorders>
              <w:top w:val="single" w:color="auto" w:sz="2" w:space="0"/>
              <w:left w:val="single" w:color="auto" w:sz="8" w:space="0"/>
              <w:bottom w:val="single" w:color="auto" w:sz="2" w:space="0"/>
              <w:right w:val="single" w:color="auto" w:sz="8" w:space="0"/>
            </w:tcBorders>
          </w:tcPr>
          <w:p>
            <w:pPr>
              <w:topLinePunct/>
              <w:snapToGrid w:val="0"/>
              <w:jc w:val="left"/>
              <w:rPr>
                <w:rFonts w:ascii="仿宋" w:hAnsi="仿宋" w:eastAsia="仿宋"/>
                <w:snapToGrid w:val="0"/>
                <w:kern w:val="0"/>
              </w:rPr>
            </w:pPr>
            <w:r>
              <w:rPr>
                <w:rFonts w:hint="eastAsia" w:ascii="仿宋" w:hAnsi="仿宋" w:eastAsia="仿宋"/>
                <w:snapToGrid w:val="0"/>
                <w:kern w:val="0"/>
              </w:rPr>
              <w:t>二、主要技术经济指标</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建设用地面积</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 xml:space="preserve">             ㎡</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总建筑面积</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容积率</w:t>
            </w:r>
            <w:r>
              <w:rPr>
                <w:rFonts w:ascii="仿宋" w:hAnsi="仿宋" w:eastAsia="仿宋"/>
                <w:snapToGrid w:val="0"/>
                <w:kern w:val="0"/>
              </w:rPr>
              <w:t>/规定容积率</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 xml:space="preserve">        </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计容积率建筑面积</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地上规定建筑面积</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 xml:space="preserve">      ㎡</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不计容积率建筑面积</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地下规定建筑面积</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地上核减建筑面积</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地上核增建筑面积</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地下核减建筑面积</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地下核增建筑面积</w:t>
            </w:r>
          </w:p>
        </w:tc>
        <w:tc>
          <w:tcPr>
            <w:tcW w:w="2086" w:type="dxa"/>
            <w:gridSpan w:val="2"/>
            <w:tcBorders>
              <w:top w:val="single" w:color="auto" w:sz="2" w:space="0"/>
              <w:bottom w:val="single" w:color="auto" w:sz="2"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c>
          <w:tcPr>
            <w:tcW w:w="3155" w:type="dxa"/>
            <w:gridSpan w:val="4"/>
            <w:tcBorders>
              <w:top w:val="single" w:color="auto" w:sz="2"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建筑覆盖率</w:t>
            </w:r>
            <w:r>
              <w:rPr>
                <w:rFonts w:ascii="仿宋" w:hAnsi="仿宋" w:eastAsia="仿宋"/>
                <w:snapToGrid w:val="0"/>
                <w:kern w:val="0"/>
              </w:rPr>
              <w:t>(</w:t>
            </w:r>
            <w:r>
              <w:rPr>
                <w:rFonts w:hint="eastAsia" w:ascii="仿宋" w:hAnsi="仿宋" w:eastAsia="仿宋"/>
                <w:snapToGrid w:val="0"/>
                <w:kern w:val="0"/>
              </w:rPr>
              <w:t>一</w:t>
            </w:r>
            <w:r>
              <w:rPr>
                <w:rFonts w:ascii="仿宋" w:hAnsi="仿宋" w:eastAsia="仿宋"/>
                <w:snapToGrid w:val="0"/>
                <w:kern w:val="0"/>
              </w:rPr>
              <w:t>/二级)</w:t>
            </w:r>
          </w:p>
        </w:tc>
        <w:tc>
          <w:tcPr>
            <w:tcW w:w="2106" w:type="dxa"/>
            <w:gridSpan w:val="3"/>
            <w:tcBorders>
              <w:top w:val="single" w:color="auto" w:sz="2" w:space="0"/>
              <w:bottom w:val="single" w:color="auto" w:sz="2" w:space="0"/>
              <w:right w:val="single" w:color="auto" w:sz="8" w:space="0"/>
            </w:tcBorders>
            <w:shd w:val="clear" w:color="auto" w:fill="auto"/>
            <w:vAlign w:val="center"/>
          </w:tcPr>
          <w:p>
            <w:pPr>
              <w:topLinePunct/>
              <w:snapToGrid w:val="0"/>
              <w:jc w:val="right"/>
              <w:rPr>
                <w:rFonts w:ascii="仿宋" w:hAnsi="仿宋" w:eastAsia="仿宋"/>
                <w:snapToGrid w:val="0"/>
                <w:kern w:val="0"/>
              </w:rPr>
            </w:pPr>
            <w:r>
              <w:rPr>
                <w:rFonts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最大层数</w:t>
            </w:r>
            <w:r>
              <w:rPr>
                <w:rFonts w:ascii="仿宋" w:hAnsi="仿宋" w:eastAsia="仿宋"/>
                <w:snapToGrid w:val="0"/>
                <w:kern w:val="0"/>
              </w:rPr>
              <w:t>(地上/下)</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hint="eastAsia" w:ascii="仿宋" w:hAnsi="仿宋" w:eastAsia="仿宋"/>
                <w:snapToGrid w:val="0"/>
                <w:kern w:val="0"/>
              </w:rPr>
              <w:t>层</w:t>
            </w:r>
          </w:p>
        </w:tc>
        <w:tc>
          <w:tcPr>
            <w:tcW w:w="3155" w:type="dxa"/>
            <w:gridSpan w:val="4"/>
            <w:tcBorders>
              <w:top w:val="single" w:color="auto" w:sz="2"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建筑基底面积</w:t>
            </w:r>
          </w:p>
        </w:tc>
        <w:tc>
          <w:tcPr>
            <w:tcW w:w="2106" w:type="dxa"/>
            <w:gridSpan w:val="3"/>
            <w:tcBorders>
              <w:top w:val="single" w:color="auto" w:sz="2" w:space="0"/>
              <w:bottom w:val="single" w:color="auto" w:sz="2" w:space="0"/>
              <w:right w:val="single" w:color="auto" w:sz="8"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建筑最高高度</w:t>
            </w:r>
          </w:p>
        </w:tc>
        <w:tc>
          <w:tcPr>
            <w:tcW w:w="2086" w:type="dxa"/>
            <w:gridSpan w:val="2"/>
            <w:tcBorders>
              <w:top w:val="single" w:color="auto" w:sz="2" w:space="0"/>
              <w:bottom w:val="single" w:color="auto" w:sz="2"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m</w:t>
            </w:r>
          </w:p>
        </w:tc>
        <w:tc>
          <w:tcPr>
            <w:tcW w:w="3155" w:type="dxa"/>
            <w:gridSpan w:val="4"/>
            <w:tcBorders>
              <w:top w:val="single" w:color="auto" w:sz="2"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机动车停车位(地上/下)</w:t>
            </w:r>
          </w:p>
        </w:tc>
        <w:tc>
          <w:tcPr>
            <w:tcW w:w="2106" w:type="dxa"/>
            <w:gridSpan w:val="3"/>
            <w:tcBorders>
              <w:top w:val="single" w:color="auto" w:sz="2" w:space="0"/>
              <w:bottom w:val="single" w:color="auto" w:sz="2" w:space="0"/>
              <w:right w:val="single" w:color="auto" w:sz="8"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辆</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绿化覆盖率</w:t>
            </w:r>
          </w:p>
        </w:tc>
        <w:tc>
          <w:tcPr>
            <w:tcW w:w="2086" w:type="dxa"/>
            <w:gridSpan w:val="2"/>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r>
              <w:rPr>
                <w:rFonts w:ascii="仿宋" w:hAnsi="仿宋" w:eastAsia="仿宋"/>
                <w:snapToGrid w:val="0"/>
                <w:kern w:val="0"/>
              </w:rPr>
              <w:t>%</w:t>
            </w:r>
          </w:p>
        </w:tc>
        <w:tc>
          <w:tcPr>
            <w:tcW w:w="3155" w:type="dxa"/>
            <w:gridSpan w:val="4"/>
            <w:tcBorders>
              <w:top w:val="single" w:color="auto" w:sz="2"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非机动车停车位(地上/下)</w:t>
            </w:r>
          </w:p>
        </w:tc>
        <w:tc>
          <w:tcPr>
            <w:tcW w:w="2106" w:type="dxa"/>
            <w:gridSpan w:val="3"/>
            <w:tcBorders>
              <w:top w:val="single" w:color="auto" w:sz="2" w:space="0"/>
              <w:bottom w:val="single" w:color="auto" w:sz="2" w:space="0"/>
              <w:right w:val="single" w:color="auto" w:sz="8"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辆</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50" w:type="dxa"/>
            <w:gridSpan w:val="4"/>
            <w:tcBorders>
              <w:top w:val="single" w:color="auto" w:sz="2" w:space="0"/>
              <w:left w:val="single" w:color="auto" w:sz="8" w:space="0"/>
              <w:bottom w:val="single" w:color="auto" w:sz="2"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绿地面积</w:t>
            </w:r>
            <w:r>
              <w:rPr>
                <w:rFonts w:ascii="仿宋" w:hAnsi="仿宋" w:eastAsia="仿宋"/>
                <w:snapToGrid w:val="0"/>
                <w:kern w:val="0"/>
              </w:rPr>
              <w:t>/</w:t>
            </w:r>
            <w:r>
              <w:rPr>
                <w:rFonts w:hint="eastAsia" w:ascii="仿宋" w:hAnsi="仿宋" w:eastAsia="仿宋"/>
                <w:snapToGrid w:val="0"/>
                <w:kern w:val="0"/>
              </w:rPr>
              <w:t>折算绿地面积</w:t>
            </w:r>
          </w:p>
        </w:tc>
        <w:tc>
          <w:tcPr>
            <w:tcW w:w="2086" w:type="dxa"/>
            <w:gridSpan w:val="2"/>
            <w:tcBorders>
              <w:top w:val="single" w:color="auto" w:sz="2" w:space="0"/>
              <w:bottom w:val="single" w:color="auto" w:sz="2" w:space="0"/>
            </w:tcBorders>
            <w:shd w:val="clear" w:color="auto" w:fill="auto"/>
          </w:tcPr>
          <w:p>
            <w:pPr>
              <w:topLinePunct/>
              <w:snapToGrid w:val="0"/>
              <w:jc w:val="right"/>
              <w:rPr>
                <w:rFonts w:ascii="仿宋" w:hAnsi="仿宋" w:eastAsia="仿宋"/>
                <w:snapToGrid w:val="0"/>
                <w:kern w:val="0"/>
              </w:rPr>
            </w:pPr>
            <w:r>
              <w:rPr>
                <w:rFonts w:hint="eastAsia" w:ascii="仿宋" w:hAnsi="仿宋" w:eastAsia="仿宋"/>
                <w:snapToGrid w:val="0"/>
                <w:kern w:val="0"/>
              </w:rPr>
              <w:t xml:space="preserve"> ㎡</w:t>
            </w:r>
          </w:p>
        </w:tc>
        <w:tc>
          <w:tcPr>
            <w:tcW w:w="3155" w:type="dxa"/>
            <w:gridSpan w:val="4"/>
            <w:tcBorders>
              <w:top w:val="single" w:color="auto" w:sz="2" w:space="0"/>
              <w:bottom w:val="single" w:color="auto" w:sz="2" w:space="0"/>
            </w:tcBorders>
            <w:shd w:val="clear" w:color="auto" w:fill="auto"/>
          </w:tcPr>
          <w:p>
            <w:pPr>
              <w:topLinePunct/>
              <w:snapToGrid w:val="0"/>
              <w:jc w:val="left"/>
              <w:rPr>
                <w:rFonts w:ascii="仿宋" w:hAnsi="仿宋" w:eastAsia="仿宋"/>
                <w:snapToGrid w:val="0"/>
                <w:kern w:val="0"/>
              </w:rPr>
            </w:pPr>
          </w:p>
        </w:tc>
        <w:tc>
          <w:tcPr>
            <w:tcW w:w="2106" w:type="dxa"/>
            <w:gridSpan w:val="3"/>
            <w:tcBorders>
              <w:top w:val="single" w:color="auto" w:sz="2" w:space="0"/>
              <w:bottom w:val="single" w:color="auto" w:sz="2" w:space="0"/>
              <w:right w:val="single" w:color="auto" w:sz="8" w:space="0"/>
            </w:tcBorders>
            <w:shd w:val="clear" w:color="auto" w:fill="auto"/>
          </w:tcPr>
          <w:p>
            <w:pPr>
              <w:topLinePunct/>
              <w:snapToGrid w:val="0"/>
              <w:jc w:val="right"/>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797" w:type="dxa"/>
            <w:gridSpan w:val="13"/>
            <w:tcBorders>
              <w:top w:val="single" w:color="auto" w:sz="2" w:space="0"/>
              <w:left w:val="single" w:color="auto" w:sz="8" w:space="0"/>
              <w:bottom w:val="single" w:color="auto" w:sz="2" w:space="0"/>
              <w:right w:val="single" w:color="auto" w:sz="8" w:space="0"/>
            </w:tcBorders>
          </w:tcPr>
          <w:p>
            <w:pPr>
              <w:topLinePunct/>
              <w:snapToGrid w:val="0"/>
              <w:jc w:val="left"/>
              <w:rPr>
                <w:rFonts w:ascii="仿宋" w:hAnsi="仿宋" w:eastAsia="仿宋"/>
                <w:snapToGrid w:val="0"/>
                <w:kern w:val="0"/>
              </w:rPr>
            </w:pPr>
            <w:r>
              <w:rPr>
                <w:rFonts w:hint="eastAsia" w:ascii="仿宋" w:hAnsi="仿宋" w:eastAsia="仿宋"/>
                <w:snapToGrid w:val="0"/>
                <w:kern w:val="0"/>
              </w:rPr>
              <w:t>其它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536" w:type="dxa"/>
            <w:gridSpan w:val="6"/>
            <w:vMerge w:val="restart"/>
            <w:tcBorders>
              <w:top w:val="single" w:color="auto" w:sz="2" w:space="0"/>
              <w:left w:val="single" w:color="auto" w:sz="8" w:space="0"/>
            </w:tcBorders>
            <w:shd w:val="clear" w:color="auto" w:fill="auto"/>
          </w:tcPr>
          <w:p>
            <w:pPr>
              <w:topLinePunct/>
              <w:snapToGrid w:val="0"/>
              <w:jc w:val="left"/>
              <w:rPr>
                <w:rFonts w:ascii="仿宋" w:hAnsi="仿宋" w:eastAsia="仿宋"/>
                <w:snapToGrid w:val="0"/>
                <w:kern w:val="0"/>
              </w:rPr>
            </w:pPr>
            <w:r>
              <w:rPr>
                <w:rFonts w:hint="eastAsia" w:ascii="仿宋" w:hAnsi="仿宋" w:eastAsia="仿宋"/>
                <w:snapToGrid w:val="0"/>
                <w:kern w:val="0"/>
              </w:rPr>
              <w:t>三、本期建筑面积及分配</w:t>
            </w:r>
          </w:p>
        </w:tc>
        <w:tc>
          <w:tcPr>
            <w:tcW w:w="2059" w:type="dxa"/>
            <w:gridSpan w:val="2"/>
            <w:vMerge w:val="restart"/>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建筑功能</w:t>
            </w: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建筑面积㎡</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536" w:type="dxa"/>
            <w:gridSpan w:val="6"/>
            <w:vMerge w:val="continue"/>
            <w:tcBorders>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205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规定</w:t>
            </w: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核减</w:t>
            </w:r>
          </w:p>
        </w:tc>
        <w:tc>
          <w:tcPr>
            <w:tcW w:w="1070" w:type="dxa"/>
            <w:gridSpan w:val="2"/>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r>
              <w:rPr>
                <w:rFonts w:hint="eastAsia" w:ascii="仿宋" w:hAnsi="仿宋" w:eastAsia="仿宋"/>
                <w:snapToGrid w:val="0"/>
                <w:kern w:val="0"/>
              </w:rPr>
              <w:t>合计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restart"/>
            <w:tcBorders>
              <w:top w:val="single" w:color="auto" w:sz="2" w:space="0"/>
              <w:left w:val="single" w:color="auto" w:sz="8"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总建筑面积</w:t>
            </w:r>
          </w:p>
          <w:p>
            <w:pPr>
              <w:topLinePunct/>
              <w:snapToGrid w:val="0"/>
              <w:jc w:val="right"/>
              <w:rPr>
                <w:rFonts w:ascii="仿宋" w:hAnsi="仿宋" w:eastAsia="仿宋"/>
                <w:snapToGrid w:val="0"/>
                <w:kern w:val="0"/>
              </w:rPr>
            </w:pPr>
            <w:r>
              <w:rPr>
                <w:rFonts w:hint="eastAsia" w:ascii="仿宋" w:hAnsi="仿宋" w:eastAsia="仿宋"/>
                <w:snapToGrid w:val="0"/>
                <w:kern w:val="0"/>
              </w:rPr>
              <w:t>㎡</w:t>
            </w:r>
          </w:p>
        </w:tc>
        <w:tc>
          <w:tcPr>
            <w:tcW w:w="1279" w:type="dxa"/>
            <w:gridSpan w:val="2"/>
            <w:vMerge w:val="restart"/>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计容积率</w:t>
            </w:r>
          </w:p>
          <w:p>
            <w:pPr>
              <w:topLinePunct/>
              <w:snapToGrid w:val="0"/>
              <w:jc w:val="center"/>
              <w:rPr>
                <w:rFonts w:ascii="仿宋" w:hAnsi="仿宋" w:eastAsia="仿宋"/>
                <w:snapToGrid w:val="0"/>
                <w:kern w:val="0"/>
              </w:rPr>
            </w:pPr>
            <w:r>
              <w:rPr>
                <w:rFonts w:hint="eastAsia" w:ascii="仿宋" w:hAnsi="仿宋" w:eastAsia="仿宋"/>
                <w:snapToGrid w:val="0"/>
                <w:kern w:val="0"/>
              </w:rPr>
              <w:t>建筑面积</w:t>
            </w:r>
          </w:p>
          <w:p>
            <w:pPr>
              <w:topLinePunct/>
              <w:snapToGrid w:val="0"/>
              <w:jc w:val="right"/>
              <w:rPr>
                <w:rFonts w:ascii="仿宋" w:hAnsi="仿宋" w:eastAsia="仿宋"/>
                <w:snapToGrid w:val="0"/>
                <w:kern w:val="0"/>
              </w:rPr>
            </w:pPr>
            <w:r>
              <w:rPr>
                <w:rFonts w:hint="eastAsia" w:ascii="仿宋" w:hAnsi="仿宋" w:eastAsia="仿宋"/>
                <w:snapToGrid w:val="0"/>
                <w:kern w:val="0"/>
              </w:rPr>
              <w:t>㎡</w:t>
            </w:r>
          </w:p>
        </w:tc>
        <w:tc>
          <w:tcPr>
            <w:tcW w:w="1604" w:type="dxa"/>
            <w:gridSpan w:val="2"/>
            <w:vMerge w:val="restart"/>
            <w:tcBorders>
              <w:top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计规定容积率</w:t>
            </w:r>
          </w:p>
          <w:p>
            <w:pPr>
              <w:topLinePunct/>
              <w:snapToGrid w:val="0"/>
              <w:jc w:val="center"/>
              <w:rPr>
                <w:rFonts w:ascii="仿宋" w:hAnsi="仿宋" w:eastAsia="仿宋"/>
                <w:snapToGrid w:val="0"/>
                <w:kern w:val="0"/>
              </w:rPr>
            </w:pPr>
            <w:r>
              <w:rPr>
                <w:rFonts w:hint="eastAsia" w:ascii="仿宋" w:hAnsi="仿宋" w:eastAsia="仿宋"/>
                <w:snapToGrid w:val="0"/>
                <w:kern w:val="0"/>
              </w:rPr>
              <w:t>建筑面积</w:t>
            </w:r>
          </w:p>
          <w:p>
            <w:pPr>
              <w:topLinePunct/>
              <w:snapToGrid w:val="0"/>
              <w:ind w:right="105"/>
              <w:jc w:val="right"/>
              <w:rPr>
                <w:rFonts w:ascii="仿宋" w:hAnsi="仿宋" w:eastAsia="仿宋"/>
                <w:snapToGrid w:val="0"/>
                <w:kern w:val="0"/>
              </w:rPr>
            </w:pPr>
            <w:r>
              <w:rPr>
                <w:rFonts w:hint="eastAsia" w:ascii="仿宋" w:hAnsi="仿宋" w:eastAsia="仿宋"/>
                <w:snapToGrid w:val="0"/>
                <w:kern w:val="0"/>
              </w:rPr>
              <w:t>㎡</w:t>
            </w:r>
          </w:p>
        </w:tc>
        <w:tc>
          <w:tcPr>
            <w:tcW w:w="708" w:type="dxa"/>
            <w:vMerge w:val="restart"/>
            <w:tcBorders>
              <w:top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地上</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continue"/>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604" w:type="dxa"/>
            <w:gridSpan w:val="2"/>
            <w:vMerge w:val="continue"/>
            <w:shd w:val="clear" w:color="auto" w:fill="auto"/>
            <w:vAlign w:val="center"/>
          </w:tcPr>
          <w:p>
            <w:pPr>
              <w:topLinePunct/>
              <w:snapToGrid w:val="0"/>
              <w:jc w:val="center"/>
              <w:rPr>
                <w:rFonts w:ascii="仿宋" w:hAnsi="仿宋" w:eastAsia="仿宋"/>
                <w:snapToGrid w:val="0"/>
                <w:kern w:val="0"/>
              </w:rPr>
            </w:pPr>
          </w:p>
        </w:tc>
        <w:tc>
          <w:tcPr>
            <w:tcW w:w="708" w:type="dxa"/>
            <w:vMerge w:val="continue"/>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continue"/>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604" w:type="dxa"/>
            <w:gridSpan w:val="2"/>
            <w:vMerge w:val="continue"/>
            <w:shd w:val="clear" w:color="auto" w:fill="auto"/>
            <w:vAlign w:val="center"/>
          </w:tcPr>
          <w:p>
            <w:pPr>
              <w:topLinePunct/>
              <w:snapToGrid w:val="0"/>
              <w:jc w:val="center"/>
              <w:rPr>
                <w:rFonts w:ascii="仿宋" w:hAnsi="仿宋" w:eastAsia="仿宋"/>
                <w:snapToGrid w:val="0"/>
                <w:kern w:val="0"/>
              </w:rPr>
            </w:pPr>
          </w:p>
        </w:tc>
        <w:tc>
          <w:tcPr>
            <w:tcW w:w="708" w:type="dxa"/>
            <w:vMerge w:val="continue"/>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continue"/>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604" w:type="dxa"/>
            <w:gridSpan w:val="2"/>
            <w:vMerge w:val="continue"/>
            <w:shd w:val="clear" w:color="auto" w:fill="auto"/>
            <w:vAlign w:val="center"/>
          </w:tcPr>
          <w:p>
            <w:pPr>
              <w:topLinePunct/>
              <w:snapToGrid w:val="0"/>
              <w:jc w:val="center"/>
              <w:rPr>
                <w:rFonts w:ascii="仿宋" w:hAnsi="仿宋" w:eastAsia="仿宋"/>
                <w:snapToGrid w:val="0"/>
                <w:kern w:val="0"/>
              </w:rPr>
            </w:pPr>
          </w:p>
        </w:tc>
        <w:tc>
          <w:tcPr>
            <w:tcW w:w="708" w:type="dxa"/>
            <w:vMerge w:val="restart"/>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地下</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continue"/>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604" w:type="dxa"/>
            <w:gridSpan w:val="2"/>
            <w:vMerge w:val="continue"/>
            <w:shd w:val="clear" w:color="auto" w:fill="auto"/>
            <w:vAlign w:val="center"/>
          </w:tcPr>
          <w:p>
            <w:pPr>
              <w:topLinePunct/>
              <w:snapToGrid w:val="0"/>
              <w:jc w:val="center"/>
              <w:rPr>
                <w:rFonts w:ascii="仿宋" w:hAnsi="仿宋" w:eastAsia="仿宋"/>
                <w:snapToGrid w:val="0"/>
                <w:kern w:val="0"/>
              </w:rPr>
            </w:pPr>
          </w:p>
        </w:tc>
        <w:tc>
          <w:tcPr>
            <w:tcW w:w="708" w:type="dxa"/>
            <w:vMerge w:val="continue"/>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After w:val="1"/>
          <w:wAfter w:w="8" w:type="dxa"/>
          <w:trHeight w:val="20" w:hRule="atLeast"/>
          <w:jc w:val="center"/>
        </w:trPr>
        <w:tc>
          <w:tcPr>
            <w:tcW w:w="945" w:type="dxa"/>
            <w:vMerge w:val="continue"/>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604" w:type="dxa"/>
            <w:gridSpan w:val="2"/>
            <w:vMerge w:val="continue"/>
            <w:tcBorders>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708" w:type="dxa"/>
            <w:vMerge w:val="continue"/>
            <w:tcBorders>
              <w:bottom w:val="single" w:color="auto" w:sz="2" w:space="0"/>
            </w:tcBorders>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7" w:type="dxa"/>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5"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062" w:type="dxa"/>
            <w:tcBorders>
              <w:top w:val="single" w:color="auto" w:sz="2" w:space="0"/>
              <w:bottom w:val="single" w:color="auto" w:sz="2" w:space="0"/>
              <w:right w:val="single" w:color="auto" w:sz="8" w:space="0"/>
            </w:tcBorders>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2312" w:type="dxa"/>
            <w:gridSpan w:val="3"/>
            <w:vMerge w:val="restart"/>
            <w:tcBorders>
              <w:top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地上核增建筑面积</w:t>
            </w:r>
          </w:p>
          <w:p>
            <w:pPr>
              <w:topLinePunct/>
              <w:snapToGrid w:val="0"/>
              <w:jc w:val="center"/>
              <w:rPr>
                <w:rFonts w:ascii="仿宋" w:hAnsi="仿宋" w:eastAsia="仿宋"/>
                <w:snapToGrid w:val="0"/>
                <w:kern w:val="0"/>
              </w:rPr>
            </w:pPr>
            <w:r>
              <w:rPr>
                <w:rFonts w:hint="eastAsia" w:ascii="仿宋" w:hAnsi="仿宋" w:eastAsia="仿宋"/>
                <w:snapToGrid w:val="0"/>
                <w:kern w:val="0"/>
              </w:rPr>
              <w:t xml:space="preserve">               ㎡</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2312" w:type="dxa"/>
            <w:gridSpan w:val="3"/>
            <w:vMerge w:val="continue"/>
            <w:shd w:val="clear" w:color="auto" w:fill="auto"/>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2312" w:type="dxa"/>
            <w:gridSpan w:val="3"/>
            <w:vMerge w:val="continue"/>
            <w:tcBorders>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1279" w:type="dxa"/>
            <w:gridSpan w:val="2"/>
            <w:vMerge w:val="restart"/>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不计容积率</w:t>
            </w:r>
          </w:p>
          <w:p>
            <w:pPr>
              <w:topLinePunct/>
              <w:snapToGrid w:val="0"/>
              <w:jc w:val="center"/>
              <w:rPr>
                <w:rFonts w:ascii="仿宋" w:hAnsi="仿宋" w:eastAsia="仿宋"/>
                <w:snapToGrid w:val="0"/>
                <w:kern w:val="0"/>
              </w:rPr>
            </w:pPr>
            <w:r>
              <w:rPr>
                <w:rFonts w:hint="eastAsia" w:ascii="仿宋" w:hAnsi="仿宋" w:eastAsia="仿宋"/>
                <w:snapToGrid w:val="0"/>
                <w:kern w:val="0"/>
              </w:rPr>
              <w:t xml:space="preserve">建筑面积 </w:t>
            </w:r>
          </w:p>
          <w:p>
            <w:pPr>
              <w:topLinePunct/>
              <w:snapToGrid w:val="0"/>
              <w:jc w:val="center"/>
              <w:rPr>
                <w:rFonts w:ascii="仿宋" w:hAnsi="仿宋" w:eastAsia="仿宋"/>
                <w:snapToGrid w:val="0"/>
                <w:kern w:val="0"/>
              </w:rPr>
            </w:pPr>
            <w:r>
              <w:rPr>
                <w:rFonts w:hint="eastAsia" w:ascii="仿宋" w:hAnsi="仿宋" w:eastAsia="仿宋"/>
                <w:snapToGrid w:val="0"/>
                <w:kern w:val="0"/>
              </w:rPr>
              <w:t xml:space="preserve">        ㎡</w:t>
            </w:r>
          </w:p>
        </w:tc>
        <w:tc>
          <w:tcPr>
            <w:tcW w:w="2312" w:type="dxa"/>
            <w:gridSpan w:val="3"/>
            <w:vMerge w:val="restart"/>
            <w:tcBorders>
              <w:top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地下核增建筑面积</w:t>
            </w:r>
          </w:p>
          <w:p>
            <w:pPr>
              <w:topLinePunct/>
              <w:snapToGrid w:val="0"/>
              <w:jc w:val="center"/>
              <w:rPr>
                <w:rFonts w:ascii="仿宋" w:hAnsi="仿宋" w:eastAsia="仿宋"/>
                <w:snapToGrid w:val="0"/>
                <w:kern w:val="0"/>
              </w:rPr>
            </w:pPr>
            <w:r>
              <w:rPr>
                <w:rFonts w:hint="eastAsia" w:ascii="仿宋" w:hAnsi="仿宋" w:eastAsia="仿宋"/>
                <w:snapToGrid w:val="0"/>
                <w:kern w:val="0"/>
              </w:rPr>
              <w:t xml:space="preserve">               ㎡</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right"/>
              <w:rPr>
                <w:rFonts w:ascii="仿宋" w:hAnsi="仿宋" w:eastAsia="仿宋"/>
                <w:snapToGrid w:val="0"/>
                <w:kern w:val="0"/>
              </w:rPr>
            </w:pPr>
          </w:p>
        </w:tc>
        <w:tc>
          <w:tcPr>
            <w:tcW w:w="2312" w:type="dxa"/>
            <w:gridSpan w:val="3"/>
            <w:vMerge w:val="continue"/>
            <w:shd w:val="clear" w:color="auto" w:fill="auto"/>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945" w:type="dxa"/>
            <w:vMerge w:val="continue"/>
            <w:tcBorders>
              <w:top w:val="single" w:color="auto" w:sz="2" w:space="0"/>
              <w:left w:val="single" w:color="auto" w:sz="8" w:space="0"/>
              <w:bottom w:val="single" w:color="auto" w:sz="2" w:space="0"/>
            </w:tcBorders>
          </w:tcPr>
          <w:p>
            <w:pPr>
              <w:topLinePunct/>
              <w:snapToGrid w:val="0"/>
              <w:jc w:val="center"/>
              <w:rPr>
                <w:rFonts w:ascii="仿宋" w:hAnsi="仿宋" w:eastAsia="仿宋"/>
                <w:snapToGrid w:val="0"/>
                <w:kern w:val="0"/>
              </w:rPr>
            </w:pPr>
          </w:p>
        </w:tc>
        <w:tc>
          <w:tcPr>
            <w:tcW w:w="1279" w:type="dxa"/>
            <w:gridSpan w:val="2"/>
            <w:vMerge w:val="continue"/>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2312" w:type="dxa"/>
            <w:gridSpan w:val="3"/>
            <w:vMerge w:val="continue"/>
            <w:shd w:val="clear" w:color="auto" w:fill="auto"/>
            <w:vAlign w:val="center"/>
          </w:tcPr>
          <w:p>
            <w:pPr>
              <w:topLinePunct/>
              <w:snapToGrid w:val="0"/>
              <w:jc w:val="center"/>
              <w:rPr>
                <w:rFonts w:ascii="仿宋" w:hAnsi="仿宋" w:eastAsia="仿宋"/>
                <w:snapToGrid w:val="0"/>
                <w:kern w:val="0"/>
              </w:rPr>
            </w:pP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24" w:type="dxa"/>
            <w:gridSpan w:val="3"/>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四、本期住宅户型比例</w:t>
            </w:r>
          </w:p>
        </w:tc>
        <w:tc>
          <w:tcPr>
            <w:tcW w:w="2312" w:type="dxa"/>
            <w:gridSpan w:val="3"/>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总量</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户型套内建筑面积＜</w:t>
            </w:r>
            <w:r>
              <w:rPr>
                <w:rFonts w:ascii="仿宋" w:hAnsi="仿宋" w:eastAsia="仿宋"/>
                <w:snapToGrid w:val="0"/>
                <w:kern w:val="0"/>
              </w:rPr>
              <w:t>90</w:t>
            </w:r>
            <w:r>
              <w:rPr>
                <w:rFonts w:hint="eastAsia" w:ascii="仿宋" w:hAnsi="仿宋" w:eastAsia="仿宋"/>
                <w:snapToGrid w:val="0"/>
                <w:kern w:val="0"/>
              </w:rPr>
              <w:t>㎡</w:t>
            </w: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占总量比例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24" w:type="dxa"/>
            <w:gridSpan w:val="3"/>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户数</w:t>
            </w:r>
          </w:p>
        </w:tc>
        <w:tc>
          <w:tcPr>
            <w:tcW w:w="2312" w:type="dxa"/>
            <w:gridSpan w:val="3"/>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 xml:space="preserve">               户</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 xml:space="preserve">              户</w:t>
            </w: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24" w:type="dxa"/>
            <w:gridSpan w:val="3"/>
            <w:tcBorders>
              <w:top w:val="single" w:color="auto" w:sz="2" w:space="0"/>
              <w:left w:val="single" w:color="auto" w:sz="8" w:space="0"/>
              <w:bottom w:val="single" w:color="auto" w:sz="2" w:space="0"/>
            </w:tcBorders>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建筑面积</w:t>
            </w:r>
          </w:p>
        </w:tc>
        <w:tc>
          <w:tcPr>
            <w:tcW w:w="2312" w:type="dxa"/>
            <w:gridSpan w:val="3"/>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 xml:space="preserve">               ㎡</w:t>
            </w:r>
          </w:p>
        </w:tc>
        <w:tc>
          <w:tcPr>
            <w:tcW w:w="2059" w:type="dxa"/>
            <w:gridSpan w:val="2"/>
            <w:tcBorders>
              <w:top w:val="single" w:color="auto" w:sz="2" w:space="0"/>
              <w:bottom w:val="single" w:color="auto" w:sz="2" w:space="0"/>
            </w:tcBorders>
            <w:shd w:val="clear" w:color="auto" w:fill="auto"/>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 xml:space="preserve">              ㎡</w:t>
            </w:r>
          </w:p>
        </w:tc>
        <w:tc>
          <w:tcPr>
            <w:tcW w:w="3202" w:type="dxa"/>
            <w:gridSpan w:val="5"/>
            <w:tcBorders>
              <w:top w:val="single" w:color="auto" w:sz="2" w:space="0"/>
              <w:bottom w:val="single" w:color="auto" w:sz="2" w:space="0"/>
              <w:right w:val="single" w:color="auto" w:sz="8" w:space="0"/>
            </w:tcBorders>
            <w:shd w:val="clear" w:color="auto" w:fill="auto"/>
            <w:vAlign w:val="center"/>
          </w:tcPr>
          <w:p>
            <w:pPr>
              <w:topLinePunct/>
              <w:snapToGrid w:val="0"/>
              <w:jc w:val="center"/>
              <w:rPr>
                <w:rFonts w:ascii="仿宋" w:hAnsi="仿宋" w:eastAsia="仿宋"/>
                <w:snapToGrid w:val="0"/>
                <w:kern w:val="0"/>
              </w:rPr>
            </w:pPr>
            <w:r>
              <w:rPr>
                <w:rFonts w:ascii="仿宋" w:hAnsi="仿宋" w:eastAsia="仿宋"/>
                <w:snapToGrid w:val="0"/>
                <w:kern w:val="0"/>
              </w:rPr>
              <w:t>%</w:t>
            </w:r>
          </w:p>
        </w:tc>
      </w:tr>
    </w:tbl>
    <w:p>
      <w:pPr>
        <w:widowControl/>
        <w:jc w:val="left"/>
        <w:rPr>
          <w:rFonts w:ascii="仿宋" w:hAnsi="仿宋" w:eastAsia="仿宋" w:cs="Times New Roman"/>
          <w:snapToGrid w:val="0"/>
          <w:kern w:val="0"/>
        </w:rPr>
      </w:pPr>
      <w:r>
        <w:rPr>
          <w:rFonts w:hint="eastAsia" w:ascii="仿宋" w:hAnsi="仿宋" w:eastAsia="仿宋" w:cs="Times New Roman"/>
          <w:snapToGrid w:val="0"/>
          <w:kern w:val="0"/>
        </w:rPr>
        <w:t>注：1.总建筑面积＝计容积率建筑面积＋不计容积率建筑面积</w:t>
      </w:r>
    </w:p>
    <w:p>
      <w:pPr>
        <w:widowControl/>
        <w:jc w:val="left"/>
        <w:rPr>
          <w:rFonts w:ascii="仿宋" w:hAnsi="仿宋" w:eastAsia="仿宋" w:cs="Times New Roman"/>
          <w:snapToGrid w:val="0"/>
          <w:kern w:val="0"/>
        </w:rPr>
      </w:pPr>
      <w:r>
        <w:rPr>
          <w:rFonts w:hint="eastAsia" w:ascii="仿宋" w:hAnsi="仿宋" w:eastAsia="仿宋" w:cs="Times New Roman"/>
          <w:snapToGrid w:val="0"/>
          <w:kern w:val="0"/>
        </w:rPr>
        <w:t>2.计容积率建筑面积＝</w:t>
      </w:r>
      <w:r>
        <w:rPr>
          <w:rFonts w:ascii="仿宋" w:hAnsi="仿宋" w:eastAsia="仿宋" w:cs="Times New Roman"/>
          <w:snapToGrid w:val="0"/>
          <w:kern w:val="0"/>
        </w:rPr>
        <w:t>地上</w:t>
      </w:r>
      <w:r>
        <w:rPr>
          <w:rFonts w:hint="eastAsia" w:ascii="仿宋" w:hAnsi="仿宋" w:eastAsia="仿宋" w:cs="Times New Roman"/>
          <w:snapToGrid w:val="0"/>
          <w:kern w:val="0"/>
        </w:rPr>
        <w:t>/下</w:t>
      </w:r>
      <w:r>
        <w:rPr>
          <w:rFonts w:ascii="仿宋" w:hAnsi="仿宋" w:eastAsia="仿宋" w:cs="Times New Roman"/>
          <w:snapToGrid w:val="0"/>
          <w:kern w:val="0"/>
        </w:rPr>
        <w:t>规定建筑面积＋地上</w:t>
      </w:r>
      <w:r>
        <w:rPr>
          <w:rFonts w:hint="eastAsia" w:ascii="仿宋" w:hAnsi="仿宋" w:eastAsia="仿宋" w:cs="Times New Roman"/>
          <w:snapToGrid w:val="0"/>
          <w:kern w:val="0"/>
        </w:rPr>
        <w:t>/下</w:t>
      </w:r>
      <w:r>
        <w:rPr>
          <w:rFonts w:ascii="仿宋" w:hAnsi="仿宋" w:eastAsia="仿宋" w:cs="Times New Roman"/>
          <w:snapToGrid w:val="0"/>
          <w:kern w:val="0"/>
        </w:rPr>
        <w:t>核减建筑面积＋地上核增建筑面积</w:t>
      </w:r>
    </w:p>
    <w:p>
      <w:pPr>
        <w:widowControl/>
        <w:jc w:val="left"/>
        <w:rPr>
          <w:rFonts w:ascii="仿宋" w:hAnsi="仿宋" w:eastAsia="仿宋" w:cs="Times New Roman"/>
          <w:snapToGrid w:val="0"/>
          <w:kern w:val="0"/>
        </w:rPr>
      </w:pPr>
      <w:r>
        <w:rPr>
          <w:rFonts w:hint="eastAsia" w:ascii="仿宋" w:hAnsi="仿宋" w:eastAsia="仿宋" w:cs="Times New Roman"/>
          <w:snapToGrid w:val="0"/>
          <w:kern w:val="0"/>
        </w:rPr>
        <w:t>3.计规定容积率建筑面积＝地上/下规定建筑面积＋地上/下核减建筑面积</w:t>
      </w:r>
    </w:p>
    <w:p>
      <w:pPr>
        <w:widowControl/>
        <w:jc w:val="left"/>
        <w:rPr>
          <w:rFonts w:ascii="仿宋" w:hAnsi="仿宋" w:eastAsia="仿宋" w:cs="Times New Roman"/>
          <w:snapToGrid w:val="0"/>
          <w:kern w:val="0"/>
        </w:rPr>
      </w:pPr>
      <w:r>
        <w:rPr>
          <w:rFonts w:hint="eastAsia" w:ascii="仿宋" w:hAnsi="仿宋" w:eastAsia="仿宋" w:cs="Times New Roman"/>
          <w:snapToGrid w:val="0"/>
          <w:kern w:val="0"/>
        </w:rPr>
        <w:t>4.不计容积率建筑面积＝地下核增建筑面积</w:t>
      </w:r>
    </w:p>
    <w:p>
      <w:pPr>
        <w:widowControl/>
        <w:jc w:val="left"/>
        <w:rPr>
          <w:rFonts w:ascii="仿宋" w:hAnsi="仿宋" w:eastAsia="仿宋" w:cs="Times New Roman"/>
          <w:snapToGrid w:val="0"/>
          <w:kern w:val="0"/>
        </w:rPr>
      </w:pPr>
      <w:r>
        <w:rPr>
          <w:rFonts w:hint="eastAsia" w:ascii="仿宋" w:hAnsi="仿宋" w:eastAsia="仿宋" w:cs="Times New Roman"/>
          <w:snapToGrid w:val="0"/>
          <w:kern w:val="0"/>
        </w:rPr>
        <w:t>5.容积率＝计容积率建筑面积/建设用地面积</w:t>
      </w:r>
    </w:p>
    <w:p>
      <w:pPr>
        <w:widowControl/>
        <w:jc w:val="left"/>
        <w:rPr>
          <w:rFonts w:ascii="仿宋" w:hAnsi="仿宋" w:eastAsia="仿宋" w:cs="Times New Roman"/>
          <w:snapToGrid w:val="0"/>
          <w:kern w:val="0"/>
        </w:rPr>
      </w:pPr>
      <w:r>
        <w:rPr>
          <w:rFonts w:hint="eastAsia" w:ascii="仿宋" w:hAnsi="仿宋" w:eastAsia="仿宋" w:cs="Times New Roman"/>
          <w:snapToGrid w:val="0"/>
          <w:kern w:val="0"/>
        </w:rPr>
        <w:t>6.规定容积率＝计规定容积率建筑面积/建设用地面积</w:t>
      </w:r>
    </w:p>
    <w:p>
      <w:pPr>
        <w:widowControl/>
        <w:jc w:val="left"/>
        <w:rPr>
          <w:rFonts w:ascii="宋体" w:hAnsi="宋体"/>
          <w:b/>
          <w:snapToGrid w:val="0"/>
          <w:kern w:val="0"/>
        </w:rPr>
      </w:pPr>
      <w:r>
        <w:rPr>
          <w:rFonts w:ascii="仿宋" w:hAnsi="仿宋" w:eastAsia="仿宋" w:cs="Times New Roman"/>
          <w:snapToGrid w:val="0"/>
          <w:kern w:val="0"/>
        </w:rPr>
        <w:br w:type="page"/>
      </w:r>
      <w:r>
        <w:rPr>
          <w:rFonts w:hint="eastAsia" w:ascii="宋体" w:hAnsi="宋体"/>
          <w:b/>
          <w:snapToGrid w:val="0"/>
          <w:kern w:val="0"/>
          <w:sz w:val="32"/>
          <w:szCs w:val="32"/>
        </w:rPr>
        <w:t>附录</w:t>
      </w:r>
      <w:r>
        <w:rPr>
          <w:rFonts w:ascii="宋体" w:hAnsi="宋体"/>
          <w:b/>
          <w:snapToGrid w:val="0"/>
          <w:kern w:val="0"/>
          <w:sz w:val="32"/>
          <w:szCs w:val="32"/>
        </w:rPr>
        <w:t xml:space="preserve">D </w:t>
      </w:r>
      <w:r>
        <w:rPr>
          <w:rFonts w:hint="eastAsia" w:ascii="宋体" w:hAnsi="宋体"/>
          <w:b/>
          <w:snapToGrid w:val="0"/>
          <w:kern w:val="0"/>
          <w:sz w:val="32"/>
          <w:szCs w:val="32"/>
        </w:rPr>
        <w:t>建设场地环境设计基本内容</w:t>
      </w:r>
    </w:p>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D.0.1    </w:t>
      </w:r>
      <w:r>
        <w:rPr>
          <w:rFonts w:hint="eastAsia" w:ascii="宋体" w:hAnsi="宋体"/>
          <w:b/>
          <w:snapToGrid w:val="0"/>
          <w:kern w:val="0"/>
          <w:sz w:val="24"/>
          <w:szCs w:val="24"/>
        </w:rPr>
        <w:t>建设场地环境设计的总体原则</w:t>
      </w:r>
    </w:p>
    <w:p>
      <w:pPr>
        <w:topLinePunct/>
        <w:snapToGrid w:val="0"/>
        <w:spacing w:before="211" w:beforeLines="50"/>
        <w:ind w:left="1050" w:leftChars="500"/>
        <w:rPr>
          <w:rFonts w:ascii="宋体" w:hAnsi="宋体"/>
          <w:b/>
          <w:snapToGrid w:val="0"/>
          <w:kern w:val="0"/>
          <w:sz w:val="24"/>
          <w:szCs w:val="24"/>
        </w:rPr>
      </w:pPr>
      <w:r>
        <w:rPr>
          <w:rFonts w:hint="eastAsia" w:ascii="宋体" w:hAnsi="宋体"/>
          <w:snapToGrid w:val="0"/>
          <w:kern w:val="0"/>
          <w:sz w:val="24"/>
          <w:szCs w:val="24"/>
        </w:rPr>
        <w:t>符合规划要求、适应主体功能、充分利用地形、经济美观实用、体现以人为本、便于维护管理。</w:t>
      </w:r>
    </w:p>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D.0.2    </w:t>
      </w:r>
      <w:r>
        <w:rPr>
          <w:rFonts w:hint="eastAsia" w:ascii="宋体" w:hAnsi="宋体"/>
          <w:b/>
          <w:snapToGrid w:val="0"/>
          <w:kern w:val="0"/>
          <w:sz w:val="24"/>
          <w:szCs w:val="24"/>
        </w:rPr>
        <w:t>建设场地分类</w:t>
      </w:r>
    </w:p>
    <w:tbl>
      <w:tblPr>
        <w:tblStyle w:val="19"/>
        <w:tblpPr w:leftFromText="180" w:rightFromText="180" w:vertAnchor="text" w:tblpXSpec="center" w:tblpY="1"/>
        <w:tblOverlap w:val="never"/>
        <w:tblW w:w="918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83"/>
        <w:gridCol w:w="702"/>
        <w:gridCol w:w="1318"/>
        <w:gridCol w:w="648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jc w:val="center"/>
              <w:rPr>
                <w:rFonts w:ascii="宋体" w:hAnsi="宋体"/>
                <w:snapToGrid w:val="0"/>
                <w:kern w:val="0"/>
              </w:rPr>
            </w:pPr>
            <w:r>
              <w:rPr>
                <w:rFonts w:hint="eastAsia" w:ascii="宋体" w:hAnsi="宋体"/>
                <w:snapToGrid w:val="0"/>
                <w:kern w:val="0"/>
              </w:rPr>
              <w:t>序号</w:t>
            </w:r>
          </w:p>
        </w:tc>
        <w:tc>
          <w:tcPr>
            <w:tcW w:w="2020" w:type="dxa"/>
            <w:gridSpan w:val="2"/>
            <w:vAlign w:val="center"/>
          </w:tcPr>
          <w:p>
            <w:pPr>
              <w:topLinePunct/>
              <w:snapToGrid w:val="0"/>
              <w:jc w:val="center"/>
              <w:rPr>
                <w:rFonts w:ascii="宋体" w:hAnsi="宋体"/>
                <w:snapToGrid w:val="0"/>
                <w:kern w:val="0"/>
              </w:rPr>
            </w:pPr>
            <w:r>
              <w:rPr>
                <w:rFonts w:hint="eastAsia" w:ascii="宋体" w:hAnsi="宋体"/>
                <w:snapToGrid w:val="0"/>
                <w:kern w:val="0"/>
              </w:rPr>
              <w:t>场地分类</w:t>
            </w:r>
          </w:p>
        </w:tc>
        <w:tc>
          <w:tcPr>
            <w:tcW w:w="6482" w:type="dxa"/>
            <w:vAlign w:val="center"/>
          </w:tcPr>
          <w:p>
            <w:pPr>
              <w:topLinePunct/>
              <w:snapToGrid w:val="0"/>
              <w:jc w:val="center"/>
              <w:rPr>
                <w:rFonts w:ascii="宋体" w:hAnsi="宋体"/>
                <w:snapToGrid w:val="0"/>
                <w:kern w:val="0"/>
              </w:rPr>
            </w:pPr>
            <w:r>
              <w:rPr>
                <w:rFonts w:hint="eastAsia" w:ascii="宋体" w:hAnsi="宋体"/>
                <w:snapToGrid w:val="0"/>
                <w:kern w:val="0"/>
              </w:rPr>
              <w:t>设计要求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restart"/>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1</w:t>
            </w:r>
          </w:p>
        </w:tc>
        <w:tc>
          <w:tcPr>
            <w:tcW w:w="702" w:type="dxa"/>
            <w:vMerge w:val="restart"/>
            <w:vAlign w:val="center"/>
          </w:tcPr>
          <w:p>
            <w:pPr>
              <w:topLinePunct/>
              <w:snapToGrid w:val="0"/>
              <w:rPr>
                <w:rFonts w:ascii="仿宋" w:hAnsi="仿宋" w:eastAsia="仿宋"/>
                <w:snapToGrid w:val="0"/>
                <w:kern w:val="0"/>
              </w:rPr>
            </w:pPr>
            <w:r>
              <w:rPr>
                <w:rFonts w:hint="eastAsia" w:ascii="仿宋" w:hAnsi="仿宋" w:eastAsia="仿宋"/>
                <w:snapToGrid w:val="0"/>
                <w:kern w:val="0"/>
              </w:rPr>
              <w:t>社会</w:t>
            </w:r>
          </w:p>
          <w:p>
            <w:pPr>
              <w:topLinePunct/>
              <w:snapToGrid w:val="0"/>
              <w:rPr>
                <w:rFonts w:ascii="仿宋" w:hAnsi="仿宋" w:eastAsia="仿宋"/>
                <w:snapToGrid w:val="0"/>
                <w:kern w:val="0"/>
              </w:rPr>
            </w:pPr>
            <w:r>
              <w:rPr>
                <w:rFonts w:hint="eastAsia" w:ascii="仿宋" w:hAnsi="仿宋" w:eastAsia="仿宋"/>
                <w:snapToGrid w:val="0"/>
                <w:kern w:val="0"/>
              </w:rPr>
              <w:t>公共</w:t>
            </w:r>
          </w:p>
          <w:p>
            <w:pPr>
              <w:topLinePunct/>
              <w:snapToGrid w:val="0"/>
              <w:rPr>
                <w:rFonts w:ascii="仿宋" w:hAnsi="仿宋" w:eastAsia="仿宋"/>
                <w:snapToGrid w:val="0"/>
                <w:kern w:val="0"/>
              </w:rPr>
            </w:pPr>
            <w:r>
              <w:rPr>
                <w:rFonts w:hint="eastAsia" w:ascii="仿宋" w:hAnsi="仿宋" w:eastAsia="仿宋"/>
                <w:snapToGrid w:val="0"/>
                <w:kern w:val="0"/>
              </w:rPr>
              <w:t>场地</w:t>
            </w:r>
          </w:p>
        </w:tc>
        <w:tc>
          <w:tcPr>
            <w:tcW w:w="1318" w:type="dxa"/>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各类广场</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⑴建设场地内有纪念意义和历史文化的地段，应设置广场空间，人流密集的公共建筑前应设置集散广场。</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⑵市民广场应满足公众聚会、庆典、休憩、文化活动的需求。</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⑶纪念广场不应设置广告牌、宣传牌等。</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⑷文化广场应有足够的硬质场地、动静分区。</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⑸广场的硬质铺装场地不宜超过广场总面积的</w:t>
            </w:r>
            <w:r>
              <w:rPr>
                <w:rFonts w:ascii="仿宋" w:hAnsi="仿宋" w:eastAsia="仿宋"/>
                <w:snapToGrid w:val="0"/>
                <w:kern w:val="0"/>
              </w:rPr>
              <w:t>65%,绿地不宜</w:t>
            </w:r>
            <w:r>
              <w:rPr>
                <w:rFonts w:hint="eastAsia" w:ascii="仿宋" w:hAnsi="仿宋" w:eastAsia="仿宋"/>
                <w:snapToGrid w:val="0"/>
                <w:kern w:val="0"/>
              </w:rPr>
              <w:t>少</w:t>
            </w:r>
            <w:r>
              <w:rPr>
                <w:rFonts w:ascii="仿宋" w:hAnsi="仿宋" w:eastAsia="仿宋"/>
                <w:snapToGrid w:val="0"/>
                <w:kern w:val="0"/>
              </w:rPr>
              <w:t>于</w:t>
            </w:r>
            <w:r>
              <w:rPr>
                <w:rFonts w:hint="eastAsia" w:ascii="仿宋" w:hAnsi="仿宋" w:eastAsia="仿宋"/>
                <w:snapToGrid w:val="0"/>
                <w:kern w:val="0"/>
              </w:rPr>
              <w:t>广场总面积的</w:t>
            </w:r>
            <w:r>
              <w:rPr>
                <w:rFonts w:ascii="仿宋" w:hAnsi="仿宋" w:eastAsia="仿宋"/>
                <w:snapToGrid w:val="0"/>
                <w:kern w:val="0"/>
              </w:rPr>
              <w:t>25%。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jc w:val="center"/>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商业街</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⑴应合理组织车流、人流及进货通道。</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⑵应建立连续的步行系统以及适当的公众停留、休憩空间和设施。</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jc w:val="center"/>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街旁小游园</w:t>
            </w:r>
          </w:p>
        </w:tc>
        <w:tc>
          <w:tcPr>
            <w:tcW w:w="6482" w:type="dxa"/>
            <w:vAlign w:val="center"/>
          </w:tcPr>
          <w:p>
            <w:pPr>
              <w:topLinePunct/>
              <w:snapToGrid w:val="0"/>
              <w:ind w:left="210" w:hanging="210" w:hangingChars="100"/>
              <w:rPr>
                <w:rFonts w:ascii="仿宋" w:hAnsi="仿宋" w:eastAsia="仿宋"/>
                <w:snapToGrid w:val="0"/>
                <w:kern w:val="0"/>
              </w:rPr>
            </w:pPr>
            <w:r>
              <w:rPr>
                <w:rFonts w:ascii="仿宋" w:hAnsi="仿宋" w:eastAsia="仿宋"/>
                <w:snapToGrid w:val="0"/>
                <w:kern w:val="0"/>
              </w:rPr>
              <w:t>以绿化为主</w:t>
            </w:r>
            <w:r>
              <w:rPr>
                <w:rFonts w:hint="eastAsia" w:ascii="仿宋" w:hAnsi="仿宋" w:eastAsia="仿宋"/>
                <w:snapToGrid w:val="0"/>
                <w:kern w:val="0"/>
              </w:rPr>
              <w:t>，</w:t>
            </w:r>
            <w:r>
              <w:rPr>
                <w:rFonts w:ascii="仿宋" w:hAnsi="仿宋" w:eastAsia="仿宋"/>
                <w:snapToGrid w:val="0"/>
                <w:kern w:val="0"/>
              </w:rPr>
              <w:t>设置休憩设施与场地。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restart"/>
            <w:vAlign w:val="center"/>
          </w:tcPr>
          <w:p>
            <w:pPr>
              <w:topLinePunct/>
              <w:snapToGrid w:val="0"/>
              <w:jc w:val="center"/>
              <w:rPr>
                <w:rFonts w:ascii="仿宋" w:hAnsi="仿宋" w:eastAsia="仿宋"/>
                <w:snapToGrid w:val="0"/>
                <w:kern w:val="0"/>
              </w:rPr>
            </w:pPr>
            <w:r>
              <w:rPr>
                <w:rFonts w:ascii="仿宋" w:hAnsi="仿宋" w:eastAsia="仿宋"/>
                <w:snapToGrid w:val="0"/>
                <w:kern w:val="0"/>
              </w:rPr>
              <w:t>2</w:t>
            </w:r>
          </w:p>
        </w:tc>
        <w:tc>
          <w:tcPr>
            <w:tcW w:w="702" w:type="dxa"/>
            <w:vMerge w:val="restart"/>
            <w:vAlign w:val="center"/>
          </w:tcPr>
          <w:p>
            <w:pPr>
              <w:topLinePunct/>
              <w:snapToGrid w:val="0"/>
              <w:rPr>
                <w:rFonts w:ascii="仿宋" w:hAnsi="仿宋" w:eastAsia="仿宋"/>
                <w:snapToGrid w:val="0"/>
                <w:kern w:val="0"/>
              </w:rPr>
            </w:pPr>
            <w:r>
              <w:rPr>
                <w:rFonts w:hint="eastAsia" w:ascii="仿宋" w:hAnsi="仿宋" w:eastAsia="仿宋"/>
                <w:snapToGrid w:val="0"/>
                <w:kern w:val="0"/>
              </w:rPr>
              <w:t>居住</w:t>
            </w:r>
          </w:p>
          <w:p>
            <w:pPr>
              <w:topLinePunct/>
              <w:snapToGrid w:val="0"/>
              <w:rPr>
                <w:rFonts w:ascii="仿宋" w:hAnsi="仿宋" w:eastAsia="仿宋"/>
                <w:snapToGrid w:val="0"/>
                <w:kern w:val="0"/>
              </w:rPr>
            </w:pPr>
            <w:r>
              <w:rPr>
                <w:rFonts w:hint="eastAsia" w:ascii="仿宋" w:hAnsi="仿宋" w:eastAsia="仿宋"/>
                <w:snapToGrid w:val="0"/>
                <w:kern w:val="0"/>
              </w:rPr>
              <w:t>场地</w:t>
            </w: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小游园</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w:t>
            </w:r>
            <w:r>
              <w:rPr>
                <w:rFonts w:ascii="仿宋" w:hAnsi="仿宋" w:eastAsia="仿宋"/>
                <w:snapToGrid w:val="0"/>
                <w:kern w:val="0"/>
              </w:rPr>
              <w:t>动静、功能分区，提供休闲活动的设施和场地</w:t>
            </w:r>
            <w:r>
              <w:rPr>
                <w:rFonts w:hint="eastAsia" w:ascii="仿宋" w:hAnsi="仿宋" w:eastAsia="仿宋"/>
                <w:snapToGrid w:val="0"/>
                <w:kern w:val="0"/>
              </w:rPr>
              <w:t>。</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w:t>
            </w:r>
            <w:r>
              <w:rPr>
                <w:rFonts w:ascii="仿宋" w:hAnsi="仿宋" w:eastAsia="仿宋"/>
                <w:snapToGrid w:val="0"/>
                <w:kern w:val="0"/>
              </w:rPr>
              <w:t>最小规模不应小于0.4公顷，绿化用地比例不应小于70%</w:t>
            </w:r>
            <w:r>
              <w:rPr>
                <w:rFonts w:hint="eastAsia" w:ascii="仿宋" w:hAnsi="仿宋" w:eastAsia="仿宋"/>
                <w:snapToGrid w:val="0"/>
                <w:kern w:val="0"/>
              </w:rPr>
              <w:t>。</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⑶</w:t>
            </w:r>
            <w:r>
              <w:rPr>
                <w:rFonts w:ascii="仿宋" w:hAnsi="仿宋" w:eastAsia="仿宋"/>
                <w:snapToGrid w:val="0"/>
                <w:kern w:val="0"/>
              </w:rPr>
              <w:t>园内不得设置与绿地无关的建筑物</w:t>
            </w:r>
            <w:r>
              <w:rPr>
                <w:rFonts w:hint="eastAsia" w:ascii="仿宋" w:hAnsi="仿宋" w:eastAsia="仿宋"/>
                <w:snapToGrid w:val="0"/>
                <w:kern w:val="0"/>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jc w:val="center"/>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组团绿地</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w:t>
            </w:r>
            <w:r>
              <w:rPr>
                <w:rFonts w:ascii="仿宋" w:hAnsi="仿宋" w:eastAsia="仿宋"/>
                <w:snapToGrid w:val="0"/>
                <w:kern w:val="0"/>
              </w:rPr>
              <w:t>应布置老人、儿童活动场地</w:t>
            </w:r>
            <w:r>
              <w:rPr>
                <w:rFonts w:hint="eastAsia" w:ascii="仿宋" w:hAnsi="仿宋" w:eastAsia="仿宋"/>
                <w:snapToGrid w:val="0"/>
                <w:kern w:val="0"/>
              </w:rPr>
              <w:t>。</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w:t>
            </w:r>
            <w:r>
              <w:rPr>
                <w:rFonts w:ascii="仿宋" w:hAnsi="仿宋" w:eastAsia="仿宋"/>
                <w:snapToGrid w:val="0"/>
                <w:kern w:val="0"/>
              </w:rPr>
              <w:t>最小规模不应小于0.04公顷，绿化用地比例不应小于70%</w:t>
            </w:r>
            <w:r>
              <w:rPr>
                <w:rFonts w:hint="eastAsia" w:ascii="仿宋" w:hAnsi="仿宋" w:eastAsia="仿宋"/>
                <w:snapToGrid w:val="0"/>
                <w:kern w:val="0"/>
              </w:rPr>
              <w:t>。</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⑶</w:t>
            </w:r>
            <w:r>
              <w:rPr>
                <w:rFonts w:ascii="仿宋" w:hAnsi="仿宋" w:eastAsia="仿宋"/>
                <w:snapToGrid w:val="0"/>
                <w:kern w:val="0"/>
              </w:rPr>
              <w:t>机动车不得进入。</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jc w:val="center"/>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宅旁绿地</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⑴应以绿化为主。</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⑵有架空层的场地绿化，应使架空层室内外空间互相渗透，扩大和延伸绿化空间。</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restart"/>
            <w:vAlign w:val="center"/>
          </w:tcPr>
          <w:p>
            <w:pPr>
              <w:topLinePunct/>
              <w:snapToGrid w:val="0"/>
              <w:jc w:val="center"/>
              <w:rPr>
                <w:rFonts w:ascii="仿宋" w:hAnsi="仿宋" w:eastAsia="仿宋"/>
                <w:snapToGrid w:val="0"/>
                <w:kern w:val="0"/>
              </w:rPr>
            </w:pPr>
            <w:r>
              <w:rPr>
                <w:rFonts w:ascii="仿宋" w:hAnsi="仿宋" w:eastAsia="仿宋"/>
                <w:snapToGrid w:val="0"/>
                <w:kern w:val="0"/>
              </w:rPr>
              <w:t>3</w:t>
            </w:r>
          </w:p>
        </w:tc>
        <w:tc>
          <w:tcPr>
            <w:tcW w:w="702" w:type="dxa"/>
            <w:vMerge w:val="restart"/>
            <w:vAlign w:val="center"/>
          </w:tcPr>
          <w:p>
            <w:pPr>
              <w:topLinePunct/>
              <w:snapToGrid w:val="0"/>
              <w:rPr>
                <w:rFonts w:ascii="仿宋" w:hAnsi="仿宋" w:eastAsia="仿宋"/>
                <w:snapToGrid w:val="0"/>
                <w:kern w:val="0"/>
              </w:rPr>
            </w:pPr>
            <w:r>
              <w:rPr>
                <w:rFonts w:hint="eastAsia" w:ascii="仿宋" w:hAnsi="仿宋" w:eastAsia="仿宋"/>
                <w:snapToGrid w:val="0"/>
                <w:kern w:val="0"/>
              </w:rPr>
              <w:t>公共</w:t>
            </w:r>
          </w:p>
          <w:p>
            <w:pPr>
              <w:topLinePunct/>
              <w:snapToGrid w:val="0"/>
              <w:rPr>
                <w:rFonts w:ascii="仿宋" w:hAnsi="仿宋" w:eastAsia="仿宋"/>
                <w:snapToGrid w:val="0"/>
                <w:kern w:val="0"/>
              </w:rPr>
            </w:pPr>
            <w:r>
              <w:rPr>
                <w:rFonts w:hint="eastAsia" w:ascii="仿宋" w:hAnsi="仿宋" w:eastAsia="仿宋"/>
                <w:snapToGrid w:val="0"/>
                <w:kern w:val="0"/>
              </w:rPr>
              <w:t>建筑</w:t>
            </w:r>
          </w:p>
          <w:p>
            <w:pPr>
              <w:topLinePunct/>
              <w:snapToGrid w:val="0"/>
              <w:rPr>
                <w:rFonts w:ascii="仿宋" w:hAnsi="仿宋" w:eastAsia="仿宋"/>
                <w:snapToGrid w:val="0"/>
                <w:kern w:val="0"/>
              </w:rPr>
            </w:pPr>
            <w:r>
              <w:rPr>
                <w:rFonts w:hint="eastAsia" w:ascii="仿宋" w:hAnsi="仿宋" w:eastAsia="仿宋"/>
                <w:snapToGrid w:val="0"/>
                <w:kern w:val="0"/>
              </w:rPr>
              <w:t>场地</w:t>
            </w: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学校、托幼场地</w:t>
            </w:r>
          </w:p>
        </w:tc>
        <w:tc>
          <w:tcPr>
            <w:tcW w:w="6482"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⑴大门不应开向交通干道，且入口与城市道路红线之间应有一定的缓冲距离。</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⑵活动场地邻交通干道一侧应设宽度</w:t>
            </w:r>
            <w:r>
              <w:rPr>
                <w:rFonts w:ascii="仿宋" w:hAnsi="仿宋" w:eastAsia="仿宋"/>
                <w:snapToGrid w:val="0"/>
                <w:kern w:val="0"/>
              </w:rPr>
              <w:t>5m</w:t>
            </w:r>
            <w:r>
              <w:rPr>
                <w:rFonts w:hint="eastAsia" w:ascii="仿宋" w:hAnsi="仿宋" w:eastAsia="仿宋"/>
                <w:snapToGrid w:val="0"/>
                <w:kern w:val="0"/>
              </w:rPr>
              <w:t>以上的隔离带。</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⑶教学楼首层宜部分架空作为活动、防风雨场所。</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jc w:val="center"/>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文化、体育场地</w:t>
            </w:r>
          </w:p>
        </w:tc>
        <w:tc>
          <w:tcPr>
            <w:tcW w:w="6482" w:type="dxa"/>
            <w:vAlign w:val="center"/>
          </w:tcPr>
          <w:p>
            <w:pPr>
              <w:topLinePunct/>
              <w:snapToGrid w:val="0"/>
              <w:rPr>
                <w:rFonts w:ascii="仿宋" w:hAnsi="仿宋" w:eastAsia="仿宋"/>
                <w:snapToGrid w:val="0"/>
                <w:kern w:val="0"/>
              </w:rPr>
            </w:pPr>
            <w:r>
              <w:rPr>
                <w:rFonts w:hint="eastAsia" w:ascii="仿宋" w:hAnsi="仿宋" w:eastAsia="仿宋"/>
                <w:snapToGrid w:val="0"/>
                <w:kern w:val="0"/>
              </w:rPr>
              <w:t>⑴出入口应避免与交通干道冲突。</w:t>
            </w:r>
          </w:p>
          <w:p>
            <w:pPr>
              <w:topLinePunct/>
              <w:snapToGrid w:val="0"/>
              <w:rPr>
                <w:rFonts w:ascii="仿宋" w:hAnsi="仿宋" w:eastAsia="仿宋"/>
                <w:snapToGrid w:val="0"/>
                <w:kern w:val="0"/>
              </w:rPr>
            </w:pPr>
            <w:r>
              <w:rPr>
                <w:rFonts w:hint="eastAsia" w:ascii="仿宋" w:hAnsi="仿宋" w:eastAsia="仿宋"/>
                <w:snapToGrid w:val="0"/>
                <w:kern w:val="0"/>
              </w:rPr>
              <w:t>⑵人、车分流，并满足人流集散要求。</w:t>
            </w:r>
          </w:p>
          <w:p>
            <w:pPr>
              <w:topLinePunct/>
              <w:snapToGrid w:val="0"/>
              <w:rPr>
                <w:rFonts w:ascii="仿宋" w:hAnsi="仿宋" w:eastAsia="仿宋"/>
                <w:snapToGrid w:val="0"/>
                <w:kern w:val="0"/>
              </w:rPr>
            </w:pPr>
            <w:r>
              <w:rPr>
                <w:rFonts w:hint="eastAsia" w:ascii="仿宋" w:hAnsi="仿宋" w:eastAsia="仿宋"/>
                <w:snapToGrid w:val="0"/>
                <w:kern w:val="0"/>
              </w:rPr>
              <w:t>⑶能够为公众提供活动、锻炼场所。</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restart"/>
            <w:vAlign w:val="center"/>
          </w:tcPr>
          <w:p>
            <w:pPr>
              <w:topLinePunct/>
              <w:snapToGrid w:val="0"/>
              <w:jc w:val="center"/>
              <w:rPr>
                <w:rFonts w:ascii="仿宋" w:hAnsi="仿宋" w:eastAsia="仿宋"/>
                <w:snapToGrid w:val="0"/>
                <w:kern w:val="0"/>
              </w:rPr>
            </w:pPr>
            <w:r>
              <w:rPr>
                <w:rFonts w:ascii="仿宋" w:hAnsi="仿宋" w:eastAsia="仿宋"/>
                <w:snapToGrid w:val="0"/>
                <w:kern w:val="0"/>
              </w:rPr>
              <w:t>4</w:t>
            </w:r>
          </w:p>
        </w:tc>
        <w:tc>
          <w:tcPr>
            <w:tcW w:w="702" w:type="dxa"/>
            <w:vMerge w:val="restart"/>
            <w:vAlign w:val="center"/>
          </w:tcPr>
          <w:p>
            <w:pPr>
              <w:topLinePunct/>
              <w:snapToGrid w:val="0"/>
              <w:rPr>
                <w:rFonts w:ascii="仿宋" w:hAnsi="仿宋" w:eastAsia="仿宋"/>
                <w:snapToGrid w:val="0"/>
                <w:kern w:val="0"/>
              </w:rPr>
            </w:pPr>
            <w:r>
              <w:rPr>
                <w:rFonts w:hint="eastAsia" w:ascii="仿宋" w:hAnsi="仿宋" w:eastAsia="仿宋"/>
                <w:snapToGrid w:val="0"/>
                <w:kern w:val="0"/>
              </w:rPr>
              <w:t>专用</w:t>
            </w:r>
          </w:p>
          <w:p>
            <w:pPr>
              <w:topLinePunct/>
              <w:snapToGrid w:val="0"/>
              <w:rPr>
                <w:rFonts w:ascii="仿宋" w:hAnsi="仿宋" w:eastAsia="仿宋"/>
                <w:snapToGrid w:val="0"/>
                <w:kern w:val="0"/>
              </w:rPr>
            </w:pPr>
            <w:r>
              <w:rPr>
                <w:rFonts w:hint="eastAsia" w:ascii="仿宋" w:hAnsi="仿宋" w:eastAsia="仿宋"/>
                <w:snapToGrid w:val="0"/>
                <w:kern w:val="0"/>
              </w:rPr>
              <w:t>场地</w:t>
            </w:r>
          </w:p>
        </w:tc>
        <w:tc>
          <w:tcPr>
            <w:tcW w:w="1318"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工业区、仓储区场地</w:t>
            </w:r>
          </w:p>
        </w:tc>
        <w:tc>
          <w:tcPr>
            <w:tcW w:w="6482" w:type="dxa"/>
            <w:vAlign w:val="center"/>
          </w:tcPr>
          <w:p>
            <w:pPr>
              <w:topLinePunct/>
              <w:snapToGrid w:val="0"/>
              <w:rPr>
                <w:rFonts w:ascii="仿宋" w:hAnsi="仿宋" w:eastAsia="仿宋"/>
                <w:snapToGrid w:val="0"/>
                <w:kern w:val="0"/>
              </w:rPr>
            </w:pPr>
            <w:r>
              <w:rPr>
                <w:rFonts w:hint="eastAsia" w:ascii="仿宋" w:hAnsi="仿宋" w:eastAsia="仿宋"/>
                <w:snapToGrid w:val="0"/>
                <w:kern w:val="0"/>
              </w:rPr>
              <w:t>应设置集中绿地及休憩活动场地；场地道路应满足货柜车通行、装卸机械等专业运输设备的作业要求。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Merge w:val="continue"/>
            <w:vAlign w:val="center"/>
          </w:tcPr>
          <w:p>
            <w:pPr>
              <w:topLinePunct/>
              <w:snapToGrid w:val="0"/>
              <w:rPr>
                <w:rFonts w:ascii="仿宋" w:hAnsi="仿宋" w:eastAsia="仿宋"/>
                <w:snapToGrid w:val="0"/>
                <w:kern w:val="0"/>
              </w:rPr>
            </w:pPr>
          </w:p>
        </w:tc>
        <w:tc>
          <w:tcPr>
            <w:tcW w:w="702" w:type="dxa"/>
            <w:vMerge w:val="continue"/>
            <w:vAlign w:val="center"/>
          </w:tcPr>
          <w:p>
            <w:pPr>
              <w:topLinePunct/>
              <w:snapToGrid w:val="0"/>
              <w:rPr>
                <w:rFonts w:ascii="仿宋" w:hAnsi="仿宋" w:eastAsia="仿宋"/>
                <w:snapToGrid w:val="0"/>
                <w:kern w:val="0"/>
              </w:rPr>
            </w:pPr>
          </w:p>
        </w:tc>
        <w:tc>
          <w:tcPr>
            <w:tcW w:w="1318" w:type="dxa"/>
            <w:vAlign w:val="center"/>
          </w:tcPr>
          <w:p>
            <w:pPr>
              <w:topLinePunct/>
              <w:snapToGrid w:val="0"/>
              <w:jc w:val="left"/>
              <w:rPr>
                <w:rFonts w:ascii="仿宋" w:hAnsi="仿宋" w:eastAsia="仿宋"/>
                <w:snapToGrid w:val="0"/>
                <w:kern w:val="0"/>
              </w:rPr>
            </w:pPr>
            <w:r>
              <w:rPr>
                <w:rFonts w:hint="eastAsia" w:ascii="仿宋" w:hAnsi="仿宋" w:eastAsia="仿宋"/>
                <w:snapToGrid w:val="0"/>
                <w:kern w:val="0"/>
              </w:rPr>
              <w:t>交通设施场地</w:t>
            </w:r>
          </w:p>
        </w:tc>
        <w:tc>
          <w:tcPr>
            <w:tcW w:w="6482" w:type="dxa"/>
            <w:vAlign w:val="center"/>
          </w:tcPr>
          <w:p>
            <w:pPr>
              <w:rPr>
                <w:rFonts w:ascii="仿宋" w:hAnsi="仿宋" w:eastAsia="仿宋"/>
                <w:snapToGrid w:val="0"/>
                <w:kern w:val="0"/>
              </w:rPr>
            </w:pPr>
            <w:r>
              <w:rPr>
                <w:rFonts w:hint="eastAsia" w:ascii="仿宋" w:hAnsi="仿宋" w:eastAsia="仿宋"/>
                <w:snapToGrid w:val="0"/>
                <w:kern w:val="0"/>
              </w:rPr>
              <w:t>口岸、机场、车站、港口、立交桥等交通设施场地应突出城市形象，绿地整齐规则。</w:t>
            </w:r>
          </w:p>
        </w:tc>
      </w:tr>
    </w:tbl>
    <w:p>
      <w:pPr>
        <w:topLinePunct/>
        <w:snapToGrid w:val="0"/>
        <w:spacing w:before="211" w:beforeLines="50"/>
        <w:rPr>
          <w:rFonts w:ascii="宋体" w:hAnsi="宋体"/>
          <w:b/>
          <w:snapToGrid w:val="0"/>
          <w:kern w:val="0"/>
          <w:sz w:val="24"/>
          <w:szCs w:val="24"/>
        </w:rPr>
      </w:pPr>
      <w:r>
        <w:rPr>
          <w:rFonts w:ascii="宋体" w:hAnsi="宋体"/>
          <w:b/>
          <w:snapToGrid w:val="0"/>
          <w:kern w:val="0"/>
          <w:sz w:val="24"/>
          <w:szCs w:val="24"/>
        </w:rPr>
        <w:t xml:space="preserve">D.0.3    </w:t>
      </w:r>
      <w:r>
        <w:rPr>
          <w:rFonts w:hint="eastAsia" w:ascii="宋体" w:hAnsi="宋体"/>
          <w:b/>
          <w:snapToGrid w:val="0"/>
          <w:kern w:val="0"/>
          <w:sz w:val="24"/>
          <w:szCs w:val="24"/>
        </w:rPr>
        <w:t>建设场地要素</w:t>
      </w:r>
    </w:p>
    <w:tbl>
      <w:tblPr>
        <w:tblStyle w:val="19"/>
        <w:tblpPr w:leftFromText="180" w:rightFromText="180" w:vertAnchor="text" w:tblpXSpec="center" w:tblpY="1"/>
        <w:tblOverlap w:val="never"/>
        <w:tblW w:w="918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83"/>
        <w:gridCol w:w="1297"/>
        <w:gridCol w:w="720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rPr>
                <w:rFonts w:ascii="宋体" w:hAnsi="宋体"/>
                <w:snapToGrid w:val="0"/>
                <w:kern w:val="0"/>
              </w:rPr>
            </w:pPr>
            <w:r>
              <w:rPr>
                <w:rFonts w:hint="eastAsia" w:ascii="宋体" w:hAnsi="宋体"/>
                <w:snapToGrid w:val="0"/>
                <w:kern w:val="0"/>
              </w:rPr>
              <w:t>序号</w:t>
            </w:r>
          </w:p>
        </w:tc>
        <w:tc>
          <w:tcPr>
            <w:tcW w:w="1297" w:type="dxa"/>
            <w:vAlign w:val="center"/>
          </w:tcPr>
          <w:p>
            <w:pPr>
              <w:topLinePunct/>
              <w:snapToGrid w:val="0"/>
              <w:jc w:val="center"/>
              <w:rPr>
                <w:rFonts w:ascii="宋体" w:hAnsi="宋体"/>
                <w:snapToGrid w:val="0"/>
                <w:kern w:val="0"/>
              </w:rPr>
            </w:pPr>
            <w:r>
              <w:rPr>
                <w:rFonts w:hint="eastAsia" w:ascii="宋体" w:hAnsi="宋体"/>
                <w:snapToGrid w:val="0"/>
                <w:kern w:val="0"/>
              </w:rPr>
              <w:t>场地要素</w:t>
            </w:r>
          </w:p>
        </w:tc>
        <w:tc>
          <w:tcPr>
            <w:tcW w:w="7205" w:type="dxa"/>
            <w:vAlign w:val="center"/>
          </w:tcPr>
          <w:p>
            <w:pPr>
              <w:topLinePunct/>
              <w:snapToGrid w:val="0"/>
              <w:jc w:val="center"/>
              <w:rPr>
                <w:rFonts w:ascii="宋体" w:hAnsi="宋体"/>
                <w:snapToGrid w:val="0"/>
                <w:kern w:val="0"/>
              </w:rPr>
            </w:pPr>
            <w:r>
              <w:rPr>
                <w:rFonts w:hint="eastAsia" w:ascii="宋体" w:hAnsi="宋体"/>
                <w:snapToGrid w:val="0"/>
                <w:kern w:val="0"/>
              </w:rPr>
              <w:t>设计要求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1</w:t>
            </w:r>
          </w:p>
        </w:tc>
        <w:tc>
          <w:tcPr>
            <w:tcW w:w="1297" w:type="dxa"/>
            <w:vAlign w:val="center"/>
          </w:tcPr>
          <w:p>
            <w:pPr>
              <w:topLinePunct/>
              <w:snapToGrid w:val="0"/>
              <w:rPr>
                <w:rFonts w:ascii="仿宋" w:hAnsi="仿宋" w:eastAsia="仿宋"/>
                <w:snapToGrid w:val="0"/>
                <w:kern w:val="0"/>
              </w:rPr>
            </w:pPr>
            <w:r>
              <w:rPr>
                <w:rFonts w:hint="eastAsia" w:ascii="仿宋" w:hAnsi="仿宋" w:eastAsia="仿宋"/>
                <w:snapToGrid w:val="0"/>
                <w:kern w:val="0"/>
              </w:rPr>
              <w:t>自然环境</w:t>
            </w:r>
          </w:p>
        </w:tc>
        <w:tc>
          <w:tcPr>
            <w:tcW w:w="7205" w:type="dxa"/>
            <w:vAlign w:val="center"/>
          </w:tcPr>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⑴应符合城市规划和环境保护规定，充分利用场地自然及人文景观，保护文物古迹、古树名木，尽量保持原有地形，减少土石方工程量。</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⑵滨水场地（直接临海、河、湖等水体的场地）：应保持水体岸线公共开放，旅游岸线沙滩严禁建设任何建筑物。</w:t>
            </w:r>
          </w:p>
          <w:p>
            <w:pPr>
              <w:topLinePunct/>
              <w:snapToGrid w:val="0"/>
              <w:ind w:left="210" w:hanging="210" w:hangingChars="100"/>
              <w:rPr>
                <w:rFonts w:ascii="仿宋" w:hAnsi="仿宋" w:eastAsia="仿宋"/>
                <w:snapToGrid w:val="0"/>
                <w:kern w:val="0"/>
              </w:rPr>
            </w:pPr>
            <w:r>
              <w:rPr>
                <w:rFonts w:hint="eastAsia" w:ascii="仿宋" w:hAnsi="仿宋" w:eastAsia="仿宋"/>
                <w:snapToGrid w:val="0"/>
                <w:kern w:val="0"/>
              </w:rPr>
              <w:t>⑶临山场地（紧临山体且坡度小于</w:t>
            </w:r>
            <w:r>
              <w:rPr>
                <w:rFonts w:ascii="仿宋" w:hAnsi="仿宋" w:eastAsia="仿宋"/>
                <w:snapToGrid w:val="0"/>
                <w:kern w:val="0"/>
              </w:rPr>
              <w:t>25°的场地）：靠近自然保护区、森林公园、郊野公园时，应设置绿化隔离带作为过渡；自然地形坡度大于8%时，宜采用台地式布置，台地</w:t>
            </w:r>
            <w:r>
              <w:rPr>
                <w:rFonts w:hint="eastAsia" w:ascii="仿宋" w:hAnsi="仿宋" w:eastAsia="仿宋"/>
                <w:snapToGrid w:val="0"/>
                <w:kern w:val="0"/>
              </w:rPr>
              <w:t>间应用挡土墙或护坡连接。</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exact"/>
          <w:jc w:val="center"/>
        </w:trPr>
        <w:tc>
          <w:tcPr>
            <w:tcW w:w="683" w:type="dxa"/>
            <w:vAlign w:val="center"/>
          </w:tcPr>
          <w:p>
            <w:pPr>
              <w:topLinePunct/>
              <w:snapToGrid w:val="0"/>
              <w:jc w:val="center"/>
              <w:rPr>
                <w:rFonts w:ascii="仿宋" w:hAnsi="仿宋" w:eastAsia="仿宋"/>
                <w:snapToGrid w:val="0"/>
                <w:kern w:val="0"/>
              </w:rPr>
            </w:pPr>
            <w:r>
              <w:rPr>
                <w:rFonts w:hint="eastAsia" w:ascii="宋体" w:hAnsi="宋体"/>
                <w:snapToGrid w:val="0"/>
                <w:kern w:val="0"/>
              </w:rPr>
              <w:t>序号</w:t>
            </w:r>
          </w:p>
        </w:tc>
        <w:tc>
          <w:tcPr>
            <w:tcW w:w="1297" w:type="dxa"/>
            <w:vAlign w:val="center"/>
          </w:tcPr>
          <w:p>
            <w:pPr>
              <w:topLinePunct/>
              <w:snapToGrid w:val="0"/>
              <w:jc w:val="center"/>
              <w:rPr>
                <w:rFonts w:ascii="仿宋" w:hAnsi="仿宋" w:eastAsia="仿宋"/>
                <w:snapToGrid w:val="0"/>
                <w:kern w:val="0"/>
              </w:rPr>
            </w:pPr>
            <w:r>
              <w:rPr>
                <w:rFonts w:hint="eastAsia" w:ascii="宋体" w:hAnsi="宋体"/>
                <w:snapToGrid w:val="0"/>
                <w:kern w:val="0"/>
              </w:rPr>
              <w:t>场地要素</w:t>
            </w:r>
          </w:p>
        </w:tc>
        <w:tc>
          <w:tcPr>
            <w:tcW w:w="7205" w:type="dxa"/>
            <w:vAlign w:val="center"/>
          </w:tcPr>
          <w:p>
            <w:pPr>
              <w:topLinePunct/>
              <w:snapToGrid w:val="0"/>
              <w:jc w:val="center"/>
              <w:rPr>
                <w:rFonts w:ascii="宋体" w:hAnsi="宋体"/>
                <w:snapToGrid w:val="0"/>
                <w:kern w:val="0"/>
              </w:rPr>
            </w:pPr>
            <w:r>
              <w:rPr>
                <w:rFonts w:hint="eastAsia" w:ascii="宋体" w:hAnsi="宋体"/>
                <w:snapToGrid w:val="0"/>
                <w:kern w:val="0"/>
              </w:rPr>
              <w:t>设计要求</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jc w:val="center"/>
              <w:rPr>
                <w:rFonts w:ascii="仿宋" w:hAnsi="仿宋" w:eastAsia="仿宋"/>
                <w:snapToGrid w:val="0"/>
                <w:kern w:val="0"/>
              </w:rPr>
            </w:pPr>
            <w:r>
              <w:rPr>
                <w:rFonts w:ascii="仿宋" w:hAnsi="仿宋" w:eastAsia="仿宋"/>
                <w:snapToGrid w:val="0"/>
                <w:kern w:val="0"/>
              </w:rPr>
              <w:t>2</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道路</w:t>
            </w:r>
          </w:p>
        </w:tc>
        <w:tc>
          <w:tcPr>
            <w:tcW w:w="7205" w:type="dxa"/>
            <w:vAlign w:val="center"/>
          </w:tcPr>
          <w:p>
            <w:pPr>
              <w:topLinePunct/>
              <w:snapToGrid w:val="0"/>
              <w:spacing w:line="228" w:lineRule="auto"/>
              <w:rPr>
                <w:rFonts w:ascii="仿宋" w:hAnsi="仿宋" w:eastAsia="仿宋"/>
                <w:snapToGrid w:val="0"/>
                <w:kern w:val="0"/>
              </w:rPr>
            </w:pPr>
            <w:r>
              <w:rPr>
                <w:rFonts w:hint="eastAsia" w:ascii="宋体" w:hAnsi="宋体"/>
                <w:snapToGrid w:val="0"/>
                <w:kern w:val="0"/>
              </w:rPr>
              <w:t>⑴</w:t>
            </w:r>
            <w:r>
              <w:rPr>
                <w:rFonts w:hint="eastAsia" w:ascii="仿宋" w:hAnsi="仿宋" w:eastAsia="仿宋"/>
                <w:snapToGrid w:val="0"/>
                <w:kern w:val="0"/>
              </w:rPr>
              <w:t>人行道：道路侧边设置人行道时，其宽度不应小于</w:t>
            </w:r>
            <w:r>
              <w:rPr>
                <w:rFonts w:ascii="仿宋" w:hAnsi="仿宋" w:eastAsia="仿宋"/>
                <w:snapToGrid w:val="0"/>
                <w:kern w:val="0"/>
              </w:rPr>
              <w:t>1.5m</w:t>
            </w:r>
            <w:r>
              <w:rPr>
                <w:rFonts w:hint="eastAsia" w:ascii="仿宋" w:hAnsi="仿宋" w:eastAsia="仿宋"/>
                <w:snapToGrid w:val="0"/>
                <w:kern w:val="0"/>
              </w:rPr>
              <w:t>。</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⑵无障碍通道：应符合有关无障碍设计规范要求，地面检查井盖须与地面齐平，不得用箅式井盖，人行横道和缘石坡道处不得设雨水口。</w:t>
            </w:r>
          </w:p>
          <w:p>
            <w:pPr>
              <w:topLinePunct/>
              <w:snapToGrid w:val="0"/>
              <w:spacing w:line="228" w:lineRule="auto"/>
              <w:rPr>
                <w:rFonts w:ascii="仿宋" w:hAnsi="仿宋" w:eastAsia="仿宋"/>
                <w:snapToGrid w:val="0"/>
                <w:spacing w:val="-6"/>
                <w:kern w:val="0"/>
              </w:rPr>
            </w:pPr>
            <w:r>
              <w:rPr>
                <w:rFonts w:hint="eastAsia" w:ascii="仿宋" w:hAnsi="仿宋" w:eastAsia="仿宋"/>
                <w:snapToGrid w:val="0"/>
                <w:kern w:val="0"/>
              </w:rPr>
              <w:t>⑶</w:t>
            </w:r>
            <w:r>
              <w:rPr>
                <w:rFonts w:hint="eastAsia" w:ascii="仿宋" w:hAnsi="仿宋" w:eastAsia="仿宋"/>
                <w:snapToGrid w:val="0"/>
                <w:spacing w:val="-6"/>
                <w:kern w:val="0"/>
              </w:rPr>
              <w:t>机动车道：应符合城市规划要求，避开城市干道交叉口和人流集中的街道。</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⑷非机动车道：应与机动车道或人行道结合设置，非机动车道与机动车道并行时宜设隔离设施。</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jc w:val="center"/>
              <w:rPr>
                <w:rFonts w:ascii="仿宋" w:hAnsi="仿宋" w:eastAsia="仿宋"/>
                <w:snapToGrid w:val="0"/>
                <w:kern w:val="0"/>
              </w:rPr>
            </w:pPr>
            <w:r>
              <w:rPr>
                <w:rFonts w:ascii="仿宋" w:hAnsi="仿宋" w:eastAsia="仿宋"/>
                <w:snapToGrid w:val="0"/>
                <w:kern w:val="0"/>
              </w:rPr>
              <w:t>3</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停车场</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停车场的设置应符合城市规划及《深圳市城市规划标准与准则》、《城市道路工程设计规范》、《城市道路公共交通站、场、厂工程设计规范》、《汽车库、修车库、停车场设计防火规范》、《无障碍设计规范》，出入口不得影响城市道路畅通。</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⑵机动车停车场应设于建筑背面、侧面或临次要道路，不应设在城市主要景观大道两侧及重要公共建筑前；机动车停车场内宜按单向行驶组织交通；居住场地机动车停车场宜布置在居住场地出入口附近。</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⑶自行车停车场和机动车停车场应分别布置；长条形自行车停车场宜分段设置，每段长度≤</w:t>
            </w:r>
            <w:r>
              <w:rPr>
                <w:rFonts w:ascii="仿宋" w:hAnsi="仿宋" w:eastAsia="仿宋"/>
                <w:snapToGrid w:val="0"/>
                <w:kern w:val="0"/>
              </w:rPr>
              <w:t>20m</w:t>
            </w:r>
            <w:r>
              <w:rPr>
                <w:rFonts w:hint="eastAsia" w:ascii="仿宋" w:hAnsi="仿宋" w:eastAsia="仿宋"/>
                <w:snapToGrid w:val="0"/>
                <w:kern w:val="0"/>
              </w:rPr>
              <w:t>，每段应设一个出入口，其宽度应≥</w:t>
            </w:r>
            <w:r>
              <w:rPr>
                <w:rFonts w:ascii="仿宋" w:hAnsi="仿宋" w:eastAsia="仿宋"/>
                <w:snapToGrid w:val="0"/>
                <w:kern w:val="0"/>
              </w:rPr>
              <w:t>3m</w:t>
            </w:r>
            <w:r>
              <w:rPr>
                <w:rFonts w:hint="eastAsia" w:ascii="仿宋" w:hAnsi="仿宋" w:eastAsia="仿宋"/>
                <w:snapToGrid w:val="0"/>
                <w:kern w:val="0"/>
              </w:rPr>
              <w:t>；自行车停车场宜设防雨、防晒的车棚，并设置存车支架。</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4</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绿地绿化</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⑴应保留有价值的树木，严禁砍伐古树名木。</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⑵新建的建（构）筑物距古树名木树冠外缘距离应不小于</w:t>
            </w:r>
            <w:r>
              <w:rPr>
                <w:rFonts w:ascii="仿宋" w:hAnsi="仿宋" w:eastAsia="仿宋"/>
                <w:snapToGrid w:val="0"/>
                <w:kern w:val="0"/>
              </w:rPr>
              <w:t>5m</w:t>
            </w:r>
            <w:r>
              <w:rPr>
                <w:rFonts w:hint="eastAsia" w:ascii="仿宋" w:hAnsi="仿宋" w:eastAsia="仿宋"/>
                <w:snapToGrid w:val="0"/>
                <w:kern w:val="0"/>
              </w:rPr>
              <w:t>。</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⑶各类场地的绿化覆盖率应符合相关要求，鼓励架空绿化和屋顶绿化，种植覆土厚度：种植花灌木和藤本宜≥</w:t>
            </w:r>
            <w:r>
              <w:rPr>
                <w:rFonts w:ascii="仿宋" w:hAnsi="仿宋" w:eastAsia="仿宋"/>
                <w:snapToGrid w:val="0"/>
                <w:kern w:val="0"/>
              </w:rPr>
              <w:t>0.5m</w:t>
            </w:r>
            <w:r>
              <w:rPr>
                <w:rFonts w:hint="eastAsia" w:ascii="仿宋" w:hAnsi="仿宋" w:eastAsia="仿宋"/>
                <w:snapToGrid w:val="0"/>
                <w:kern w:val="0"/>
              </w:rPr>
              <w:t>、地被植物宜≥</w:t>
            </w:r>
            <w:r>
              <w:rPr>
                <w:rFonts w:ascii="仿宋" w:hAnsi="仿宋" w:eastAsia="仿宋"/>
                <w:snapToGrid w:val="0"/>
                <w:kern w:val="0"/>
              </w:rPr>
              <w:t>0.3m</w:t>
            </w:r>
            <w:r>
              <w:rPr>
                <w:rFonts w:hint="eastAsia" w:ascii="仿宋" w:hAnsi="仿宋" w:eastAsia="仿宋"/>
                <w:snapToGrid w:val="0"/>
                <w:kern w:val="0"/>
              </w:rPr>
              <w:t>，其中屋顶绿化应符合《种植屋面工程技术规程》要求。</w:t>
            </w:r>
            <w:r>
              <w:rPr>
                <w:rFonts w:ascii="仿宋" w:hAnsi="仿宋" w:eastAsia="仿宋"/>
                <w:snapToGrid w:val="0"/>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5</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地面</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⑴硬质地面须坚实平整，并留好地面变形缝。</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⑵透水地面比例应符合相关要求；地面坡度应在</w:t>
            </w:r>
            <w:r>
              <w:rPr>
                <w:rFonts w:ascii="仿宋" w:hAnsi="仿宋" w:eastAsia="仿宋"/>
                <w:snapToGrid w:val="0"/>
                <w:kern w:val="0"/>
              </w:rPr>
              <w:t>0.5%～3%之间。</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6</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水面水景</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⑴在人流密集的地方及场地狭窄处不宜设置水面、水景，近水岸边应按相关规定考虑安全措施，水池设于坡道下方时，与坡道应至少有</w:t>
            </w:r>
            <w:r>
              <w:rPr>
                <w:rFonts w:ascii="仿宋" w:hAnsi="仿宋" w:eastAsia="仿宋"/>
                <w:snapToGrid w:val="0"/>
                <w:kern w:val="0"/>
              </w:rPr>
              <w:t>3m</w:t>
            </w:r>
            <w:r>
              <w:rPr>
                <w:rFonts w:hint="eastAsia" w:ascii="仿宋" w:hAnsi="仿宋" w:eastAsia="仿宋"/>
                <w:snapToGrid w:val="0"/>
                <w:kern w:val="0"/>
              </w:rPr>
              <w:t>的缓坡段，水池距城市道路应有</w:t>
            </w:r>
            <w:r>
              <w:rPr>
                <w:rFonts w:ascii="仿宋" w:hAnsi="仿宋" w:eastAsia="仿宋"/>
                <w:snapToGrid w:val="0"/>
                <w:kern w:val="0"/>
              </w:rPr>
              <w:t>5m</w:t>
            </w:r>
            <w:r>
              <w:rPr>
                <w:rFonts w:hint="eastAsia" w:ascii="仿宋" w:hAnsi="仿宋" w:eastAsia="仿宋"/>
                <w:snapToGrid w:val="0"/>
                <w:kern w:val="0"/>
              </w:rPr>
              <w:t>以上距离。</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⑵居住、学校、托幼场地不宜设置音乐喷泉和瀑布。</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⑶水池应考虑无水期间的景观效果。</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jc w:val="center"/>
              <w:rPr>
                <w:rFonts w:ascii="仿宋" w:hAnsi="仿宋" w:eastAsia="仿宋"/>
                <w:snapToGrid w:val="0"/>
                <w:kern w:val="0"/>
              </w:rPr>
            </w:pPr>
            <w:r>
              <w:rPr>
                <w:rFonts w:ascii="仿宋" w:hAnsi="仿宋" w:eastAsia="仿宋"/>
                <w:snapToGrid w:val="0"/>
                <w:kern w:val="0"/>
              </w:rPr>
              <w:t>7</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围护设施</w:t>
            </w:r>
          </w:p>
        </w:tc>
        <w:tc>
          <w:tcPr>
            <w:tcW w:w="7205" w:type="dxa"/>
            <w:vAlign w:val="center"/>
          </w:tcPr>
          <w:p>
            <w:pPr>
              <w:topLinePunct/>
              <w:snapToGrid w:val="0"/>
              <w:spacing w:line="228" w:lineRule="auto"/>
              <w:rPr>
                <w:rFonts w:ascii="仿宋" w:hAnsi="仿宋" w:eastAsia="仿宋"/>
                <w:snapToGrid w:val="0"/>
                <w:kern w:val="0"/>
              </w:rPr>
            </w:pPr>
            <w:r>
              <w:rPr>
                <w:rFonts w:hint="eastAsia" w:ascii="仿宋" w:hAnsi="仿宋" w:eastAsia="仿宋"/>
                <w:snapToGrid w:val="0"/>
                <w:kern w:val="0"/>
              </w:rPr>
              <w:t>应设置围护设施的区域：场地地坪高差大于</w:t>
            </w:r>
            <w:r>
              <w:rPr>
                <w:rFonts w:ascii="仿宋" w:hAnsi="仿宋" w:eastAsia="仿宋"/>
                <w:snapToGrid w:val="0"/>
                <w:kern w:val="0"/>
              </w:rPr>
              <w:t>0.9m</w:t>
            </w:r>
            <w:r>
              <w:rPr>
                <w:rFonts w:hint="eastAsia" w:ascii="仿宋" w:hAnsi="仿宋" w:eastAsia="仿宋"/>
                <w:snapToGrid w:val="0"/>
                <w:kern w:val="0"/>
              </w:rPr>
              <w:t>，公共场所</w:t>
            </w:r>
            <w:r>
              <w:rPr>
                <w:rFonts w:ascii="仿宋" w:hAnsi="仿宋" w:eastAsia="仿宋"/>
                <w:snapToGrid w:val="0"/>
                <w:kern w:val="0"/>
              </w:rPr>
              <w:t>5步以上的台阶两侧</w:t>
            </w:r>
            <w:r>
              <w:rPr>
                <w:rFonts w:hint="eastAsia" w:ascii="仿宋" w:hAnsi="仿宋" w:eastAsia="仿宋"/>
                <w:snapToGrid w:val="0"/>
                <w:kern w:val="0"/>
              </w:rPr>
              <w:t>，</w:t>
            </w:r>
            <w:r>
              <w:rPr>
                <w:rFonts w:ascii="仿宋" w:hAnsi="仿宋" w:eastAsia="仿宋"/>
                <w:snapToGrid w:val="0"/>
                <w:kern w:val="0"/>
              </w:rPr>
              <w:t>人流活动频繁、地面高差大于0.4m</w:t>
            </w:r>
            <w:r>
              <w:rPr>
                <w:rFonts w:hint="eastAsia" w:ascii="仿宋" w:hAnsi="仿宋" w:eastAsia="仿宋"/>
                <w:snapToGrid w:val="0"/>
                <w:kern w:val="0"/>
              </w:rPr>
              <w:t>的台地边，水深大于</w:t>
            </w:r>
            <w:r>
              <w:rPr>
                <w:rFonts w:ascii="仿宋" w:hAnsi="仿宋" w:eastAsia="仿宋"/>
                <w:snapToGrid w:val="0"/>
                <w:kern w:val="0"/>
              </w:rPr>
              <w:t>0.4m</w:t>
            </w:r>
            <w:r>
              <w:rPr>
                <w:rFonts w:hint="eastAsia" w:ascii="仿宋" w:hAnsi="仿宋" w:eastAsia="仿宋"/>
                <w:snapToGrid w:val="0"/>
                <w:kern w:val="0"/>
              </w:rPr>
              <w:t>的水池岸边以及其他危险场所。</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jc w:val="center"/>
              <w:rPr>
                <w:rFonts w:ascii="仿宋" w:hAnsi="仿宋" w:eastAsia="仿宋"/>
                <w:snapToGrid w:val="0"/>
                <w:kern w:val="0"/>
              </w:rPr>
            </w:pPr>
            <w:r>
              <w:rPr>
                <w:rFonts w:ascii="仿宋" w:hAnsi="仿宋" w:eastAsia="仿宋"/>
                <w:snapToGrid w:val="0"/>
                <w:kern w:val="0"/>
              </w:rPr>
              <w:t>8</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环境、建筑小品</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⑴公共活动、商业购物、娱乐休闲、街头绿地等场所应设置休息座椅(凳)。</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⑵公厕应按《深圳市中小型环境卫生设施规划与设计标准》设置，位置应隐蔽、方便。</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⑶游戏设施应形成相对封闭的围合空间，防止干扰，保障安全；游戏场地边缘与机动车道的距离小于</w:t>
            </w:r>
            <w:r>
              <w:rPr>
                <w:rFonts w:ascii="仿宋" w:hAnsi="仿宋" w:eastAsia="仿宋"/>
                <w:snapToGrid w:val="0"/>
                <w:kern w:val="0"/>
              </w:rPr>
              <w:t>10m</w:t>
            </w:r>
            <w:r>
              <w:rPr>
                <w:rFonts w:hint="eastAsia" w:ascii="仿宋" w:hAnsi="仿宋" w:eastAsia="仿宋"/>
                <w:snapToGrid w:val="0"/>
                <w:kern w:val="0"/>
              </w:rPr>
              <w:t>时，应加设高度不小于</w:t>
            </w:r>
            <w:r>
              <w:rPr>
                <w:rFonts w:ascii="仿宋" w:hAnsi="仿宋" w:eastAsia="仿宋"/>
                <w:snapToGrid w:val="0"/>
                <w:kern w:val="0"/>
              </w:rPr>
              <w:t>0.6m</w:t>
            </w:r>
            <w:r>
              <w:rPr>
                <w:rFonts w:hint="eastAsia" w:ascii="仿宋" w:hAnsi="仿宋" w:eastAsia="仿宋"/>
                <w:snapToGrid w:val="0"/>
                <w:kern w:val="0"/>
              </w:rPr>
              <w:t>的围护设施。</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⑷雕塑的设置应符合《深圳经济特区城市雕塑总体规划》、《特区雕塑设计管理条例》。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9</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照明</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⑴照明灯具器材等应设在隐蔽处，不得影响白天的环境景观效果。</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⑵灯具装置结构应牢固，便于维修，且能承受外界冲力（台风、交通震动等），高度低于</w:t>
            </w:r>
            <w:r>
              <w:rPr>
                <w:rFonts w:ascii="仿宋" w:hAnsi="仿宋" w:eastAsia="仿宋"/>
                <w:snapToGrid w:val="0"/>
                <w:kern w:val="0"/>
              </w:rPr>
              <w:t>1.5m</w:t>
            </w:r>
            <w:r>
              <w:rPr>
                <w:rFonts w:hint="eastAsia" w:ascii="仿宋" w:hAnsi="仿宋" w:eastAsia="仿宋"/>
                <w:snapToGrid w:val="0"/>
                <w:kern w:val="0"/>
              </w:rPr>
              <w:t>的光源应采取防护措施。</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83" w:type="dxa"/>
            <w:vAlign w:val="center"/>
          </w:tcPr>
          <w:p>
            <w:pPr>
              <w:topLinePunct/>
              <w:snapToGrid w:val="0"/>
              <w:ind w:firstLine="105" w:firstLineChars="50"/>
              <w:jc w:val="center"/>
              <w:rPr>
                <w:rFonts w:ascii="仿宋" w:hAnsi="仿宋" w:eastAsia="仿宋"/>
                <w:snapToGrid w:val="0"/>
                <w:kern w:val="0"/>
              </w:rPr>
            </w:pPr>
            <w:r>
              <w:rPr>
                <w:rFonts w:ascii="仿宋" w:hAnsi="仿宋" w:eastAsia="仿宋"/>
                <w:snapToGrid w:val="0"/>
                <w:kern w:val="0"/>
              </w:rPr>
              <w:t>10</w:t>
            </w:r>
          </w:p>
        </w:tc>
        <w:tc>
          <w:tcPr>
            <w:tcW w:w="1297" w:type="dxa"/>
            <w:vAlign w:val="center"/>
          </w:tcPr>
          <w:p>
            <w:pPr>
              <w:topLinePunct/>
              <w:snapToGrid w:val="0"/>
              <w:jc w:val="center"/>
              <w:rPr>
                <w:rFonts w:ascii="仿宋" w:hAnsi="仿宋" w:eastAsia="仿宋"/>
                <w:snapToGrid w:val="0"/>
                <w:kern w:val="0"/>
              </w:rPr>
            </w:pPr>
            <w:r>
              <w:rPr>
                <w:rFonts w:hint="eastAsia" w:ascii="仿宋" w:hAnsi="仿宋" w:eastAsia="仿宋"/>
                <w:snapToGrid w:val="0"/>
                <w:kern w:val="0"/>
              </w:rPr>
              <w:t>市政设施</w:t>
            </w:r>
          </w:p>
        </w:tc>
        <w:tc>
          <w:tcPr>
            <w:tcW w:w="7205" w:type="dxa"/>
            <w:vAlign w:val="center"/>
          </w:tcPr>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⑴硬质场地与绿地的排水坡度应不小于</w:t>
            </w:r>
            <w:r>
              <w:rPr>
                <w:rFonts w:ascii="仿宋" w:hAnsi="仿宋" w:eastAsia="仿宋"/>
                <w:snapToGrid w:val="0"/>
                <w:kern w:val="0"/>
              </w:rPr>
              <w:t>0.5%</w:t>
            </w:r>
            <w:r>
              <w:rPr>
                <w:rFonts w:hint="eastAsia" w:ascii="仿宋" w:hAnsi="仿宋" w:eastAsia="仿宋"/>
                <w:snapToGrid w:val="0"/>
                <w:kern w:val="0"/>
              </w:rPr>
              <w:t>，</w:t>
            </w:r>
            <w:r>
              <w:rPr>
                <w:rFonts w:ascii="仿宋" w:hAnsi="仿宋" w:eastAsia="仿宋"/>
                <w:snapToGrid w:val="0"/>
                <w:kern w:val="0"/>
              </w:rPr>
              <w:t>硬质场地一般</w:t>
            </w:r>
            <w:r>
              <w:rPr>
                <w:rFonts w:hint="eastAsia" w:ascii="仿宋" w:hAnsi="仿宋" w:eastAsia="仿宋"/>
                <w:snapToGrid w:val="0"/>
                <w:kern w:val="0"/>
              </w:rPr>
              <w:t>应</w:t>
            </w:r>
            <w:r>
              <w:rPr>
                <w:rFonts w:ascii="仿宋" w:hAnsi="仿宋" w:eastAsia="仿宋"/>
                <w:snapToGrid w:val="0"/>
                <w:kern w:val="0"/>
              </w:rPr>
              <w:t>在场地四周设置雨水口，绿地应坡向四周道路上的雨水口</w:t>
            </w:r>
            <w:r>
              <w:rPr>
                <w:rFonts w:hint="eastAsia" w:ascii="仿宋" w:hAnsi="仿宋" w:eastAsia="仿宋"/>
                <w:snapToGrid w:val="0"/>
                <w:kern w:val="0"/>
              </w:rPr>
              <w:t>。</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⑵</w:t>
            </w:r>
            <w:r>
              <w:rPr>
                <w:rFonts w:ascii="仿宋" w:hAnsi="仿宋" w:eastAsia="仿宋"/>
                <w:snapToGrid w:val="0"/>
                <w:kern w:val="0"/>
              </w:rPr>
              <w:t>水景用水经常外溢飘入场地时，应在水景周边设排水边沟，周边场地应坡向水景排水边沟</w:t>
            </w:r>
            <w:r>
              <w:rPr>
                <w:rFonts w:hint="eastAsia" w:ascii="仿宋" w:hAnsi="仿宋" w:eastAsia="仿宋"/>
                <w:snapToGrid w:val="0"/>
                <w:kern w:val="0"/>
              </w:rPr>
              <w:t>。</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⑶</w:t>
            </w:r>
            <w:r>
              <w:rPr>
                <w:rFonts w:ascii="仿宋" w:hAnsi="仿宋" w:eastAsia="仿宋"/>
                <w:snapToGrid w:val="0"/>
                <w:kern w:val="0"/>
              </w:rPr>
              <w:t>污水处理构筑物应设在绿地内隐蔽处并应靠近机动车道</w:t>
            </w:r>
            <w:r>
              <w:rPr>
                <w:rFonts w:hint="eastAsia" w:ascii="仿宋" w:hAnsi="仿宋" w:eastAsia="仿宋"/>
                <w:snapToGrid w:val="0"/>
                <w:kern w:val="0"/>
              </w:rPr>
              <w:t>。</w:t>
            </w:r>
          </w:p>
          <w:p>
            <w:pPr>
              <w:topLinePunct/>
              <w:snapToGrid w:val="0"/>
              <w:spacing w:line="228" w:lineRule="auto"/>
              <w:ind w:left="210" w:hanging="210" w:hangingChars="100"/>
              <w:rPr>
                <w:rFonts w:ascii="仿宋" w:hAnsi="仿宋" w:eastAsia="仿宋"/>
                <w:snapToGrid w:val="0"/>
                <w:kern w:val="0"/>
              </w:rPr>
            </w:pPr>
            <w:r>
              <w:rPr>
                <w:rFonts w:hint="eastAsia" w:ascii="仿宋" w:hAnsi="仿宋" w:eastAsia="仿宋"/>
                <w:snapToGrid w:val="0"/>
                <w:kern w:val="0"/>
              </w:rPr>
              <w:t>⑷用于</w:t>
            </w:r>
            <w:r>
              <w:rPr>
                <w:rFonts w:ascii="仿宋" w:hAnsi="仿宋" w:eastAsia="仿宋"/>
                <w:snapToGrid w:val="0"/>
                <w:kern w:val="0"/>
              </w:rPr>
              <w:t>举行大型活动及庆典活动的场地，应考虑活动时临时厕所的设置</w:t>
            </w:r>
            <w:r>
              <w:rPr>
                <w:rFonts w:hint="eastAsia" w:ascii="仿宋" w:hAnsi="仿宋" w:eastAsia="仿宋"/>
                <w:snapToGrid w:val="0"/>
                <w:kern w:val="0"/>
              </w:rPr>
              <w:t>，污水排出下沉式广场宜采用边沟排水。</w:t>
            </w:r>
          </w:p>
        </w:tc>
      </w:tr>
    </w:tbl>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ngXian">
    <w:altName w:val="华文仿宋"/>
    <w:panose1 w:val="00000000000000000000"/>
    <w:charset w:val="86"/>
    <w:family w:val="auto"/>
    <w:pitch w:val="default"/>
    <w:sig w:usb0="00000000" w:usb1="00000000" w:usb2="00000000" w:usb3="00000000" w:csb0="00000000" w:csb1="00000000"/>
  </w:font>
  <w:font w:name="DengXian">
    <w:altName w:val="URW Bookman"/>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B6F5F"/>
    <w:multiLevelType w:val="multilevel"/>
    <w:tmpl w:val="052B6F5F"/>
    <w:lvl w:ilvl="0" w:tentative="0">
      <w:start w:val="2"/>
      <w:numFmt w:val="decimalEnclosedParen"/>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0F50AE4"/>
    <w:multiLevelType w:val="multilevel"/>
    <w:tmpl w:val="20F50AE4"/>
    <w:lvl w:ilvl="0" w:tentative="0">
      <w:start w:val="1"/>
      <w:numFmt w:val="decimalEnclosedCircle"/>
      <w:pStyle w:val="7"/>
      <w:lvlText w:val="%1"/>
      <w:lvlJc w:val="left"/>
      <w:pPr>
        <w:ind w:left="1200" w:hanging="360"/>
      </w:pPr>
      <w:rPr>
        <w:rFonts w:hint="default" w:ascii="Arial" w:hAnsi="Arial" w:cs="Arial"/>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6006420"/>
    <w:multiLevelType w:val="multilevel"/>
    <w:tmpl w:val="36006420"/>
    <w:lvl w:ilvl="0" w:tentative="0">
      <w:start w:val="1"/>
      <w:numFmt w:val="decimal"/>
      <w:pStyle w:val="6"/>
      <w:lvlText w:val="%1）"/>
      <w:lvlJc w:val="left"/>
      <w:pPr>
        <w:ind w:left="115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C1231C"/>
    <w:multiLevelType w:val="multilevel"/>
    <w:tmpl w:val="3FC1231C"/>
    <w:lvl w:ilvl="0" w:tentative="0">
      <w:start w:val="3"/>
      <w:numFmt w:val="decimal"/>
      <w:pStyle w:val="2"/>
      <w:lvlText w:val="第%1章"/>
      <w:lvlJc w:val="left"/>
      <w:pPr>
        <w:ind w:left="2835" w:hanging="2835"/>
      </w:pPr>
      <w:rPr>
        <w:rFonts w:hint="eastAsia"/>
      </w:rPr>
    </w:lvl>
    <w:lvl w:ilvl="1" w:tentative="0">
      <w:start w:val="1"/>
      <w:numFmt w:val="decimal"/>
      <w:pStyle w:val="3"/>
      <w:lvlText w:val="%1.%2"/>
      <w:lvlJc w:val="left"/>
      <w:pPr>
        <w:tabs>
          <w:tab w:val="left" w:pos="851"/>
        </w:tabs>
        <w:ind w:left="2835" w:hanging="2835"/>
      </w:pPr>
      <w:rPr>
        <w:rFonts w:hint="eastAsia"/>
      </w:rPr>
    </w:lvl>
    <w:lvl w:ilvl="2" w:tentative="0">
      <w:start w:val="1"/>
      <w:numFmt w:val="decimal"/>
      <w:pStyle w:val="4"/>
      <w:lvlText w:val="%1.%2.%3"/>
      <w:lvlJc w:val="left"/>
      <w:pPr>
        <w:ind w:left="851" w:hanging="851"/>
      </w:pPr>
      <w:rPr>
        <w:rFonts w:hint="eastAsia"/>
      </w:rPr>
    </w:lvl>
    <w:lvl w:ilvl="3" w:tentative="0">
      <w:start w:val="1"/>
      <w:numFmt w:val="decimal"/>
      <w:pStyle w:val="5"/>
      <w:lvlText w:val="%1.%2.%3.%4"/>
      <w:lvlJc w:val="left"/>
      <w:pPr>
        <w:ind w:left="851" w:hanging="851"/>
      </w:pPr>
      <w:rPr>
        <w:rFonts w:hint="eastAsia"/>
        <w:color w:val="auto"/>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40A35F20"/>
    <w:multiLevelType w:val="multilevel"/>
    <w:tmpl w:val="40A35F20"/>
    <w:lvl w:ilvl="0" w:tentative="0">
      <w:start w:val="1"/>
      <w:numFmt w:val="decimalEnclosedParen"/>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hideSpellingErrors/>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5A"/>
    <w:rsid w:val="000027A1"/>
    <w:rsid w:val="00017180"/>
    <w:rsid w:val="000433E0"/>
    <w:rsid w:val="0005416F"/>
    <w:rsid w:val="00090541"/>
    <w:rsid w:val="000A7194"/>
    <w:rsid w:val="000F5B5B"/>
    <w:rsid w:val="0012333F"/>
    <w:rsid w:val="0014359A"/>
    <w:rsid w:val="00173C3C"/>
    <w:rsid w:val="001E6E14"/>
    <w:rsid w:val="0023514B"/>
    <w:rsid w:val="00270BD2"/>
    <w:rsid w:val="002B0F1A"/>
    <w:rsid w:val="002D373D"/>
    <w:rsid w:val="0036617B"/>
    <w:rsid w:val="003870AB"/>
    <w:rsid w:val="00397FE8"/>
    <w:rsid w:val="003C4439"/>
    <w:rsid w:val="003E5C1B"/>
    <w:rsid w:val="003E5F8B"/>
    <w:rsid w:val="00474B3B"/>
    <w:rsid w:val="00516CF6"/>
    <w:rsid w:val="005666EF"/>
    <w:rsid w:val="005A223A"/>
    <w:rsid w:val="005A3B13"/>
    <w:rsid w:val="005C7F03"/>
    <w:rsid w:val="005D0A4B"/>
    <w:rsid w:val="0061586E"/>
    <w:rsid w:val="007066F5"/>
    <w:rsid w:val="00707C15"/>
    <w:rsid w:val="00723E36"/>
    <w:rsid w:val="007F3303"/>
    <w:rsid w:val="007F78E7"/>
    <w:rsid w:val="00821C55"/>
    <w:rsid w:val="00842197"/>
    <w:rsid w:val="00843AD7"/>
    <w:rsid w:val="00936A70"/>
    <w:rsid w:val="00956D2E"/>
    <w:rsid w:val="009622C8"/>
    <w:rsid w:val="00995FC6"/>
    <w:rsid w:val="009A137F"/>
    <w:rsid w:val="009B07CB"/>
    <w:rsid w:val="00A06A88"/>
    <w:rsid w:val="00A239F0"/>
    <w:rsid w:val="00A34FBE"/>
    <w:rsid w:val="00A57E62"/>
    <w:rsid w:val="00A76545"/>
    <w:rsid w:val="00AA5B4B"/>
    <w:rsid w:val="00AB590F"/>
    <w:rsid w:val="00AF2DC8"/>
    <w:rsid w:val="00AF61E3"/>
    <w:rsid w:val="00B05521"/>
    <w:rsid w:val="00B75F06"/>
    <w:rsid w:val="00BD24E8"/>
    <w:rsid w:val="00BE1917"/>
    <w:rsid w:val="00C02734"/>
    <w:rsid w:val="00C17CAA"/>
    <w:rsid w:val="00C20E5D"/>
    <w:rsid w:val="00C3267E"/>
    <w:rsid w:val="00C7485A"/>
    <w:rsid w:val="00C96B8A"/>
    <w:rsid w:val="00D14BB4"/>
    <w:rsid w:val="00D774AB"/>
    <w:rsid w:val="00DC6BF3"/>
    <w:rsid w:val="00DE2F92"/>
    <w:rsid w:val="00DE5F0E"/>
    <w:rsid w:val="00E400EA"/>
    <w:rsid w:val="00ED1D34"/>
    <w:rsid w:val="00EE2BEC"/>
    <w:rsid w:val="00F16547"/>
    <w:rsid w:val="00F42307"/>
    <w:rsid w:val="00F50578"/>
    <w:rsid w:val="00F50DB5"/>
    <w:rsid w:val="00F51568"/>
    <w:rsid w:val="00F720AA"/>
    <w:rsid w:val="00F8315E"/>
    <w:rsid w:val="00FC56F7"/>
    <w:rsid w:val="00FD1EB3"/>
    <w:rsid w:val="054B3A5B"/>
    <w:rsid w:val="06F47EE1"/>
    <w:rsid w:val="0C036EBE"/>
    <w:rsid w:val="0D215336"/>
    <w:rsid w:val="137F7A41"/>
    <w:rsid w:val="15011746"/>
    <w:rsid w:val="17A1653C"/>
    <w:rsid w:val="186D1CFF"/>
    <w:rsid w:val="1C7647FD"/>
    <w:rsid w:val="1E663337"/>
    <w:rsid w:val="22AB6AE9"/>
    <w:rsid w:val="23A95BD9"/>
    <w:rsid w:val="29997A93"/>
    <w:rsid w:val="2B19203F"/>
    <w:rsid w:val="2D384806"/>
    <w:rsid w:val="2E1C4B3B"/>
    <w:rsid w:val="349F1221"/>
    <w:rsid w:val="39212BFD"/>
    <w:rsid w:val="3CCD17CC"/>
    <w:rsid w:val="47377C46"/>
    <w:rsid w:val="47A208B8"/>
    <w:rsid w:val="4D3A3E3A"/>
    <w:rsid w:val="54F962B4"/>
    <w:rsid w:val="5A116D00"/>
    <w:rsid w:val="61014B8D"/>
    <w:rsid w:val="61B71F86"/>
    <w:rsid w:val="65110003"/>
    <w:rsid w:val="6DF55BA0"/>
    <w:rsid w:val="6F59081B"/>
    <w:rsid w:val="71E154CD"/>
    <w:rsid w:val="7D4E2D65"/>
    <w:rsid w:val="DCA32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8"/>
    <w:qFormat/>
    <w:uiPriority w:val="9"/>
    <w:pPr>
      <w:keepNext/>
      <w:keepLines/>
      <w:numPr>
        <w:ilvl w:val="0"/>
        <w:numId w:val="1"/>
      </w:numPr>
      <w:spacing w:after="400" w:line="480" w:lineRule="auto"/>
      <w:ind w:left="2685" w:leftChars="-150"/>
      <w:outlineLvl w:val="0"/>
    </w:pPr>
    <w:rPr>
      <w:rFonts w:eastAsia="黑体" w:cs="Times New Roman"/>
      <w:b/>
      <w:bCs/>
      <w:kern w:val="44"/>
      <w:sz w:val="32"/>
      <w:szCs w:val="44"/>
    </w:rPr>
  </w:style>
  <w:style w:type="paragraph" w:styleId="3">
    <w:name w:val="heading 2"/>
    <w:basedOn w:val="1"/>
    <w:next w:val="1"/>
    <w:link w:val="29"/>
    <w:qFormat/>
    <w:uiPriority w:val="99"/>
    <w:pPr>
      <w:keepNext/>
      <w:keepLines/>
      <w:numPr>
        <w:ilvl w:val="1"/>
        <w:numId w:val="1"/>
      </w:numPr>
      <w:spacing w:before="600" w:after="200" w:line="240" w:lineRule="exact"/>
      <w:outlineLvl w:val="1"/>
    </w:pPr>
    <w:rPr>
      <w:rFonts w:ascii="Arial" w:hAnsi="Arial" w:eastAsia="黑体" w:cs="Times New Roman"/>
      <w:b/>
      <w:bCs/>
      <w:kern w:val="0"/>
      <w:sz w:val="20"/>
      <w:szCs w:val="32"/>
    </w:rPr>
  </w:style>
  <w:style w:type="paragraph" w:styleId="4">
    <w:name w:val="heading 3"/>
    <w:basedOn w:val="1"/>
    <w:next w:val="1"/>
    <w:link w:val="30"/>
    <w:qFormat/>
    <w:uiPriority w:val="9"/>
    <w:pPr>
      <w:keepNext/>
      <w:keepLines/>
      <w:numPr>
        <w:ilvl w:val="2"/>
        <w:numId w:val="1"/>
      </w:numPr>
      <w:spacing w:line="360" w:lineRule="auto"/>
      <w:outlineLvl w:val="2"/>
    </w:pPr>
    <w:rPr>
      <w:rFonts w:ascii="Arial" w:hAnsi="Arial" w:cs="Times New Roman"/>
      <w:bCs/>
      <w:kern w:val="0"/>
      <w:sz w:val="20"/>
      <w:szCs w:val="32"/>
    </w:rPr>
  </w:style>
  <w:style w:type="paragraph" w:styleId="5">
    <w:name w:val="heading 4"/>
    <w:basedOn w:val="4"/>
    <w:next w:val="1"/>
    <w:link w:val="31"/>
    <w:qFormat/>
    <w:uiPriority w:val="9"/>
    <w:pPr>
      <w:keepNext w:val="0"/>
      <w:keepLines w:val="0"/>
      <w:numPr>
        <w:ilvl w:val="3"/>
      </w:numPr>
      <w:outlineLvl w:val="3"/>
    </w:pPr>
  </w:style>
  <w:style w:type="paragraph" w:styleId="6">
    <w:name w:val="heading 5"/>
    <w:basedOn w:val="1"/>
    <w:next w:val="1"/>
    <w:link w:val="32"/>
    <w:qFormat/>
    <w:uiPriority w:val="0"/>
    <w:pPr>
      <w:keepNext/>
      <w:keepLines/>
      <w:numPr>
        <w:ilvl w:val="0"/>
        <w:numId w:val="2"/>
      </w:numPr>
      <w:spacing w:line="360" w:lineRule="auto"/>
      <w:ind w:left="400" w:leftChars="400" w:firstLine="0"/>
      <w:outlineLvl w:val="4"/>
    </w:pPr>
    <w:rPr>
      <w:rFonts w:ascii="Arial" w:hAnsi="Arial" w:cs="Times New Roman"/>
      <w:bCs/>
      <w:szCs w:val="28"/>
    </w:rPr>
  </w:style>
  <w:style w:type="paragraph" w:styleId="7">
    <w:name w:val="heading 6"/>
    <w:basedOn w:val="1"/>
    <w:next w:val="1"/>
    <w:link w:val="33"/>
    <w:qFormat/>
    <w:uiPriority w:val="0"/>
    <w:pPr>
      <w:keepNext/>
      <w:keepLines/>
      <w:numPr>
        <w:ilvl w:val="0"/>
        <w:numId w:val="3"/>
      </w:numPr>
      <w:spacing w:line="360" w:lineRule="auto"/>
      <w:ind w:left="400" w:leftChars="400" w:firstLine="0"/>
      <w:outlineLvl w:val="5"/>
    </w:pPr>
    <w:rPr>
      <w:rFonts w:ascii="Arial" w:hAnsi="Arial" w:cs="Times New Roman"/>
      <w:bCs/>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qFormat/>
    <w:uiPriority w:val="0"/>
    <w:pPr>
      <w:spacing w:beforeLines="50" w:afterLines="50"/>
      <w:ind w:left="400" w:leftChars="400"/>
      <w:jc w:val="center"/>
    </w:pPr>
    <w:rPr>
      <w:rFonts w:ascii="Arial" w:hAnsi="Arial" w:eastAsia="楷体_GB2312" w:cs="Times New Roman"/>
      <w:b/>
      <w:szCs w:val="20"/>
    </w:rPr>
  </w:style>
  <w:style w:type="paragraph" w:styleId="9">
    <w:name w:val="Document Map"/>
    <w:basedOn w:val="1"/>
    <w:link w:val="45"/>
    <w:semiHidden/>
    <w:unhideWhenUsed/>
    <w:qFormat/>
    <w:uiPriority w:val="0"/>
    <w:rPr>
      <w:rFonts w:ascii="宋体" w:cs="Times New Roman"/>
      <w:sz w:val="18"/>
      <w:szCs w:val="18"/>
    </w:rPr>
  </w:style>
  <w:style w:type="paragraph" w:styleId="10">
    <w:name w:val="annotation text"/>
    <w:basedOn w:val="1"/>
    <w:link w:val="53"/>
    <w:semiHidden/>
    <w:qFormat/>
    <w:uiPriority w:val="0"/>
    <w:pPr>
      <w:jc w:val="left"/>
    </w:pPr>
    <w:rPr>
      <w:rFonts w:cs="Times New Roman"/>
      <w:szCs w:val="22"/>
    </w:rPr>
  </w:style>
  <w:style w:type="paragraph" w:styleId="11">
    <w:name w:val="Date"/>
    <w:basedOn w:val="1"/>
    <w:next w:val="1"/>
    <w:link w:val="36"/>
    <w:qFormat/>
    <w:uiPriority w:val="0"/>
    <w:pPr>
      <w:ind w:left="100" w:leftChars="2500"/>
    </w:pPr>
  </w:style>
  <w:style w:type="paragraph" w:styleId="12">
    <w:name w:val="Balloon Text"/>
    <w:basedOn w:val="1"/>
    <w:link w:val="35"/>
    <w:semiHidden/>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5">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7">
    <w:name w:val="Title"/>
    <w:basedOn w:val="1"/>
    <w:next w:val="1"/>
    <w:link w:val="66"/>
    <w:qFormat/>
    <w:uiPriority w:val="0"/>
    <w:pPr>
      <w:adjustRightInd w:val="0"/>
      <w:snapToGrid w:val="0"/>
      <w:spacing w:before="50" w:beforeLines="50"/>
      <w:jc w:val="left"/>
      <w:textAlignment w:val="baseline"/>
    </w:pPr>
    <w:rPr>
      <w:rFonts w:eastAsia="华文细黑" w:cs="Times New Roman"/>
      <w:b/>
      <w:bCs/>
      <w:sz w:val="32"/>
      <w:szCs w:val="32"/>
    </w:rPr>
  </w:style>
  <w:style w:type="paragraph" w:styleId="18">
    <w:name w:val="annotation subject"/>
    <w:basedOn w:val="10"/>
    <w:next w:val="10"/>
    <w:link w:val="63"/>
    <w:semiHidden/>
    <w:unhideWhenUsed/>
    <w:qFormat/>
    <w:uiPriority w:val="99"/>
    <w:rPr>
      <w:rFonts w:cs="Calibri"/>
      <w:b/>
      <w:bCs/>
      <w:szCs w:val="21"/>
    </w:rPr>
  </w:style>
  <w:style w:type="table" w:styleId="20">
    <w:name w:val="Table Grid"/>
    <w:basedOn w:val="19"/>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style>
  <w:style w:type="character" w:styleId="24">
    <w:name w:val="FollowedHyperlink"/>
    <w:qFormat/>
    <w:uiPriority w:val="0"/>
    <w:rPr>
      <w:color w:val="800080"/>
      <w:u w:val="single"/>
    </w:rPr>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semiHidden/>
    <w:unhideWhenUsed/>
    <w:qFormat/>
    <w:uiPriority w:val="99"/>
    <w:rPr>
      <w:sz w:val="21"/>
      <w:szCs w:val="21"/>
    </w:rPr>
  </w:style>
  <w:style w:type="character" w:customStyle="1" w:styleId="28">
    <w:name w:val="标题 1 Char"/>
    <w:basedOn w:val="21"/>
    <w:link w:val="2"/>
    <w:qFormat/>
    <w:uiPriority w:val="9"/>
    <w:rPr>
      <w:rFonts w:ascii="Calibri" w:hAnsi="Calibri" w:eastAsia="黑体" w:cs="Times New Roman"/>
      <w:b/>
      <w:bCs/>
      <w:kern w:val="44"/>
      <w:sz w:val="32"/>
      <w:szCs w:val="44"/>
    </w:rPr>
  </w:style>
  <w:style w:type="character" w:customStyle="1" w:styleId="29">
    <w:name w:val="标题 2 Char"/>
    <w:basedOn w:val="21"/>
    <w:link w:val="3"/>
    <w:qFormat/>
    <w:uiPriority w:val="99"/>
    <w:rPr>
      <w:rFonts w:ascii="Arial" w:hAnsi="Arial" w:eastAsia="黑体" w:cs="Times New Roman"/>
      <w:b/>
      <w:bCs/>
      <w:kern w:val="0"/>
      <w:sz w:val="20"/>
      <w:szCs w:val="32"/>
    </w:rPr>
  </w:style>
  <w:style w:type="character" w:customStyle="1" w:styleId="30">
    <w:name w:val="标题 3 Char"/>
    <w:basedOn w:val="21"/>
    <w:link w:val="4"/>
    <w:qFormat/>
    <w:uiPriority w:val="9"/>
    <w:rPr>
      <w:rFonts w:ascii="Arial" w:hAnsi="Arial" w:eastAsia="宋体" w:cs="Times New Roman"/>
      <w:bCs/>
      <w:kern w:val="0"/>
      <w:sz w:val="20"/>
      <w:szCs w:val="32"/>
    </w:rPr>
  </w:style>
  <w:style w:type="character" w:customStyle="1" w:styleId="31">
    <w:name w:val="标题 4 Char"/>
    <w:basedOn w:val="21"/>
    <w:link w:val="5"/>
    <w:qFormat/>
    <w:uiPriority w:val="9"/>
    <w:rPr>
      <w:rFonts w:ascii="Arial" w:hAnsi="Arial" w:eastAsia="宋体" w:cs="Times New Roman"/>
      <w:bCs/>
      <w:kern w:val="0"/>
      <w:sz w:val="20"/>
      <w:szCs w:val="32"/>
    </w:rPr>
  </w:style>
  <w:style w:type="character" w:customStyle="1" w:styleId="32">
    <w:name w:val="标题 5 Char"/>
    <w:basedOn w:val="21"/>
    <w:link w:val="6"/>
    <w:qFormat/>
    <w:uiPriority w:val="0"/>
    <w:rPr>
      <w:rFonts w:ascii="Arial" w:hAnsi="Arial" w:eastAsia="宋体" w:cs="Times New Roman"/>
      <w:bCs/>
      <w:sz w:val="21"/>
      <w:szCs w:val="28"/>
    </w:rPr>
  </w:style>
  <w:style w:type="character" w:customStyle="1" w:styleId="33">
    <w:name w:val="标题 6 Char"/>
    <w:basedOn w:val="21"/>
    <w:link w:val="7"/>
    <w:qFormat/>
    <w:uiPriority w:val="0"/>
    <w:rPr>
      <w:rFonts w:ascii="Arial" w:hAnsi="Arial" w:eastAsia="宋体" w:cs="Times New Roman"/>
      <w:bCs/>
      <w:sz w:val="21"/>
    </w:rPr>
  </w:style>
  <w:style w:type="character" w:customStyle="1" w:styleId="34">
    <w:name w:val="页脚 Char"/>
    <w:basedOn w:val="21"/>
    <w:link w:val="13"/>
    <w:qFormat/>
    <w:uiPriority w:val="99"/>
    <w:rPr>
      <w:rFonts w:ascii="Calibri" w:hAnsi="Calibri" w:eastAsia="宋体" w:cs="Calibri"/>
      <w:sz w:val="18"/>
      <w:szCs w:val="18"/>
    </w:rPr>
  </w:style>
  <w:style w:type="character" w:customStyle="1" w:styleId="35">
    <w:name w:val="批注框文本 Char"/>
    <w:basedOn w:val="21"/>
    <w:link w:val="12"/>
    <w:semiHidden/>
    <w:qFormat/>
    <w:uiPriority w:val="99"/>
    <w:rPr>
      <w:rFonts w:ascii="Calibri" w:hAnsi="Calibri" w:eastAsia="宋体" w:cs="Calibri"/>
      <w:sz w:val="18"/>
      <w:szCs w:val="18"/>
    </w:rPr>
  </w:style>
  <w:style w:type="character" w:customStyle="1" w:styleId="36">
    <w:name w:val="日期 Char"/>
    <w:basedOn w:val="21"/>
    <w:link w:val="11"/>
    <w:qFormat/>
    <w:uiPriority w:val="0"/>
    <w:rPr>
      <w:rFonts w:ascii="Calibri" w:hAnsi="Calibri" w:eastAsia="宋体" w:cs="Calibri"/>
      <w:sz w:val="21"/>
      <w:szCs w:val="21"/>
    </w:rPr>
  </w:style>
  <w:style w:type="character" w:customStyle="1" w:styleId="37">
    <w:name w:val="Char Char9"/>
    <w:qFormat/>
    <w:uiPriority w:val="0"/>
    <w:rPr>
      <w:rFonts w:ascii="Arial" w:hAnsi="Arial"/>
      <w:bCs/>
      <w:kern w:val="2"/>
      <w:sz w:val="21"/>
      <w:szCs w:val="32"/>
    </w:rPr>
  </w:style>
  <w:style w:type="paragraph" w:styleId="38">
    <w:name w:val="List Paragraph"/>
    <w:basedOn w:val="1"/>
    <w:qFormat/>
    <w:uiPriority w:val="34"/>
    <w:pPr>
      <w:ind w:firstLine="420" w:firstLineChars="200"/>
    </w:pPr>
    <w:rPr>
      <w:rFonts w:cs="Times New Roman"/>
      <w:szCs w:val="22"/>
    </w:rPr>
  </w:style>
  <w:style w:type="paragraph" w:customStyle="1" w:styleId="39">
    <w:name w:val="表的标题"/>
    <w:basedOn w:val="1"/>
    <w:link w:val="40"/>
    <w:qFormat/>
    <w:uiPriority w:val="0"/>
    <w:pPr>
      <w:jc w:val="center"/>
    </w:pPr>
    <w:rPr>
      <w:rFonts w:ascii="黑体" w:eastAsia="黑体" w:cs="Times New Roman"/>
      <w:b/>
      <w:szCs w:val="22"/>
    </w:rPr>
  </w:style>
  <w:style w:type="character" w:customStyle="1" w:styleId="40">
    <w:name w:val="表的标题 Char"/>
    <w:link w:val="39"/>
    <w:qFormat/>
    <w:uiPriority w:val="0"/>
    <w:rPr>
      <w:rFonts w:ascii="黑体" w:hAnsi="Calibri" w:eastAsia="黑体" w:cs="Times New Roman"/>
      <w:b/>
      <w:sz w:val="21"/>
      <w:szCs w:val="22"/>
    </w:rPr>
  </w:style>
  <w:style w:type="paragraph" w:customStyle="1" w:styleId="41">
    <w:name w:val="表文字"/>
    <w:basedOn w:val="1"/>
    <w:link w:val="42"/>
    <w:qFormat/>
    <w:uiPriority w:val="0"/>
    <w:pPr>
      <w:spacing w:line="300" w:lineRule="exact"/>
      <w:jc w:val="center"/>
    </w:pPr>
    <w:rPr>
      <w:rFonts w:ascii="Arial" w:hAnsi="Arial" w:eastAsia="楷体_GB2312" w:cs="Times New Roman"/>
      <w:szCs w:val="22"/>
    </w:rPr>
  </w:style>
  <w:style w:type="character" w:customStyle="1" w:styleId="42">
    <w:name w:val="表文字 Char"/>
    <w:link w:val="41"/>
    <w:qFormat/>
    <w:uiPriority w:val="0"/>
    <w:rPr>
      <w:rFonts w:ascii="Arial" w:hAnsi="Arial" w:eastAsia="楷体_GB2312" w:cs="Times New Roman"/>
      <w:sz w:val="21"/>
      <w:szCs w:val="22"/>
    </w:rPr>
  </w:style>
  <w:style w:type="character" w:customStyle="1" w:styleId="43">
    <w:name w:val="页眉 Char"/>
    <w:basedOn w:val="21"/>
    <w:link w:val="14"/>
    <w:qFormat/>
    <w:uiPriority w:val="99"/>
    <w:rPr>
      <w:rFonts w:ascii="Calibri" w:hAnsi="Calibri" w:eastAsia="宋体" w:cs="Times New Roman"/>
      <w:sz w:val="18"/>
      <w:szCs w:val="18"/>
    </w:rPr>
  </w:style>
  <w:style w:type="character" w:customStyle="1" w:styleId="44">
    <w:name w:val="Char Char5"/>
    <w:qFormat/>
    <w:uiPriority w:val="0"/>
    <w:rPr>
      <w:kern w:val="2"/>
      <w:sz w:val="18"/>
      <w:szCs w:val="18"/>
    </w:rPr>
  </w:style>
  <w:style w:type="character" w:customStyle="1" w:styleId="45">
    <w:name w:val="文档结构图 Char"/>
    <w:basedOn w:val="21"/>
    <w:link w:val="9"/>
    <w:semiHidden/>
    <w:qFormat/>
    <w:uiPriority w:val="0"/>
    <w:rPr>
      <w:rFonts w:ascii="宋体" w:hAnsi="Calibri" w:eastAsia="宋体" w:cs="Times New Roman"/>
      <w:sz w:val="18"/>
      <w:szCs w:val="18"/>
    </w:rPr>
  </w:style>
  <w:style w:type="paragraph" w:customStyle="1" w:styleId="46">
    <w:name w:val="注释"/>
    <w:basedOn w:val="1"/>
    <w:link w:val="47"/>
    <w:qFormat/>
    <w:uiPriority w:val="0"/>
    <w:pPr>
      <w:ind w:left="650" w:leftChars="450" w:hanging="200" w:hangingChars="200"/>
    </w:pPr>
    <w:rPr>
      <w:rFonts w:ascii="楷体_GB2312" w:eastAsia="楷体_GB2312" w:cs="Times New Roman"/>
      <w:sz w:val="18"/>
      <w:szCs w:val="18"/>
    </w:rPr>
  </w:style>
  <w:style w:type="character" w:customStyle="1" w:styleId="47">
    <w:name w:val="注释 Char"/>
    <w:link w:val="46"/>
    <w:qFormat/>
    <w:uiPriority w:val="0"/>
    <w:rPr>
      <w:rFonts w:ascii="楷体_GB2312" w:hAnsi="Calibri" w:eastAsia="楷体_GB2312" w:cs="Times New Roman"/>
      <w:sz w:val="18"/>
      <w:szCs w:val="18"/>
    </w:rPr>
  </w:style>
  <w:style w:type="paragraph" w:customStyle="1" w:styleId="48">
    <w:name w:val="表格文字"/>
    <w:basedOn w:val="1"/>
    <w:qFormat/>
    <w:uiPriority w:val="0"/>
    <w:pPr>
      <w:spacing w:line="400" w:lineRule="exact"/>
      <w:jc w:val="center"/>
    </w:pPr>
    <w:rPr>
      <w:rFonts w:ascii="Arial" w:hAnsi="Arial" w:eastAsia="楷体_GB2312" w:cs="Arial"/>
      <w:szCs w:val="24"/>
    </w:rPr>
  </w:style>
  <w:style w:type="paragraph" w:customStyle="1" w:styleId="49">
    <w:name w:val="样式 类别2 + 段后: 7.05 磅"/>
    <w:basedOn w:val="1"/>
    <w:qFormat/>
    <w:uiPriority w:val="0"/>
    <w:pPr>
      <w:adjustRightInd w:val="0"/>
      <w:snapToGrid w:val="0"/>
      <w:spacing w:beforeLines="100" w:after="240" w:line="400" w:lineRule="exact"/>
      <w:jc w:val="right"/>
    </w:pPr>
    <w:rPr>
      <w:rFonts w:ascii="黑体" w:hAnsi="Arial" w:eastAsia="黑体" w:cs="Arial"/>
      <w:b/>
      <w:bCs/>
      <w:snapToGrid w:val="0"/>
      <w:kern w:val="0"/>
      <w:sz w:val="24"/>
      <w:szCs w:val="20"/>
    </w:rPr>
  </w:style>
  <w:style w:type="paragraph" w:customStyle="1" w:styleId="50">
    <w:name w:val="样式 样式 类别2 + 段后: 7.05 磅 + 段前: 1 行"/>
    <w:basedOn w:val="49"/>
    <w:qFormat/>
    <w:uiPriority w:val="0"/>
    <w:pPr>
      <w:spacing w:beforeLines="80"/>
    </w:pPr>
  </w:style>
  <w:style w:type="paragraph" w:customStyle="1" w:styleId="51">
    <w:name w:val="样式 表格注释 + 左侧:  5.13 字符 悬挂缩进: 2.01 字符"/>
    <w:basedOn w:val="1"/>
    <w:qFormat/>
    <w:uiPriority w:val="0"/>
    <w:pPr>
      <w:adjustRightInd w:val="0"/>
      <w:snapToGrid w:val="0"/>
      <w:spacing w:line="300" w:lineRule="exact"/>
      <w:ind w:left="714" w:leftChars="513" w:hanging="201" w:hangingChars="201"/>
    </w:pPr>
    <w:rPr>
      <w:rFonts w:ascii="Arial" w:hAnsi="Arial" w:eastAsia="楷体_GB2312" w:cs="Times New Roman"/>
      <w:kern w:val="0"/>
      <w:sz w:val="18"/>
      <w:szCs w:val="20"/>
    </w:rPr>
  </w:style>
  <w:style w:type="paragraph" w:customStyle="1" w:styleId="52">
    <w:name w:val="Char"/>
    <w:basedOn w:val="1"/>
    <w:qFormat/>
    <w:uiPriority w:val="0"/>
    <w:pPr>
      <w:spacing w:line="360" w:lineRule="auto"/>
      <w:ind w:firstLine="480" w:firstLineChars="200"/>
    </w:pPr>
    <w:rPr>
      <w:rFonts w:ascii="宋体" w:hAnsi="宋体" w:cs="宋体"/>
      <w:sz w:val="24"/>
      <w:szCs w:val="24"/>
    </w:rPr>
  </w:style>
  <w:style w:type="character" w:customStyle="1" w:styleId="53">
    <w:name w:val="批注文字 Char"/>
    <w:basedOn w:val="21"/>
    <w:link w:val="10"/>
    <w:semiHidden/>
    <w:qFormat/>
    <w:uiPriority w:val="0"/>
    <w:rPr>
      <w:rFonts w:ascii="Calibri" w:hAnsi="Calibri" w:eastAsia="宋体" w:cs="Times New Roman"/>
      <w:sz w:val="21"/>
      <w:szCs w:val="22"/>
    </w:rPr>
  </w:style>
  <w:style w:type="paragraph" w:customStyle="1" w:styleId="54">
    <w:name w:val="样式 标题 2 + 段前: 0.5 行"/>
    <w:basedOn w:val="3"/>
    <w:qFormat/>
    <w:uiPriority w:val="0"/>
    <w:pPr>
      <w:keepNext w:val="0"/>
      <w:widowControl/>
      <w:numPr>
        <w:ilvl w:val="0"/>
        <w:numId w:val="0"/>
      </w:numPr>
      <w:spacing w:before="0" w:after="0" w:line="360" w:lineRule="auto"/>
      <w:ind w:left="2835" w:hanging="2835" w:hangingChars="1350"/>
      <w:jc w:val="left"/>
    </w:pPr>
    <w:rPr>
      <w:rFonts w:ascii="宋体" w:hAnsi="宋体" w:eastAsia="宋体" w:cs="宋体"/>
      <w:color w:val="FF0000"/>
      <w:sz w:val="28"/>
      <w:szCs w:val="28"/>
    </w:rPr>
  </w:style>
  <w:style w:type="paragraph" w:customStyle="1" w:styleId="55">
    <w:name w:val="样式 标题 1 + 段前: 0.5 行"/>
    <w:basedOn w:val="2"/>
    <w:qFormat/>
    <w:uiPriority w:val="0"/>
    <w:pPr>
      <w:keepNext w:val="0"/>
      <w:widowControl/>
      <w:numPr>
        <w:numId w:val="0"/>
      </w:numPr>
      <w:spacing w:beforeLines="100" w:afterLines="100" w:line="360" w:lineRule="auto"/>
      <w:ind w:left="2835" w:hanging="2835"/>
      <w:jc w:val="center"/>
    </w:pPr>
    <w:rPr>
      <w:rFonts w:ascii="宋体" w:hAnsi="宋体" w:cs="宋体"/>
      <w:szCs w:val="32"/>
    </w:rPr>
  </w:style>
  <w:style w:type="paragraph" w:customStyle="1" w:styleId="56">
    <w:name w:val="Default"/>
    <w:qFormat/>
    <w:uiPriority w:val="0"/>
    <w:pPr>
      <w:widowControl w:val="0"/>
      <w:autoSpaceDE w:val="0"/>
      <w:autoSpaceDN w:val="0"/>
      <w:adjustRightInd w:val="0"/>
    </w:pPr>
    <w:rPr>
      <w:rFonts w:ascii="华文中宋" w:hAnsi="Calibri" w:eastAsia="华文中宋" w:cs="华文中宋"/>
      <w:color w:val="000000"/>
      <w:kern w:val="0"/>
      <w:sz w:val="24"/>
      <w:szCs w:val="24"/>
      <w:lang w:val="en-US" w:eastAsia="zh-CN" w:bidi="ar-SA"/>
    </w:rPr>
  </w:style>
  <w:style w:type="paragraph" w:customStyle="1" w:styleId="57">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58">
    <w:name w:val="标题三"/>
    <w:basedOn w:val="1"/>
    <w:qFormat/>
    <w:uiPriority w:val="0"/>
    <w:pPr>
      <w:widowControl/>
      <w:tabs>
        <w:tab w:val="left" w:pos="2160"/>
      </w:tabs>
      <w:spacing w:line="360" w:lineRule="auto"/>
      <w:ind w:left="2160" w:hanging="720"/>
      <w:jc w:val="left"/>
    </w:pPr>
    <w:rPr>
      <w:rFonts w:cs="Times New Roman"/>
      <w:kern w:val="0"/>
      <w:sz w:val="24"/>
      <w:szCs w:val="24"/>
      <w:lang w:eastAsia="en-US" w:bidi="en-US"/>
    </w:rPr>
  </w:style>
  <w:style w:type="paragraph" w:customStyle="1" w:styleId="59">
    <w:name w:val="表格文字左对齐"/>
    <w:basedOn w:val="1"/>
    <w:qFormat/>
    <w:uiPriority w:val="0"/>
    <w:pPr>
      <w:tabs>
        <w:tab w:val="left" w:pos="-108"/>
      </w:tabs>
      <w:spacing w:line="0" w:lineRule="atLeast"/>
    </w:pPr>
    <w:rPr>
      <w:rFonts w:ascii="宋体" w:hAnsi="宋体" w:cs="Arial"/>
      <w:snapToGrid w:val="0"/>
      <w:spacing w:val="-6"/>
      <w:kern w:val="0"/>
      <w:sz w:val="18"/>
      <w:szCs w:val="18"/>
    </w:rPr>
  </w:style>
  <w:style w:type="paragraph" w:customStyle="1" w:styleId="60">
    <w:name w:val="187052"/>
    <w:basedOn w:val="1"/>
    <w:qFormat/>
    <w:uiPriority w:val="0"/>
    <w:pPr>
      <w:widowControl/>
      <w:spacing w:before="100" w:beforeAutospacing="1" w:after="100" w:afterAutospacing="1"/>
      <w:jc w:val="left"/>
    </w:pPr>
    <w:rPr>
      <w:rFonts w:ascii="宋体" w:hAnsi="宋体" w:cs="Times New Roman"/>
      <w:color w:val="000000"/>
      <w:kern w:val="0"/>
      <w:sz w:val="24"/>
      <w:szCs w:val="24"/>
    </w:rPr>
  </w:style>
  <w:style w:type="paragraph" w:customStyle="1" w:styleId="61">
    <w:name w:val="187053"/>
    <w:basedOn w:val="1"/>
    <w:qFormat/>
    <w:uiPriority w:val="0"/>
    <w:pPr>
      <w:widowControl/>
      <w:spacing w:before="100" w:beforeAutospacing="1" w:after="100" w:afterAutospacing="1"/>
      <w:jc w:val="left"/>
    </w:pPr>
    <w:rPr>
      <w:rFonts w:ascii="宋体" w:hAnsi="宋体" w:cs="Times New Roman"/>
      <w:color w:val="000000"/>
      <w:kern w:val="0"/>
      <w:sz w:val="24"/>
      <w:szCs w:val="24"/>
    </w:rPr>
  </w:style>
  <w:style w:type="character" w:customStyle="1" w:styleId="62">
    <w:name w:val="HTML 预设格式 Char"/>
    <w:basedOn w:val="21"/>
    <w:link w:val="15"/>
    <w:qFormat/>
    <w:uiPriority w:val="0"/>
    <w:rPr>
      <w:rFonts w:ascii="宋体" w:hAnsi="宋体" w:eastAsia="宋体" w:cs="宋体"/>
      <w:kern w:val="0"/>
    </w:rPr>
  </w:style>
  <w:style w:type="character" w:customStyle="1" w:styleId="63">
    <w:name w:val="批注主题 Char"/>
    <w:basedOn w:val="53"/>
    <w:link w:val="18"/>
    <w:semiHidden/>
    <w:qFormat/>
    <w:uiPriority w:val="99"/>
    <w:rPr>
      <w:rFonts w:ascii="Calibri" w:hAnsi="Calibri" w:eastAsia="宋体" w:cs="Calibri"/>
      <w:b/>
      <w:bCs/>
      <w:sz w:val="21"/>
      <w:szCs w:val="21"/>
    </w:rPr>
  </w:style>
  <w:style w:type="paragraph" w:customStyle="1" w:styleId="64">
    <w:name w:val="Revision"/>
    <w:hidden/>
    <w:semiHidden/>
    <w:qFormat/>
    <w:uiPriority w:val="99"/>
    <w:rPr>
      <w:rFonts w:ascii="Calibri" w:hAnsi="Calibri" w:eastAsia="宋体" w:cs="Calibri"/>
      <w:kern w:val="2"/>
      <w:sz w:val="21"/>
      <w:szCs w:val="21"/>
      <w:lang w:val="en-US" w:eastAsia="zh-CN" w:bidi="ar-SA"/>
    </w:rPr>
  </w:style>
  <w:style w:type="paragraph" w:customStyle="1" w:styleId="65">
    <w:name w:val="样式 标题 + 二号"/>
    <w:qFormat/>
    <w:uiPriority w:val="0"/>
    <w:rPr>
      <w:rFonts w:ascii="Arial" w:hAnsi="Arial" w:eastAsia="黑体" w:cs="Arial"/>
      <w:b/>
      <w:bCs/>
      <w:kern w:val="2"/>
      <w:sz w:val="44"/>
      <w:szCs w:val="32"/>
      <w:lang w:val="en-US" w:eastAsia="zh-CN" w:bidi="ar-SA"/>
    </w:rPr>
  </w:style>
  <w:style w:type="character" w:customStyle="1" w:styleId="66">
    <w:name w:val="标题 Char"/>
    <w:basedOn w:val="21"/>
    <w:link w:val="17"/>
    <w:qFormat/>
    <w:uiPriority w:val="0"/>
    <w:rPr>
      <w:rFonts w:ascii="Calibri" w:hAnsi="Calibri" w:eastAsia="华文细黑" w:cs="Times New Roman"/>
      <w:b/>
      <w:bCs/>
      <w:sz w:val="32"/>
      <w:szCs w:val="32"/>
    </w:rPr>
  </w:style>
  <w:style w:type="character" w:styleId="67">
    <w:name w:val="Placeholder Text"/>
    <w:basedOn w:val="21"/>
    <w:semiHidden/>
    <w:qFormat/>
    <w:uiPriority w:val="99"/>
    <w:rPr>
      <w:color w:val="808080"/>
    </w:rPr>
  </w:style>
  <w:style w:type="paragraph" w:customStyle="1" w:styleId="68">
    <w:name w:val="彩色列表 - 着色 11"/>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7583</Words>
  <Characters>43229</Characters>
  <Lines>360</Lines>
  <Paragraphs>101</Paragraphs>
  <TotalTime>4</TotalTime>
  <ScaleCrop>false</ScaleCrop>
  <LinksUpToDate>false</LinksUpToDate>
  <CharactersWithSpaces>50711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2019-01-04T11:05:00Z</dcterms:created>
  <dc:creator>Microsoft Office 用户</dc:creator>
  <cp:lastModifiedBy>tlj</cp:lastModifiedBy>
  <cp:lastPrinted>2019-01-02T10:40:00Z</cp:lastPrinted>
  <dcterms:modified xsi:type="dcterms:W3CDTF">2022-06-29T09:01:40Z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B9BD34DF776B479B88EB0915D2731E2B</vt:lpwstr>
  </property>
</Properties>
</file>