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jc w:val="center"/>
        <w:rPr>
          <w:rFonts w:ascii="黑体" w:hAnsi="黑体" w:eastAsia="黑体"/>
          <w:sz w:val="44"/>
          <w:szCs w:val="44"/>
        </w:rPr>
      </w:pPr>
      <w:bookmarkStart w:id="0" w:name="_Toc2611_WPSOffice_Level1"/>
    </w:p>
    <w:p>
      <w:pPr>
        <w:spacing w:before="120" w:beforeLines="50" w:after="120" w:afterLines="50"/>
        <w:jc w:val="center"/>
        <w:rPr>
          <w:rFonts w:ascii="黑体" w:hAnsi="黑体" w:eastAsia="黑体"/>
          <w:sz w:val="44"/>
          <w:szCs w:val="44"/>
        </w:rPr>
      </w:pPr>
    </w:p>
    <w:p>
      <w:pPr>
        <w:spacing w:before="120" w:beforeLines="50" w:after="120" w:afterLines="50"/>
        <w:jc w:val="center"/>
        <w:rPr>
          <w:rFonts w:ascii="黑体" w:hAnsi="黑体" w:eastAsia="黑体"/>
          <w:sz w:val="44"/>
          <w:szCs w:val="44"/>
        </w:rPr>
      </w:pPr>
    </w:p>
    <w:p>
      <w:pPr>
        <w:spacing w:before="120" w:beforeLines="50" w:after="120" w:afterLines="50"/>
        <w:jc w:val="center"/>
        <w:rPr>
          <w:rFonts w:ascii="黑体" w:hAnsi="黑体" w:eastAsia="黑体"/>
          <w:sz w:val="44"/>
          <w:szCs w:val="44"/>
        </w:rPr>
      </w:pPr>
    </w:p>
    <w:p>
      <w:pPr>
        <w:spacing w:before="120" w:beforeLines="50" w:after="120" w:afterLines="50"/>
        <w:jc w:val="center"/>
        <w:rPr>
          <w:rFonts w:ascii="黑体" w:hAnsi="黑体" w:eastAsia="黑体"/>
          <w:sz w:val="44"/>
          <w:szCs w:val="44"/>
        </w:rPr>
      </w:pPr>
    </w:p>
    <w:p>
      <w:pPr>
        <w:spacing w:before="120" w:beforeLines="50" w:after="120" w:afterLines="50" w:line="480" w:lineRule="auto"/>
        <w:jc w:val="center"/>
        <w:rPr>
          <w:rFonts w:ascii="黑体" w:hAnsi="黑体" w:eastAsia="黑体"/>
          <w:sz w:val="44"/>
          <w:szCs w:val="44"/>
        </w:rPr>
      </w:pPr>
      <w:r>
        <w:rPr>
          <w:rFonts w:hint="eastAsia" w:ascii="黑体" w:hAnsi="黑体" w:eastAsia="黑体"/>
          <w:sz w:val="44"/>
          <w:szCs w:val="44"/>
        </w:rPr>
        <w:t>深圳市规划国土发展研究中心</w:t>
      </w:r>
    </w:p>
    <w:p>
      <w:pPr>
        <w:spacing w:before="120" w:beforeLines="50" w:after="120" w:afterLines="50" w:line="480" w:lineRule="auto"/>
        <w:jc w:val="center"/>
        <w:rPr>
          <w:rFonts w:ascii="黑体" w:hAnsi="黑体" w:eastAsia="黑体"/>
          <w:sz w:val="52"/>
          <w:szCs w:val="52"/>
        </w:rPr>
      </w:pPr>
      <w:r>
        <w:rPr>
          <w:rFonts w:hint="eastAsia" w:ascii="黑体" w:hAnsi="黑体" w:eastAsia="黑体"/>
          <w:sz w:val="52"/>
          <w:szCs w:val="52"/>
        </w:rPr>
        <w:t>近三年高新技术财务认定审计</w:t>
      </w:r>
    </w:p>
    <w:p>
      <w:pPr>
        <w:spacing w:before="120" w:beforeLines="50" w:after="120" w:afterLines="50" w:line="480" w:lineRule="auto"/>
        <w:jc w:val="center"/>
        <w:rPr>
          <w:rFonts w:ascii="黑体" w:hAnsi="黑体" w:eastAsia="黑体"/>
          <w:sz w:val="52"/>
          <w:szCs w:val="52"/>
        </w:rPr>
      </w:pPr>
      <w:r>
        <w:rPr>
          <w:rFonts w:hint="eastAsia" w:ascii="黑体" w:hAnsi="黑体" w:eastAsia="黑体"/>
          <w:sz w:val="52"/>
          <w:szCs w:val="52"/>
        </w:rPr>
        <w:t>项目采购文件</w:t>
      </w:r>
    </w:p>
    <w:p>
      <w:pPr>
        <w:spacing w:before="120" w:beforeLines="50" w:after="120" w:afterLines="50" w:line="480" w:lineRule="auto"/>
        <w:jc w:val="center"/>
        <w:rPr>
          <w:rFonts w:ascii="黑体" w:hAnsi="黑体" w:eastAsia="黑体"/>
          <w:sz w:val="44"/>
          <w:szCs w:val="44"/>
        </w:rPr>
      </w:pPr>
    </w:p>
    <w:p>
      <w:pPr>
        <w:spacing w:before="120" w:beforeLines="50" w:after="120" w:afterLines="50" w:line="480" w:lineRule="auto"/>
        <w:jc w:val="center"/>
        <w:rPr>
          <w:rFonts w:ascii="黑体" w:hAnsi="黑体" w:eastAsia="黑体"/>
          <w:sz w:val="44"/>
          <w:szCs w:val="44"/>
        </w:rPr>
      </w:pPr>
    </w:p>
    <w:p>
      <w:pPr>
        <w:spacing w:before="120" w:beforeLines="50" w:after="120" w:afterLines="50" w:line="480" w:lineRule="auto"/>
        <w:jc w:val="center"/>
        <w:rPr>
          <w:rFonts w:ascii="黑体" w:hAnsi="黑体" w:eastAsia="黑体"/>
          <w:sz w:val="44"/>
          <w:szCs w:val="44"/>
        </w:rPr>
      </w:pPr>
    </w:p>
    <w:p>
      <w:pPr>
        <w:spacing w:line="360" w:lineRule="auto"/>
        <w:jc w:val="center"/>
        <w:rPr>
          <w:rFonts w:ascii="黑体" w:hAnsi="黑体" w:eastAsia="黑体"/>
          <w:sz w:val="36"/>
          <w:szCs w:val="36"/>
        </w:rPr>
      </w:pPr>
      <w:r>
        <w:rPr>
          <w:rFonts w:hint="eastAsia" w:ascii="黑体" w:hAnsi="黑体" w:eastAsia="黑体"/>
          <w:sz w:val="36"/>
          <w:szCs w:val="36"/>
        </w:rPr>
        <w:t>深圳市规划国土发展研究中心</w:t>
      </w:r>
    </w:p>
    <w:p>
      <w:pPr>
        <w:pStyle w:val="4"/>
        <w:jc w:val="center"/>
        <w:rPr>
          <w:rFonts w:ascii="黑体" w:hAnsi="黑体" w:eastAsia="黑体"/>
          <w:sz w:val="44"/>
          <w:szCs w:val="44"/>
        </w:rPr>
      </w:pPr>
      <w:r>
        <w:rPr>
          <w:rFonts w:hint="eastAsia" w:ascii="黑体" w:hAnsi="黑体" w:eastAsia="黑体"/>
          <w:sz w:val="36"/>
          <w:szCs w:val="36"/>
        </w:rPr>
        <w:t>2022年6月</w:t>
      </w:r>
      <w:r>
        <w:rPr>
          <w:rFonts w:hint="eastAsia" w:ascii="黑体" w:hAnsi="黑体" w:eastAsia="黑体"/>
          <w:sz w:val="44"/>
          <w:szCs w:val="44"/>
        </w:rPr>
        <w:br w:type="page"/>
      </w:r>
    </w:p>
    <w:p>
      <w:pPr>
        <w:pStyle w:val="17"/>
        <w:spacing w:before="120" w:beforeLines="50" w:line="360" w:lineRule="auto"/>
        <w:ind w:firstLine="0"/>
        <w:jc w:val="both"/>
        <w:rPr>
          <w:rFonts w:ascii="仿宋" w:hAnsi="仿宋" w:cs="Times New Roman"/>
          <w:b/>
          <w:sz w:val="32"/>
        </w:rPr>
      </w:pPr>
      <w:r>
        <w:rPr>
          <w:rFonts w:hint="eastAsia" w:ascii="仿宋" w:hAnsi="仿宋" w:cs="Times New Roman"/>
          <w:b/>
          <w:sz w:val="32"/>
        </w:rPr>
        <w:t>一、项目概况</w:t>
      </w:r>
    </w:p>
    <w:p>
      <w:pPr>
        <w:ind w:firstLine="600" w:firstLineChars="200"/>
        <w:rPr>
          <w:rFonts w:ascii="仿宋" w:hAnsi="仿宋" w:cs="仿宋"/>
          <w:sz w:val="30"/>
          <w:szCs w:val="30"/>
        </w:rPr>
      </w:pPr>
      <w:r>
        <w:rPr>
          <w:rFonts w:hint="eastAsia" w:ascii="仿宋" w:hAnsi="仿宋" w:cs="仿宋"/>
          <w:sz w:val="30"/>
          <w:szCs w:val="30"/>
        </w:rPr>
        <w:t>为提升我中心科技研发水平，实现科技创新驱动发展，切实推动中心提升经营效益和管理水平，更好地适应新的市场竞争环境，争取税收优惠政策，中心拟组织开展申报2022年度国家高新技术企业认定事项。</w:t>
      </w:r>
    </w:p>
    <w:p>
      <w:pPr>
        <w:ind w:firstLine="600" w:firstLineChars="200"/>
        <w:rPr>
          <w:sz w:val="30"/>
          <w:szCs w:val="30"/>
        </w:rPr>
      </w:pPr>
      <w:r>
        <w:rPr>
          <w:rFonts w:hint="eastAsia" w:ascii="仿宋" w:hAnsi="仿宋" w:cs="仿宋"/>
          <w:sz w:val="30"/>
          <w:szCs w:val="30"/>
        </w:rPr>
        <w:t>为确保中心申报国家高新技术企业认定工作的顺利开展，拟开展中心近三年高新技术财务认定审计工作。服务内容包括研发费用台账处理、专项审计报告、高新技术产品收入专项审计等。</w:t>
      </w:r>
    </w:p>
    <w:p>
      <w:pPr>
        <w:rPr>
          <w:sz w:val="32"/>
          <w:szCs w:val="40"/>
        </w:rPr>
      </w:pPr>
    </w:p>
    <w:p>
      <w:pPr>
        <w:pStyle w:val="17"/>
        <w:spacing w:line="360" w:lineRule="auto"/>
        <w:ind w:firstLine="0"/>
        <w:jc w:val="both"/>
        <w:rPr>
          <w:rFonts w:ascii="仿宋" w:hAnsi="仿宋" w:cs="Times New Roman"/>
          <w:b/>
          <w:sz w:val="32"/>
        </w:rPr>
      </w:pPr>
      <w:r>
        <w:rPr>
          <w:rFonts w:hint="eastAsia" w:ascii="仿宋" w:hAnsi="仿宋" w:cs="Times New Roman"/>
          <w:b/>
          <w:sz w:val="32"/>
        </w:rPr>
        <w:t>二、项目管理和服务要求</w:t>
      </w:r>
    </w:p>
    <w:p>
      <w:pPr>
        <w:ind w:firstLine="600" w:firstLineChars="200"/>
        <w:rPr>
          <w:rFonts w:ascii="仿宋" w:hAnsi="仿宋" w:cs="仿宋"/>
          <w:sz w:val="30"/>
          <w:szCs w:val="30"/>
        </w:rPr>
      </w:pPr>
      <w:r>
        <w:rPr>
          <w:rFonts w:hint="eastAsia" w:ascii="仿宋" w:hAnsi="仿宋" w:cs="仿宋"/>
          <w:sz w:val="30"/>
          <w:szCs w:val="30"/>
        </w:rPr>
        <w:t>（一）中心近三年研发费用的台账处理;</w:t>
      </w:r>
    </w:p>
    <w:p>
      <w:pPr>
        <w:ind w:firstLine="600" w:firstLineChars="200"/>
        <w:rPr>
          <w:rFonts w:ascii="仿宋" w:hAnsi="仿宋" w:cs="仿宋"/>
          <w:sz w:val="30"/>
          <w:szCs w:val="30"/>
        </w:rPr>
      </w:pPr>
      <w:r>
        <w:rPr>
          <w:rFonts w:hint="eastAsia" w:ascii="仿宋" w:hAnsi="仿宋" w:cs="仿宋"/>
          <w:sz w:val="30"/>
          <w:szCs w:val="30"/>
        </w:rPr>
        <w:t>（二）出具近三个会计年度研究开发费用专项审计报告；</w:t>
      </w:r>
    </w:p>
    <w:p>
      <w:pPr>
        <w:ind w:firstLine="600" w:firstLineChars="200"/>
        <w:rPr>
          <w:rFonts w:ascii="仿宋" w:hAnsi="仿宋" w:cs="仿宋"/>
          <w:sz w:val="30"/>
          <w:szCs w:val="30"/>
        </w:rPr>
      </w:pPr>
      <w:r>
        <w:rPr>
          <w:rFonts w:hint="eastAsia" w:ascii="仿宋" w:hAnsi="仿宋" w:cs="仿宋"/>
          <w:sz w:val="30"/>
          <w:szCs w:val="30"/>
        </w:rPr>
        <w:t>（三）出具近一个会计年度高新技术产品（服务）收入专项审计。</w:t>
      </w:r>
    </w:p>
    <w:p>
      <w:pPr>
        <w:rPr>
          <w:sz w:val="32"/>
          <w:szCs w:val="40"/>
        </w:rPr>
      </w:pPr>
    </w:p>
    <w:p>
      <w:pPr>
        <w:pStyle w:val="17"/>
        <w:spacing w:line="360" w:lineRule="auto"/>
        <w:ind w:firstLine="0"/>
        <w:jc w:val="both"/>
        <w:rPr>
          <w:rFonts w:ascii="仿宋" w:hAnsi="仿宋" w:cs="Times New Roman"/>
          <w:b/>
          <w:sz w:val="32"/>
        </w:rPr>
      </w:pPr>
      <w:r>
        <w:rPr>
          <w:rFonts w:hint="eastAsia" w:ascii="仿宋" w:hAnsi="仿宋" w:cs="Times New Roman"/>
          <w:b/>
          <w:sz w:val="32"/>
        </w:rPr>
        <w:t>三、供应商资格要求</w:t>
      </w:r>
    </w:p>
    <w:p>
      <w:pPr>
        <w:ind w:firstLine="600" w:firstLineChars="200"/>
        <w:rPr>
          <w:rFonts w:ascii="仿宋" w:hAnsi="仿宋" w:cs="仿宋"/>
          <w:sz w:val="30"/>
          <w:szCs w:val="30"/>
        </w:rPr>
      </w:pPr>
      <w:r>
        <w:rPr>
          <w:rFonts w:hint="eastAsia" w:ascii="仿宋" w:hAnsi="仿宋" w:cs="仿宋"/>
          <w:sz w:val="30"/>
          <w:szCs w:val="30"/>
        </w:rPr>
        <w:t>（一）具备独立执业资格，成立三年以上，近三年内无不良记录。</w:t>
      </w:r>
    </w:p>
    <w:p>
      <w:pPr>
        <w:ind w:firstLine="600" w:firstLineChars="200"/>
        <w:rPr>
          <w:rFonts w:ascii="仿宋" w:hAnsi="仿宋" w:cs="仿宋"/>
          <w:sz w:val="30"/>
          <w:szCs w:val="30"/>
        </w:rPr>
      </w:pPr>
      <w:r>
        <w:rPr>
          <w:rFonts w:hint="eastAsia" w:ascii="仿宋" w:hAnsi="仿宋" w:cs="仿宋"/>
          <w:sz w:val="30"/>
          <w:szCs w:val="30"/>
        </w:rPr>
        <w:t>（二）承担认定工作当年的注册会计师和税务师人数占职工全年月平均人数的比例不低于30%，全年在职职工人数在20人以上。</w:t>
      </w:r>
    </w:p>
    <w:p>
      <w:pPr>
        <w:ind w:firstLine="600" w:firstLineChars="200"/>
        <w:rPr>
          <w:rFonts w:ascii="仿宋" w:hAnsi="仿宋" w:cs="仿宋"/>
          <w:sz w:val="30"/>
          <w:szCs w:val="30"/>
        </w:rPr>
      </w:pPr>
      <w:r>
        <w:rPr>
          <w:rFonts w:hint="eastAsia" w:ascii="仿宋" w:hAnsi="仿宋" w:cs="仿宋"/>
          <w:sz w:val="30"/>
          <w:szCs w:val="30"/>
        </w:rPr>
        <w:t>（三）相关人员应具有良好的职业道德，了解国家科技、经济及产业政策，熟悉高新技术企业认定工作有关要求。</w:t>
      </w:r>
    </w:p>
    <w:p>
      <w:pPr>
        <w:rPr>
          <w:sz w:val="32"/>
          <w:szCs w:val="40"/>
        </w:rPr>
      </w:pPr>
    </w:p>
    <w:p>
      <w:pPr>
        <w:pStyle w:val="17"/>
        <w:spacing w:line="360" w:lineRule="auto"/>
        <w:ind w:firstLine="0"/>
        <w:jc w:val="both"/>
        <w:rPr>
          <w:rFonts w:ascii="仿宋" w:hAnsi="仿宋" w:cs="Times New Roman"/>
          <w:b/>
          <w:sz w:val="32"/>
        </w:rPr>
      </w:pPr>
      <w:r>
        <w:rPr>
          <w:rFonts w:hint="eastAsia" w:ascii="仿宋" w:hAnsi="仿宋" w:cs="Times New Roman"/>
          <w:b/>
          <w:sz w:val="32"/>
        </w:rPr>
        <w:t>四、商务需求</w:t>
      </w:r>
    </w:p>
    <w:p>
      <w:pPr>
        <w:ind w:firstLine="600" w:firstLineChars="200"/>
        <w:rPr>
          <w:rFonts w:ascii="仿宋" w:hAnsi="仿宋" w:cs="仿宋"/>
          <w:sz w:val="30"/>
          <w:szCs w:val="30"/>
        </w:rPr>
      </w:pPr>
      <w:r>
        <w:rPr>
          <w:rFonts w:hint="eastAsia" w:ascii="仿宋" w:hAnsi="仿宋" w:cs="仿宋"/>
          <w:sz w:val="30"/>
          <w:szCs w:val="30"/>
        </w:rPr>
        <w:t>（一）服务期：2022年6月至2022年9月</w:t>
      </w:r>
    </w:p>
    <w:p>
      <w:pPr>
        <w:ind w:firstLine="600" w:firstLineChars="200"/>
        <w:rPr>
          <w:rFonts w:hint="eastAsia" w:ascii="仿宋" w:hAnsi="仿宋" w:cs="仿宋"/>
          <w:sz w:val="30"/>
          <w:szCs w:val="30"/>
        </w:rPr>
      </w:pPr>
      <w:r>
        <w:rPr>
          <w:rFonts w:hint="eastAsia" w:ascii="仿宋" w:hAnsi="仿宋" w:cs="仿宋"/>
          <w:sz w:val="30"/>
          <w:szCs w:val="30"/>
        </w:rPr>
        <w:t>（二）服务地点：深圳市福田区红荔西路8009号规划大厦</w:t>
      </w:r>
    </w:p>
    <w:p>
      <w:pPr>
        <w:ind w:firstLine="600" w:firstLineChars="200"/>
        <w:rPr>
          <w:rFonts w:ascii="仿宋" w:hAnsi="仿宋" w:cs="仿宋"/>
          <w:sz w:val="30"/>
          <w:szCs w:val="30"/>
        </w:rPr>
      </w:pPr>
      <w:r>
        <w:rPr>
          <w:rFonts w:hint="eastAsia" w:ascii="仿宋" w:hAnsi="仿宋" w:cs="仿宋"/>
          <w:sz w:val="30"/>
          <w:szCs w:val="30"/>
        </w:rPr>
        <w:t>（三）报价要求：</w:t>
      </w:r>
    </w:p>
    <w:p>
      <w:pPr>
        <w:ind w:firstLine="600" w:firstLineChars="200"/>
        <w:rPr>
          <w:rFonts w:ascii="仿宋" w:hAnsi="仿宋" w:cs="仿宋"/>
          <w:sz w:val="30"/>
          <w:szCs w:val="30"/>
        </w:rPr>
      </w:pPr>
      <w:r>
        <w:rPr>
          <w:rFonts w:hint="eastAsia" w:ascii="仿宋" w:hAnsi="仿宋" w:cs="仿宋"/>
          <w:sz w:val="30"/>
          <w:szCs w:val="30"/>
        </w:rPr>
        <w:t>1.供应商的报价总价不得超过本项目的预算限额</w:t>
      </w:r>
      <w:r>
        <w:rPr>
          <w:rFonts w:hint="eastAsia" w:ascii="仿宋" w:hAnsi="仿宋" w:cs="仿宋"/>
          <w:sz w:val="30"/>
          <w:szCs w:val="30"/>
          <w:lang w:val="en-US" w:eastAsia="zh-CN"/>
        </w:rPr>
        <w:t>人民币</w:t>
      </w:r>
      <w:r>
        <w:rPr>
          <w:rFonts w:hint="eastAsia" w:ascii="仿宋" w:hAnsi="仿宋" w:cs="仿宋"/>
          <w:sz w:val="30"/>
          <w:szCs w:val="30"/>
        </w:rPr>
        <w:t>拾万元整（¥100,000.00)；</w:t>
      </w:r>
    </w:p>
    <w:p>
      <w:pPr>
        <w:ind w:firstLine="600" w:firstLineChars="200"/>
        <w:rPr>
          <w:rFonts w:ascii="仿宋" w:hAnsi="仿宋" w:cs="仿宋"/>
          <w:sz w:val="30"/>
          <w:szCs w:val="30"/>
        </w:rPr>
      </w:pPr>
      <w:r>
        <w:rPr>
          <w:rFonts w:hint="eastAsia" w:ascii="仿宋" w:hAnsi="仿宋" w:cs="仿宋"/>
          <w:sz w:val="30"/>
          <w:szCs w:val="30"/>
        </w:rPr>
        <w:t>2.供应商的报价总价，应当包括服务成本、法定税费和供应商的利润等一切费用及本项目合同条款上所列各项内容的全部；</w:t>
      </w:r>
    </w:p>
    <w:p>
      <w:pPr>
        <w:ind w:firstLine="600" w:firstLineChars="200"/>
        <w:rPr>
          <w:rFonts w:ascii="仿宋" w:hAnsi="仿宋" w:cs="仿宋"/>
          <w:sz w:val="30"/>
          <w:szCs w:val="30"/>
        </w:rPr>
      </w:pPr>
      <w:r>
        <w:rPr>
          <w:rFonts w:hint="eastAsia" w:ascii="仿宋" w:hAnsi="仿宋" w:cs="仿宋"/>
          <w:sz w:val="30"/>
          <w:szCs w:val="30"/>
        </w:rPr>
        <w:t>3.供应商应当根据本企业的成本自行决定报价，但不得以低于其企业成本的报价投标。</w:t>
      </w:r>
    </w:p>
    <w:p>
      <w:pPr>
        <w:ind w:firstLine="600" w:firstLineChars="200"/>
        <w:rPr>
          <w:rFonts w:ascii="仿宋" w:hAnsi="仿宋" w:cs="仿宋"/>
          <w:sz w:val="30"/>
          <w:szCs w:val="30"/>
        </w:rPr>
      </w:pPr>
      <w:r>
        <w:rPr>
          <w:rFonts w:hint="eastAsia" w:ascii="仿宋" w:hAnsi="仿宋" w:cs="仿宋"/>
          <w:sz w:val="30"/>
          <w:szCs w:val="30"/>
        </w:rPr>
        <w:t>（四）付款方式：签订合同预付50%款项，出具高新专项审计报告支付剩余50%尾款。</w:t>
      </w:r>
    </w:p>
    <w:p>
      <w:pPr>
        <w:pStyle w:val="17"/>
        <w:snapToGrid/>
        <w:spacing w:line="360" w:lineRule="auto"/>
        <w:ind w:firstLine="600" w:firstLineChars="200"/>
        <w:rPr>
          <w:rFonts w:ascii="仿宋" w:hAnsi="仿宋"/>
          <w:sz w:val="30"/>
          <w:szCs w:val="30"/>
        </w:rPr>
      </w:pPr>
    </w:p>
    <w:p>
      <w:pPr>
        <w:pStyle w:val="17"/>
        <w:spacing w:line="360" w:lineRule="auto"/>
        <w:ind w:firstLine="0"/>
        <w:jc w:val="both"/>
        <w:rPr>
          <w:rFonts w:ascii="仿宋" w:hAnsi="仿宋" w:cs="Times New Roman"/>
          <w:b/>
          <w:sz w:val="32"/>
        </w:rPr>
      </w:pPr>
      <w:r>
        <w:rPr>
          <w:rFonts w:hint="eastAsia" w:ascii="仿宋" w:hAnsi="仿宋" w:cs="Times New Roman"/>
          <w:b/>
          <w:sz w:val="32"/>
        </w:rPr>
        <w:t>五、投标材料要求</w:t>
      </w:r>
    </w:p>
    <w:p>
      <w:pPr>
        <w:spacing w:line="360" w:lineRule="auto"/>
        <w:ind w:firstLine="640" w:firstLineChars="200"/>
        <w:rPr>
          <w:sz w:val="32"/>
          <w:szCs w:val="40"/>
        </w:rPr>
      </w:pPr>
      <w:r>
        <w:rPr>
          <w:rFonts w:hint="eastAsia"/>
          <w:sz w:val="32"/>
          <w:szCs w:val="40"/>
        </w:rPr>
        <w:t>（一）标书基本格式</w:t>
      </w:r>
    </w:p>
    <w:p>
      <w:pPr>
        <w:numPr>
          <w:ilvl w:val="0"/>
          <w:numId w:val="1"/>
        </w:numPr>
        <w:spacing w:line="360" w:lineRule="auto"/>
        <w:ind w:firstLine="600" w:firstLineChars="200"/>
        <w:rPr>
          <w:rFonts w:ascii="仿宋" w:hAnsi="仿宋" w:cs="仿宋"/>
          <w:sz w:val="30"/>
          <w:szCs w:val="30"/>
        </w:rPr>
      </w:pPr>
      <w:r>
        <w:rPr>
          <w:rFonts w:hint="eastAsia" w:ascii="仿宋" w:hAnsi="仿宋" w:cs="仿宋"/>
          <w:sz w:val="30"/>
          <w:szCs w:val="30"/>
        </w:rPr>
        <w:t>资信证明（所有复印件需加盖公章）</w:t>
      </w:r>
    </w:p>
    <w:p>
      <w:pPr>
        <w:numPr>
          <w:ilvl w:val="0"/>
          <w:numId w:val="2"/>
        </w:numPr>
        <w:spacing w:line="360" w:lineRule="auto"/>
        <w:ind w:left="0" w:firstLine="600" w:firstLineChars="200"/>
        <w:rPr>
          <w:rFonts w:ascii="仿宋" w:hAnsi="仿宋" w:cs="仿宋"/>
          <w:sz w:val="30"/>
          <w:szCs w:val="30"/>
        </w:rPr>
      </w:pPr>
      <w:r>
        <w:rPr>
          <w:rFonts w:hint="eastAsia" w:ascii="仿宋" w:hAnsi="仿宋" w:cs="仿宋"/>
          <w:sz w:val="30"/>
          <w:szCs w:val="30"/>
        </w:rPr>
        <w:t>企业法人授权书（法人、被授权人身份证）</w:t>
      </w:r>
    </w:p>
    <w:p>
      <w:pPr>
        <w:numPr>
          <w:ilvl w:val="0"/>
          <w:numId w:val="2"/>
        </w:numPr>
        <w:spacing w:line="360" w:lineRule="auto"/>
        <w:ind w:left="0" w:firstLine="600" w:firstLineChars="200"/>
        <w:rPr>
          <w:rFonts w:ascii="仿宋" w:hAnsi="仿宋" w:cs="仿宋"/>
          <w:sz w:val="30"/>
          <w:szCs w:val="30"/>
        </w:rPr>
      </w:pPr>
      <w:r>
        <w:rPr>
          <w:rFonts w:hint="eastAsia" w:ascii="仿宋" w:hAnsi="仿宋" w:cs="仿宋"/>
          <w:sz w:val="30"/>
          <w:szCs w:val="30"/>
        </w:rPr>
        <w:t>企业营业执照（或事业单位法人证书）</w:t>
      </w:r>
    </w:p>
    <w:p>
      <w:pPr>
        <w:numPr>
          <w:ilvl w:val="0"/>
          <w:numId w:val="2"/>
        </w:numPr>
        <w:spacing w:line="360" w:lineRule="auto"/>
        <w:ind w:left="0" w:firstLine="600" w:firstLineChars="200"/>
        <w:rPr>
          <w:rFonts w:ascii="仿宋" w:hAnsi="仿宋" w:cs="仿宋"/>
          <w:sz w:val="30"/>
          <w:szCs w:val="30"/>
        </w:rPr>
      </w:pPr>
      <w:r>
        <w:rPr>
          <w:rFonts w:hint="eastAsia" w:ascii="仿宋" w:hAnsi="仿宋" w:cs="仿宋"/>
          <w:sz w:val="30"/>
          <w:szCs w:val="30"/>
        </w:rPr>
        <w:t>其它</w:t>
      </w:r>
      <w:r>
        <w:rPr>
          <w:rFonts w:hint="eastAsia" w:ascii="仿宋" w:hAnsi="仿宋" w:cs="仿宋"/>
          <w:sz w:val="30"/>
          <w:szCs w:val="30"/>
          <w:lang w:eastAsia="zh-CN"/>
        </w:rPr>
        <w:t>（</w:t>
      </w:r>
      <w:r>
        <w:rPr>
          <w:rFonts w:hint="eastAsia" w:ascii="仿宋" w:hAnsi="仿宋" w:cs="仿宋"/>
          <w:sz w:val="30"/>
          <w:szCs w:val="30"/>
          <w:lang w:val="en-US" w:eastAsia="zh-CN"/>
        </w:rPr>
        <w:t>符合投标人资格要求的</w:t>
      </w:r>
      <w:bookmarkStart w:id="1" w:name="_GoBack"/>
      <w:bookmarkEnd w:id="1"/>
      <w:r>
        <w:rPr>
          <w:rFonts w:hint="eastAsia" w:ascii="仿宋" w:hAnsi="仿宋" w:cs="仿宋"/>
          <w:sz w:val="30"/>
          <w:szCs w:val="30"/>
          <w:lang w:val="en-US" w:eastAsia="zh-CN"/>
        </w:rPr>
        <w:t>承诺书</w:t>
      </w:r>
      <w:r>
        <w:rPr>
          <w:rFonts w:hint="eastAsia" w:ascii="仿宋" w:hAnsi="仿宋" w:cs="仿宋"/>
          <w:sz w:val="30"/>
          <w:szCs w:val="30"/>
          <w:lang w:eastAsia="zh-CN"/>
        </w:rPr>
        <w:t>）</w:t>
      </w:r>
    </w:p>
    <w:p>
      <w:pPr>
        <w:numPr>
          <w:ilvl w:val="0"/>
          <w:numId w:val="1"/>
        </w:numPr>
        <w:spacing w:line="360" w:lineRule="auto"/>
        <w:ind w:firstLine="600" w:firstLineChars="200"/>
        <w:rPr>
          <w:rFonts w:ascii="仿宋" w:hAnsi="仿宋" w:cs="仿宋"/>
          <w:sz w:val="30"/>
          <w:szCs w:val="30"/>
        </w:rPr>
      </w:pPr>
      <w:r>
        <w:rPr>
          <w:rFonts w:hint="eastAsia" w:ascii="仿宋" w:hAnsi="仿宋" w:cs="仿宋"/>
          <w:sz w:val="30"/>
          <w:szCs w:val="30"/>
        </w:rPr>
        <w:t>参评材料</w:t>
      </w:r>
    </w:p>
    <w:p>
      <w:pPr>
        <w:numPr>
          <w:ilvl w:val="0"/>
          <w:numId w:val="3"/>
        </w:numPr>
        <w:spacing w:line="360" w:lineRule="auto"/>
        <w:ind w:left="0" w:firstLine="600" w:firstLineChars="200"/>
        <w:rPr>
          <w:rFonts w:ascii="仿宋" w:hAnsi="仿宋" w:cs="仿宋"/>
          <w:sz w:val="30"/>
          <w:szCs w:val="30"/>
        </w:rPr>
      </w:pPr>
      <w:r>
        <w:rPr>
          <w:rFonts w:hint="eastAsia" w:ascii="仿宋" w:hAnsi="仿宋" w:cs="仿宋"/>
          <w:sz w:val="30"/>
          <w:szCs w:val="30"/>
        </w:rPr>
        <w:t>价格：投标价格，根据工作内容附报价表，格式自拟。</w:t>
      </w:r>
    </w:p>
    <w:p>
      <w:pPr>
        <w:numPr>
          <w:ilvl w:val="0"/>
          <w:numId w:val="3"/>
        </w:numPr>
        <w:spacing w:line="360" w:lineRule="auto"/>
        <w:ind w:left="0" w:firstLine="600" w:firstLineChars="200"/>
        <w:rPr>
          <w:rFonts w:ascii="仿宋" w:hAnsi="仿宋" w:cs="仿宋"/>
          <w:sz w:val="30"/>
          <w:szCs w:val="30"/>
        </w:rPr>
      </w:pPr>
      <w:r>
        <w:rPr>
          <w:rFonts w:hint="eastAsia" w:ascii="仿宋" w:hAnsi="仿宋" w:cs="仿宋"/>
          <w:sz w:val="30"/>
          <w:szCs w:val="30"/>
        </w:rPr>
        <w:t>技术：投标人应根据采购文件第二点工作内容要求拟定符合本项目的技术文件，作为评分依据。</w:t>
      </w:r>
    </w:p>
    <w:p>
      <w:pPr>
        <w:numPr>
          <w:ilvl w:val="0"/>
          <w:numId w:val="3"/>
        </w:numPr>
        <w:spacing w:line="360" w:lineRule="auto"/>
        <w:ind w:left="0" w:firstLine="600" w:firstLineChars="200"/>
        <w:rPr>
          <w:rFonts w:ascii="仿宋" w:hAnsi="仿宋" w:cs="仿宋"/>
          <w:sz w:val="30"/>
          <w:szCs w:val="30"/>
        </w:rPr>
      </w:pPr>
      <w:r>
        <w:rPr>
          <w:rFonts w:hint="eastAsia" w:ascii="仿宋" w:hAnsi="仿宋" w:cs="仿宋"/>
          <w:sz w:val="30"/>
          <w:szCs w:val="30"/>
        </w:rPr>
        <w:t>综合实力：投标人应根据采购文件第三点具体要求提供相应的证明文件，作为评分依据。</w:t>
      </w:r>
    </w:p>
    <w:p>
      <w:pPr>
        <w:numPr>
          <w:ilvl w:val="0"/>
          <w:numId w:val="4"/>
        </w:numPr>
        <w:spacing w:line="360" w:lineRule="auto"/>
        <w:ind w:firstLine="600" w:firstLineChars="200"/>
        <w:rPr>
          <w:rFonts w:ascii="仿宋" w:hAnsi="仿宋"/>
          <w:sz w:val="30"/>
          <w:szCs w:val="30"/>
        </w:rPr>
      </w:pPr>
      <w:r>
        <w:rPr>
          <w:rFonts w:hint="eastAsia" w:ascii="仿宋" w:hAnsi="仿宋"/>
          <w:sz w:val="30"/>
          <w:szCs w:val="30"/>
        </w:rPr>
        <w:t>提供材料要求</w:t>
      </w:r>
    </w:p>
    <w:p>
      <w:pPr>
        <w:numPr>
          <w:ilvl w:val="0"/>
          <w:numId w:val="5"/>
        </w:numPr>
        <w:spacing w:line="360" w:lineRule="auto"/>
        <w:ind w:firstLine="600" w:firstLineChars="200"/>
        <w:rPr>
          <w:rFonts w:ascii="仿宋" w:hAnsi="仿宋"/>
          <w:sz w:val="30"/>
          <w:szCs w:val="30"/>
        </w:rPr>
      </w:pPr>
      <w:r>
        <w:rPr>
          <w:rFonts w:hint="eastAsia" w:ascii="仿宋" w:hAnsi="仿宋"/>
          <w:sz w:val="30"/>
          <w:szCs w:val="30"/>
        </w:rPr>
        <w:t>投标人需准备下列文件：</w:t>
      </w:r>
    </w:p>
    <w:p>
      <w:pPr>
        <w:numPr>
          <w:ilvl w:val="0"/>
          <w:numId w:val="6"/>
        </w:numPr>
        <w:spacing w:line="360" w:lineRule="auto"/>
        <w:ind w:firstLine="600" w:firstLineChars="200"/>
        <w:rPr>
          <w:rFonts w:ascii="仿宋" w:hAnsi="仿宋"/>
          <w:sz w:val="30"/>
          <w:szCs w:val="30"/>
        </w:rPr>
      </w:pPr>
      <w:r>
        <w:rPr>
          <w:rFonts w:hint="eastAsia" w:ascii="仿宋" w:hAnsi="仿宋"/>
          <w:sz w:val="30"/>
          <w:szCs w:val="30"/>
        </w:rPr>
        <w:t>资信证明材料：一份正本</w:t>
      </w:r>
    </w:p>
    <w:p>
      <w:pPr>
        <w:numPr>
          <w:ilvl w:val="0"/>
          <w:numId w:val="6"/>
        </w:numPr>
        <w:spacing w:line="360" w:lineRule="auto"/>
        <w:ind w:firstLine="600" w:firstLineChars="200"/>
        <w:rPr>
          <w:rFonts w:ascii="仿宋" w:hAnsi="仿宋"/>
          <w:sz w:val="30"/>
          <w:szCs w:val="30"/>
        </w:rPr>
      </w:pPr>
      <w:r>
        <w:rPr>
          <w:rFonts w:hint="eastAsia" w:ascii="仿宋" w:hAnsi="仿宋"/>
          <w:sz w:val="30"/>
          <w:szCs w:val="30"/>
        </w:rPr>
        <w:t>参评材料：一式八份（一份正本、七份副本）</w:t>
      </w:r>
    </w:p>
    <w:p>
      <w:pPr>
        <w:pStyle w:val="6"/>
        <w:spacing w:line="360" w:lineRule="auto"/>
        <w:ind w:firstLine="600" w:firstLineChars="200"/>
        <w:rPr>
          <w:rFonts w:ascii="仿宋" w:hAnsi="仿宋"/>
          <w:sz w:val="30"/>
          <w:szCs w:val="30"/>
        </w:rPr>
      </w:pPr>
      <w:r>
        <w:rPr>
          <w:rFonts w:hint="eastAsia" w:ascii="仿宋" w:hAnsi="仿宋"/>
          <w:sz w:val="30"/>
          <w:szCs w:val="30"/>
        </w:rPr>
        <w:t>文件必须经法人代表或授权代表签字并加盖企业公章，第一、第二部分材料分别包装，且以密封形式提交。</w:t>
      </w:r>
    </w:p>
    <w:p>
      <w:pPr>
        <w:spacing w:line="360" w:lineRule="auto"/>
        <w:ind w:firstLine="600" w:firstLineChars="200"/>
        <w:rPr>
          <w:rFonts w:ascii="仿宋" w:hAnsi="仿宋"/>
          <w:sz w:val="30"/>
          <w:szCs w:val="30"/>
        </w:rPr>
      </w:pPr>
      <w:r>
        <w:rPr>
          <w:rFonts w:hint="eastAsia" w:ascii="仿宋" w:hAnsi="仿宋"/>
          <w:sz w:val="30"/>
          <w:szCs w:val="30"/>
        </w:rPr>
        <w:t>2.文件均须用A4幅面的纸张打印。</w:t>
      </w:r>
    </w:p>
    <w:p>
      <w:pPr>
        <w:spacing w:line="360" w:lineRule="auto"/>
        <w:ind w:firstLine="600" w:firstLineChars="200"/>
        <w:rPr>
          <w:rFonts w:ascii="仿宋" w:hAnsi="仿宋"/>
          <w:sz w:val="30"/>
          <w:szCs w:val="30"/>
        </w:rPr>
      </w:pPr>
      <w:r>
        <w:rPr>
          <w:rFonts w:hint="eastAsia" w:ascii="仿宋" w:hAnsi="仿宋"/>
          <w:sz w:val="30"/>
          <w:szCs w:val="30"/>
        </w:rPr>
        <w:t>3.文件外包装按采购单位提供的统一格式（详见附件一）。</w:t>
      </w:r>
    </w:p>
    <w:p>
      <w:pPr>
        <w:spacing w:line="360" w:lineRule="auto"/>
        <w:rPr>
          <w:rFonts w:ascii="仿宋" w:hAnsi="仿宋"/>
          <w:sz w:val="30"/>
          <w:szCs w:val="30"/>
        </w:rPr>
      </w:pPr>
    </w:p>
    <w:p>
      <w:pPr>
        <w:pStyle w:val="17"/>
        <w:numPr>
          <w:ilvl w:val="0"/>
          <w:numId w:val="7"/>
        </w:numPr>
        <w:spacing w:line="360" w:lineRule="auto"/>
        <w:ind w:firstLine="0"/>
        <w:jc w:val="both"/>
        <w:rPr>
          <w:rFonts w:ascii="仿宋" w:hAnsi="仿宋" w:cs="Times New Roman"/>
          <w:b/>
          <w:sz w:val="32"/>
        </w:rPr>
      </w:pPr>
      <w:r>
        <w:rPr>
          <w:rFonts w:hint="eastAsia" w:ascii="仿宋" w:hAnsi="仿宋" w:cs="Times New Roman"/>
          <w:b/>
          <w:sz w:val="32"/>
        </w:rPr>
        <w:t>评标方法</w:t>
      </w:r>
    </w:p>
    <w:p>
      <w:pPr>
        <w:pStyle w:val="17"/>
        <w:spacing w:line="360" w:lineRule="auto"/>
        <w:ind w:firstLine="600" w:firstLineChars="200"/>
        <w:jc w:val="both"/>
        <w:rPr>
          <w:rFonts w:ascii="仿宋" w:hAnsi="仿宋"/>
          <w:sz w:val="30"/>
          <w:szCs w:val="30"/>
        </w:rPr>
      </w:pPr>
      <w:r>
        <w:rPr>
          <w:rFonts w:hint="eastAsia" w:ascii="仿宋" w:hAnsi="仿宋"/>
          <w:sz w:val="30"/>
          <w:szCs w:val="30"/>
        </w:rPr>
        <w:t>评标方法：综合评分法</w:t>
      </w:r>
    </w:p>
    <w:tbl>
      <w:tblPr>
        <w:tblStyle w:val="12"/>
        <w:tblW w:w="8947"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390"/>
        <w:gridCol w:w="441"/>
        <w:gridCol w:w="1812"/>
        <w:gridCol w:w="700"/>
        <w:gridCol w:w="5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restart"/>
            <w:tcBorders>
              <w:top w:val="single" w:color="auto" w:sz="4" w:space="0"/>
              <w:left w:val="single" w:color="auto" w:sz="4" w:space="0"/>
              <w:right w:val="single" w:color="auto" w:sz="4" w:space="0"/>
            </w:tcBorders>
          </w:tcPr>
          <w:p>
            <w:pPr>
              <w:spacing w:line="240" w:lineRule="auto"/>
              <w:jc w:val="center"/>
              <w:rPr>
                <w:rFonts w:ascii="华文仿宋" w:hAnsi="华文仿宋" w:eastAsia="华文仿宋" w:cs="华文仿宋"/>
                <w:b/>
                <w:bCs/>
                <w:szCs w:val="24"/>
              </w:rPr>
            </w:pPr>
            <w:r>
              <w:rPr>
                <w:rFonts w:hint="eastAsia" w:ascii="华文仿宋" w:hAnsi="华文仿宋" w:eastAsia="华文仿宋" w:cs="华文仿宋"/>
                <w:b/>
                <w:bCs/>
                <w:szCs w:val="24"/>
              </w:rPr>
              <w:t>评标信息</w:t>
            </w:r>
          </w:p>
        </w:tc>
        <w:tc>
          <w:tcPr>
            <w:tcW w:w="39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b/>
                <w:bCs/>
                <w:szCs w:val="24"/>
              </w:rPr>
            </w:pPr>
            <w:r>
              <w:rPr>
                <w:rFonts w:hint="eastAsia" w:ascii="华文仿宋" w:hAnsi="华文仿宋" w:eastAsia="华文仿宋" w:cs="华文仿宋"/>
                <w:b/>
                <w:bCs/>
                <w:szCs w:val="24"/>
              </w:rPr>
              <w:t>序号</w:t>
            </w:r>
          </w:p>
        </w:tc>
        <w:tc>
          <w:tcPr>
            <w:tcW w:w="2953" w:type="dxa"/>
            <w:gridSpan w:val="3"/>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b/>
                <w:bCs/>
                <w:szCs w:val="24"/>
              </w:rPr>
            </w:pPr>
            <w:r>
              <w:rPr>
                <w:rFonts w:hint="eastAsia" w:ascii="华文仿宋" w:hAnsi="华文仿宋" w:eastAsia="华文仿宋" w:cs="华文仿宋"/>
                <w:b/>
                <w:bCs/>
                <w:szCs w:val="24"/>
              </w:rPr>
              <w:t>评分项</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b/>
                <w:bCs/>
                <w:szCs w:val="24"/>
              </w:rPr>
            </w:pPr>
            <w:r>
              <w:rPr>
                <w:rFonts w:hint="eastAsia" w:ascii="华文仿宋" w:hAnsi="华文仿宋" w:eastAsia="华文仿宋" w:cs="华文仿宋"/>
                <w:b/>
                <w:bCs/>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restart"/>
            <w:tcBorders>
              <w:top w:val="single" w:color="auto" w:sz="4" w:space="0"/>
              <w:left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w:t>
            </w:r>
          </w:p>
        </w:tc>
        <w:tc>
          <w:tcPr>
            <w:tcW w:w="2953" w:type="dxa"/>
            <w:gridSpan w:val="3"/>
            <w:vMerge w:val="restart"/>
            <w:tcBorders>
              <w:top w:val="single" w:color="auto" w:sz="4" w:space="0"/>
              <w:left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价格</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Style w:val="16"/>
              </w:rPr>
            </w:pPr>
            <w:r>
              <w:rPr>
                <w:rFonts w:hint="eastAsia" w:ascii="华文仿宋" w:hAnsi="华文仿宋" w:eastAsia="华文仿宋" w:cs="华文仿宋"/>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continue"/>
            <w:tcBorders>
              <w:left w:val="single" w:color="auto" w:sz="4" w:space="0"/>
              <w:bottom w:val="single" w:color="auto" w:sz="4" w:space="0"/>
              <w:right w:val="single" w:color="auto" w:sz="4" w:space="0"/>
            </w:tcBorders>
          </w:tcPr>
          <w:p>
            <w:pPr>
              <w:spacing w:line="240" w:lineRule="auto"/>
              <w:jc w:val="center"/>
              <w:rPr>
                <w:rFonts w:hint="eastAsia" w:ascii="华文仿宋" w:hAnsi="华文仿宋" w:eastAsia="华文仿宋" w:cs="华文仿宋"/>
                <w:szCs w:val="24"/>
              </w:rPr>
            </w:pPr>
          </w:p>
        </w:tc>
        <w:tc>
          <w:tcPr>
            <w:tcW w:w="2953" w:type="dxa"/>
            <w:gridSpan w:val="3"/>
            <w:vMerge w:val="continue"/>
            <w:tcBorders>
              <w:left w:val="single" w:color="auto" w:sz="4" w:space="0"/>
              <w:bottom w:val="single" w:color="auto" w:sz="4" w:space="0"/>
              <w:right w:val="single" w:color="auto" w:sz="4" w:space="0"/>
            </w:tcBorders>
          </w:tcPr>
          <w:p>
            <w:pPr>
              <w:spacing w:line="240" w:lineRule="auto"/>
              <w:jc w:val="center"/>
              <w:rPr>
                <w:rFonts w:hint="eastAsia" w:ascii="华文仿宋" w:hAnsi="华文仿宋" w:eastAsia="华文仿宋" w:cs="华文仿宋"/>
                <w:szCs w:val="24"/>
              </w:rPr>
            </w:pP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left"/>
              <w:rPr>
                <w:rFonts w:ascii="仿宋" w:hAnsi="仿宋" w:cs="仿宋"/>
                <w:sz w:val="24"/>
                <w:szCs w:val="24"/>
              </w:rPr>
            </w:pPr>
            <w:r>
              <w:rPr>
                <w:rFonts w:hint="eastAsia" w:ascii="仿宋" w:hAnsi="仿宋" w:cs="仿宋"/>
                <w:sz w:val="24"/>
                <w:szCs w:val="24"/>
              </w:rPr>
              <w:t>计算方法：采用低价优先法计算，即满足招标文件要求且投标价格最低的投标报价为评标基准价，其价格分为满分。其他投标人的价格分统一按照下列公式计算：</w:t>
            </w:r>
          </w:p>
          <w:p>
            <w:pPr>
              <w:spacing w:line="240" w:lineRule="auto"/>
              <w:jc w:val="left"/>
              <w:rPr>
                <w:rFonts w:hint="eastAsia" w:ascii="华文仿宋" w:hAnsi="华文仿宋" w:eastAsia="华文仿宋" w:cs="华文仿宋"/>
                <w:szCs w:val="24"/>
              </w:rPr>
            </w:pPr>
            <w:r>
              <w:rPr>
                <w:rFonts w:hint="eastAsia" w:ascii="仿宋" w:hAnsi="仿宋" w:cs="仿宋"/>
                <w:sz w:val="24"/>
                <w:szCs w:val="24"/>
              </w:rPr>
              <w:t>投标报价得分=（投标基准价/投标报价）×10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2</w:t>
            </w:r>
          </w:p>
        </w:tc>
        <w:tc>
          <w:tcPr>
            <w:tcW w:w="2953" w:type="dxa"/>
            <w:gridSpan w:val="3"/>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技术</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restart"/>
            <w:tcBorders>
              <w:top w:val="single" w:color="auto" w:sz="4" w:space="0"/>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行号</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内容</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权重</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实施方案</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≤25</w:t>
            </w:r>
          </w:p>
        </w:tc>
        <w:tc>
          <w:tcPr>
            <w:tcW w:w="5219"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b/>
                <w:i/>
                <w:szCs w:val="24"/>
              </w:rPr>
            </w:pPr>
            <w:r>
              <w:rPr>
                <w:rFonts w:hint="eastAsia" w:ascii="华文仿宋" w:hAnsi="华文仿宋" w:eastAsia="华文仿宋" w:cs="华文仿宋"/>
                <w:szCs w:val="24"/>
              </w:rPr>
              <w:t>评审内容：实施本项目拟采取的工作措施、方法、手段和流程等情况。</w:t>
            </w:r>
          </w:p>
          <w:p>
            <w:pPr>
              <w:spacing w:line="240" w:lineRule="auto"/>
              <w:rPr>
                <w:rFonts w:ascii="华文仿宋" w:hAnsi="华文仿宋" w:eastAsia="华文仿宋" w:cs="华文仿宋"/>
                <w:szCs w:val="24"/>
              </w:rPr>
            </w:pPr>
            <w:r>
              <w:rPr>
                <w:rFonts w:hint="eastAsia" w:ascii="华文仿宋" w:hAnsi="华文仿宋" w:eastAsia="华文仿宋" w:cs="华文仿宋"/>
                <w:szCs w:val="24"/>
              </w:rPr>
              <w:t>评分标准：（1）投标文件响应内容全面；（2）投标文件响应内容具体；（3）投标文件响应内容针对性强；（4）投标文件响应内容科学合理；（5）投标文件响应内容创新性强。满足以上五项要求的评价为优，得 100%分数；满足以上四项要求的评价为良，得 80%分数；满足以上三项要求的评价为中，得 60%分数；其它情况的评价为差，不得分。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2</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项目重点难点分析、应对措施及相关的合理化建议</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≤10</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color w:val="000000"/>
                <w:kern w:val="0"/>
                <w:szCs w:val="24"/>
                <w:lang w:bidi="ar"/>
              </w:rPr>
            </w:pPr>
            <w:r>
              <w:rPr>
                <w:rFonts w:hint="eastAsia" w:ascii="华文仿宋" w:hAnsi="华文仿宋" w:eastAsia="华文仿宋" w:cs="华文仿宋"/>
                <w:szCs w:val="24"/>
              </w:rPr>
              <w:t>评审内容：</w:t>
            </w:r>
            <w:r>
              <w:rPr>
                <w:rFonts w:hint="eastAsia" w:ascii="华文仿宋" w:hAnsi="华文仿宋" w:eastAsia="华文仿宋" w:cs="华文仿宋"/>
                <w:color w:val="000000"/>
                <w:kern w:val="0"/>
                <w:szCs w:val="24"/>
                <w:lang w:bidi="ar"/>
              </w:rPr>
              <w:t xml:space="preserve">本项目的重难点分析，应对措施及相关的合理化建议。 </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评分标准</w:t>
            </w:r>
            <w:r>
              <w:rPr>
                <w:rFonts w:hint="eastAsia" w:ascii="华文仿宋" w:hAnsi="华文仿宋" w:eastAsia="华文仿宋" w:cs="华文仿宋"/>
                <w:color w:val="000000"/>
                <w:kern w:val="0"/>
                <w:szCs w:val="24"/>
                <w:lang w:bidi="ar"/>
              </w:rPr>
              <w:t>：（1）投标文件响应内容全面；（2）投标文件响应内容具体；（3）投标文件响应内容针对性强；（4）投标文件响应内容科学合理；（5）投标文件响应内容可操作性强。 满足以上五项要求的评价为优，得 100%分数；满足以上四项要求的评价为良，得80%分数；满足以上三项要求的评价为中，得 60%分数；其它情况的评价为差，不得分。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3</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质量（完成时间、安全、环保）保障措施及方案</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b/>
                <w:i/>
                <w:szCs w:val="24"/>
              </w:rPr>
            </w:pPr>
            <w:r>
              <w:rPr>
                <w:rFonts w:hint="eastAsia" w:ascii="华文仿宋" w:hAnsi="华文仿宋" w:eastAsia="华文仿宋" w:cs="华文仿宋"/>
                <w:szCs w:val="24"/>
              </w:rPr>
              <w:t>评审内容：</w:t>
            </w:r>
            <w:r>
              <w:rPr>
                <w:rFonts w:hint="eastAsia" w:ascii="华文仿宋" w:hAnsi="华文仿宋" w:eastAsia="华文仿宋" w:cs="华文仿宋"/>
                <w:color w:val="000000"/>
                <w:kern w:val="0"/>
                <w:szCs w:val="24"/>
                <w:lang w:bidi="ar"/>
              </w:rPr>
              <w:t>提供承诺函作为评分依据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评分标准：</w:t>
            </w:r>
            <w:r>
              <w:rPr>
                <w:rFonts w:hint="eastAsia" w:ascii="华文仿宋" w:hAnsi="华文仿宋" w:eastAsia="华文仿宋" w:cs="华文仿宋"/>
                <w:color w:val="000000"/>
                <w:kern w:val="0"/>
                <w:szCs w:val="24"/>
                <w:lang w:bidi="ar"/>
              </w:rPr>
              <w:t>1.承诺回避与单位的利害关系的，得 35%分数；2.承诺对项目信息保密的，得20%分数； 3.承诺在约定时间内完成的，得 35%分数；4.其他相关保障得10%分数。以上四项累计得分，最高得100%分数。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4</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项目完成（服务期满）后的服务承诺</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b/>
                <w:i/>
                <w:szCs w:val="24"/>
              </w:rPr>
            </w:pPr>
            <w:r>
              <w:rPr>
                <w:rFonts w:hint="eastAsia" w:ascii="华文仿宋" w:hAnsi="华文仿宋" w:eastAsia="华文仿宋" w:cs="华文仿宋"/>
                <w:szCs w:val="24"/>
              </w:rPr>
              <w:t>评审内容：</w:t>
            </w:r>
            <w:r>
              <w:rPr>
                <w:rFonts w:hint="eastAsia" w:ascii="华文仿宋" w:hAnsi="华文仿宋" w:eastAsia="华文仿宋" w:cs="华文仿宋"/>
                <w:color w:val="000000"/>
                <w:kern w:val="0"/>
                <w:szCs w:val="24"/>
                <w:lang w:bidi="ar"/>
              </w:rPr>
              <w:t>提供承诺函作为评分依据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评分标准：</w:t>
            </w:r>
            <w:r>
              <w:rPr>
                <w:rFonts w:hint="eastAsia" w:ascii="华文仿宋" w:hAnsi="华文仿宋" w:eastAsia="华文仿宋" w:cs="华文仿宋"/>
                <w:color w:val="000000"/>
                <w:kern w:val="0"/>
                <w:szCs w:val="24"/>
                <w:lang w:bidi="ar"/>
              </w:rPr>
              <w:t xml:space="preserve">（1）投标文件响应内容全面；（2）投标文件响应内容具体；（3）投标文件响应内容针对性强；（4）投标文件响应内容科学合理；（5）投标文件响应内容可操作性强。满足以上五项要求的评价为优，得100% 分数；满足以上四项要求的评价为良，得 80%分数；满足以上三项要求的评价为中，得 60%分数；其它情况的评价为差，不得分。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违约承诺</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b/>
                <w:i/>
                <w:szCs w:val="24"/>
              </w:rPr>
            </w:pPr>
            <w:r>
              <w:rPr>
                <w:rFonts w:hint="eastAsia" w:ascii="华文仿宋" w:hAnsi="华文仿宋" w:eastAsia="华文仿宋" w:cs="华文仿宋"/>
                <w:szCs w:val="24"/>
              </w:rPr>
              <w:t>评审内容：</w:t>
            </w:r>
            <w:r>
              <w:rPr>
                <w:rFonts w:hint="eastAsia" w:ascii="华文仿宋" w:hAnsi="华文仿宋" w:eastAsia="华文仿宋" w:cs="华文仿宋"/>
                <w:color w:val="000000"/>
                <w:kern w:val="0"/>
                <w:szCs w:val="24"/>
                <w:lang w:bidi="ar"/>
              </w:rPr>
              <w:t>提供承诺函作为评分依据</w:t>
            </w:r>
          </w:p>
          <w:p>
            <w:pPr>
              <w:widowControl/>
              <w:spacing w:line="240" w:lineRule="auto"/>
              <w:rPr>
                <w:rFonts w:ascii="华文仿宋" w:hAnsi="华文仿宋" w:eastAsia="华文仿宋" w:cs="华文仿宋"/>
                <w:b/>
                <w:i/>
                <w:szCs w:val="24"/>
              </w:rPr>
            </w:pPr>
            <w:r>
              <w:rPr>
                <w:rFonts w:hint="eastAsia" w:ascii="华文仿宋" w:hAnsi="华文仿宋" w:eastAsia="华文仿宋" w:cs="华文仿宋"/>
                <w:szCs w:val="24"/>
              </w:rPr>
              <w:t>评分标准：</w:t>
            </w:r>
            <w:r>
              <w:rPr>
                <w:rFonts w:hint="eastAsia" w:ascii="华文仿宋" w:hAnsi="华文仿宋" w:eastAsia="华文仿宋" w:cs="华文仿宋"/>
                <w:color w:val="000000"/>
                <w:kern w:val="0"/>
                <w:szCs w:val="24"/>
                <w:lang w:bidi="ar"/>
              </w:rPr>
              <w:t xml:space="preserve">（1）投标文件响应内容全面；（2）投标文件响应内容具体；（3）投标文件响应内容针对性强；（4）投标文件响应内容科学合理；（5）投标文件响应内容可操作性强。满足以上五项要求的评价为优，得 100%分数；满足以上四项要求的评价为良，得 80%分数；满足以上三项要求的评价为中，得 60%分数。其它情况的评价为差，不得分。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3</w:t>
            </w:r>
          </w:p>
        </w:tc>
        <w:tc>
          <w:tcPr>
            <w:tcW w:w="2953" w:type="dxa"/>
            <w:gridSpan w:val="3"/>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综合实力</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restart"/>
            <w:tcBorders>
              <w:top w:val="single" w:color="auto" w:sz="4" w:space="0"/>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行号</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内容</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权重</w:t>
            </w:r>
          </w:p>
        </w:tc>
        <w:tc>
          <w:tcPr>
            <w:tcW w:w="5219"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投标人同类项目业绩情况</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≤10</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（一）评分内容：</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 xml:space="preserve">近三年完成过同类项目业绩，每提供一个得25%，满分得 100%。 </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（二）评分依据：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1.要求同时提供合同关键信息和项目履约（验收）合格评价证明文件作为得分依据。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2.通过合同关键信息无法判断是否得分的，也可以提供能证明得分的其它证明资料，如项目报告或合同甲方出具的证明文件等。</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3.以上资料均要求提供扫描件，原件备查。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2</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拟安排的项目负责人情况（仅限一人）</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≤10</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（一）评分内容：</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1.注册会计师得50%分数；</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 xml:space="preserve">2.本科及以上学历得20%分数； </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3.工作10年及以上得30%分数。</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（二）评分依据：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1.要求提供通过投标人购买的项目负责人2021年_7_月至_2022_年_5_月的社保证明、相关证书、工作经验证明作为得分依据。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2.以上资料均要求提供扫描件，原件备查。</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3.社保证明资料应当至少包含医疗保险，证明资料可为社保收缴部门盖章证明资料、社保窗口打印资料或社保官网截图。</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4.工作经验证明为项目合同关键信息，通过合同关键信息无法判断是否得分的，可提供合同甲方出具的证明文件。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3</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拟安排的项目主要团队成员（主要技术人员）情况（项目负责人除外）</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（一）评分内容：</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 xml:space="preserve">1.注册会计师人数 3人及以上得 40%分数（提供注册会计师证书扫描件，原件中标备查）； </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 xml:space="preserve">2.从业年限为10年及以上的人数达3人得30%分数及《项目相关人员简历表》，原件中标备查）； </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3.在本投标单位工作2 年及以上人数达3人得 30%分数（提供相关人员三年社保清单， 由投标人为其缴交）。 以上三项， 同一人员可重复计分。</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（二）评分依据：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1.要求提供通过投标人购买的项目主要团队成员（主要技术人员）_2021_年_1_月至_2022_年_5_月的社保证明、相关证书、工作经验证明作为得分依据。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2.以上资料均要求提供扫描件，原件备查。</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3.社保证明资料应当至少包含医疗保险，证明资料可为社保收缴部门盖章证明资料、社保窗口打印资料或社保官网截图。</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4.工作经验证明为项目合同关键信息，通过合同关键信息无法判断是否得分的，可提供合同甲方出具的证明文件。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4</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投标人自主知识产权产品（创新、设计）情况</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≤7</w:t>
            </w:r>
          </w:p>
        </w:tc>
        <w:tc>
          <w:tcPr>
            <w:tcW w:w="5219" w:type="dxa"/>
            <w:tcBorders>
              <w:top w:val="single" w:color="auto" w:sz="4" w:space="0"/>
              <w:left w:val="single" w:color="auto" w:sz="4" w:space="0"/>
              <w:bottom w:val="single" w:color="auto" w:sz="4" w:space="0"/>
              <w:right w:val="single" w:color="auto" w:sz="4" w:space="0"/>
            </w:tcBorders>
          </w:tcPr>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（一）评分内容：</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提供相关的知识产权1项得50%，2项得100%。</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（二）评分依据：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1.要求提供有效的产权（专利）证书等证明材料作为得分依据。</w:t>
            </w:r>
          </w:p>
          <w:p>
            <w:pPr>
              <w:widowControl/>
              <w:spacing w:line="240" w:lineRule="auto"/>
              <w:rPr>
                <w:rFonts w:ascii="华文仿宋" w:hAnsi="华文仿宋" w:eastAsia="华文仿宋" w:cs="华文仿宋"/>
                <w:szCs w:val="24"/>
              </w:rPr>
            </w:pPr>
            <w:r>
              <w:rPr>
                <w:rFonts w:hint="eastAsia" w:ascii="华文仿宋" w:hAnsi="华文仿宋" w:eastAsia="华文仿宋" w:cs="华文仿宋"/>
                <w:szCs w:val="24"/>
              </w:rPr>
              <w:t>2.以上资料均要求提供扫描件，原件备查。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spacing w:line="240" w:lineRule="auto"/>
              <w:ind w:firstLine="120" w:firstLineChars="50"/>
              <w:rPr>
                <w:rFonts w:ascii="华文仿宋" w:hAnsi="华文仿宋" w:eastAsia="华文仿宋" w:cs="华文仿宋"/>
                <w:szCs w:val="24"/>
              </w:rPr>
            </w:pPr>
          </w:p>
        </w:tc>
        <w:tc>
          <w:tcPr>
            <w:tcW w:w="390" w:type="dxa"/>
            <w:vMerge w:val="continue"/>
            <w:tcBorders>
              <w:left w:val="single" w:color="auto" w:sz="4" w:space="0"/>
              <w:right w:val="single" w:color="auto" w:sz="4" w:space="0"/>
            </w:tcBorders>
            <w:vAlign w:val="center"/>
          </w:tcPr>
          <w:p>
            <w:pPr>
              <w:spacing w:line="240" w:lineRule="auto"/>
              <w:ind w:firstLine="120" w:firstLineChars="50"/>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5</w:t>
            </w:r>
          </w:p>
        </w:tc>
        <w:tc>
          <w:tcPr>
            <w:tcW w:w="1812" w:type="dxa"/>
            <w:tcBorders>
              <w:top w:val="single" w:color="auto" w:sz="4" w:space="0"/>
              <w:left w:val="single" w:color="auto" w:sz="4" w:space="0"/>
              <w:bottom w:val="single" w:color="auto" w:sz="4" w:space="0"/>
              <w:right w:val="single" w:color="auto" w:sz="4" w:space="0"/>
            </w:tcBorders>
          </w:tcPr>
          <w:p>
            <w:pPr>
              <w:spacing w:line="240" w:lineRule="auto"/>
              <w:jc w:val="both"/>
              <w:rPr>
                <w:rFonts w:ascii="华文仿宋" w:hAnsi="华文仿宋" w:eastAsia="华文仿宋" w:cs="华文仿宋"/>
                <w:szCs w:val="24"/>
              </w:rPr>
            </w:pPr>
            <w:r>
              <w:rPr>
                <w:rFonts w:hint="eastAsia" w:ascii="华文仿宋" w:hAnsi="华文仿宋" w:eastAsia="华文仿宋" w:cs="华文仿宋"/>
                <w:szCs w:val="24"/>
              </w:rPr>
              <w:t>服务网点</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≤3</w:t>
            </w:r>
          </w:p>
        </w:tc>
        <w:tc>
          <w:tcPr>
            <w:tcW w:w="5219"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深圳供应商，或非深圳供应商但在深圳有合法注册的分公司（或售后机构）（分公司的必须提供分公司营业执照扫描件，售后机构必须同时提供售后服务合作合同及售后机构营业执照扫描件作为得分依据，原件备查）的，得100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continue"/>
            <w:tcBorders>
              <w:left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6</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市财政委员会诚信管理情况</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≤3</w:t>
            </w:r>
          </w:p>
        </w:tc>
        <w:tc>
          <w:tcPr>
            <w:tcW w:w="5219"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委员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390" w:type="dxa"/>
            <w:vMerge w:val="continue"/>
            <w:tcBorders>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p>
        </w:tc>
        <w:tc>
          <w:tcPr>
            <w:tcW w:w="441"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7</w:t>
            </w:r>
          </w:p>
        </w:tc>
        <w:tc>
          <w:tcPr>
            <w:tcW w:w="1812"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市政府采购中心履约评价情况</w:t>
            </w:r>
          </w:p>
        </w:tc>
        <w:tc>
          <w:tcPr>
            <w:tcW w:w="700" w:type="dxa"/>
            <w:tcBorders>
              <w:top w:val="single" w:color="auto" w:sz="4" w:space="0"/>
              <w:left w:val="single" w:color="auto" w:sz="4" w:space="0"/>
              <w:bottom w:val="single" w:color="auto" w:sz="4" w:space="0"/>
              <w:right w:val="single" w:color="auto" w:sz="4" w:space="0"/>
            </w:tcBorders>
          </w:tcPr>
          <w:p>
            <w:pPr>
              <w:spacing w:line="240" w:lineRule="auto"/>
              <w:jc w:val="center"/>
              <w:rPr>
                <w:rFonts w:ascii="华文仿宋" w:hAnsi="华文仿宋" w:eastAsia="华文仿宋" w:cs="华文仿宋"/>
                <w:szCs w:val="24"/>
              </w:rPr>
            </w:pPr>
            <w:r>
              <w:rPr>
                <w:rFonts w:hint="eastAsia" w:ascii="华文仿宋" w:hAnsi="华文仿宋" w:eastAsia="华文仿宋" w:cs="华文仿宋"/>
                <w:szCs w:val="24"/>
              </w:rPr>
              <w:t>≤2</w:t>
            </w:r>
          </w:p>
        </w:tc>
        <w:tc>
          <w:tcPr>
            <w:tcW w:w="5219" w:type="dxa"/>
            <w:tcBorders>
              <w:top w:val="single" w:color="auto" w:sz="4" w:space="0"/>
              <w:left w:val="single" w:color="auto" w:sz="4" w:space="0"/>
              <w:bottom w:val="single" w:color="auto" w:sz="4" w:space="0"/>
              <w:right w:val="single" w:color="auto" w:sz="4" w:space="0"/>
            </w:tcBorders>
          </w:tcPr>
          <w:p>
            <w:pPr>
              <w:spacing w:line="240" w:lineRule="auto"/>
              <w:rPr>
                <w:rFonts w:ascii="华文仿宋" w:hAnsi="华文仿宋" w:eastAsia="华文仿宋" w:cs="华文仿宋"/>
                <w:szCs w:val="24"/>
              </w:rPr>
            </w:pPr>
            <w:r>
              <w:rPr>
                <w:rFonts w:hint="eastAsia" w:ascii="华文仿宋" w:hAnsi="华文仿宋" w:eastAsia="华文仿宋" w:cs="华文仿宋"/>
                <w:szCs w:val="24"/>
              </w:rPr>
              <w:t>近三年（以投标截止日期为准）在市政府采购中心有履约评价为差的记录，本项不得分，否则，得满分。投标人无需提供任何证明材料，由工作人员向评委会提供相关信息。</w:t>
            </w:r>
          </w:p>
        </w:tc>
      </w:tr>
    </w:tbl>
    <w:p>
      <w:pPr>
        <w:pStyle w:val="17"/>
        <w:spacing w:line="360" w:lineRule="auto"/>
        <w:ind w:firstLine="600" w:firstLineChars="200"/>
        <w:jc w:val="both"/>
        <w:rPr>
          <w:rFonts w:ascii="仿宋" w:hAnsi="仿宋"/>
          <w:sz w:val="30"/>
          <w:szCs w:val="30"/>
        </w:rPr>
      </w:pPr>
    </w:p>
    <w:p>
      <w:pPr>
        <w:rPr>
          <w:rFonts w:ascii="仿宋" w:hAnsi="仿宋"/>
          <w:szCs w:val="24"/>
        </w:rPr>
      </w:pPr>
      <w:r>
        <w:rPr>
          <w:rFonts w:hint="eastAsia" w:ascii="仿宋" w:hAnsi="仿宋"/>
          <w:szCs w:val="24"/>
        </w:rPr>
        <w:t>备注：</w:t>
      </w:r>
    </w:p>
    <w:p>
      <w:pPr>
        <w:rPr>
          <w:rFonts w:ascii="仿宋" w:hAnsi="仿宋"/>
          <w:szCs w:val="24"/>
        </w:rPr>
      </w:pPr>
      <w:r>
        <w:rPr>
          <w:rFonts w:hint="eastAsia" w:ascii="仿宋" w:hAnsi="仿宋"/>
          <w:szCs w:val="24"/>
        </w:rPr>
        <w:t>1、以上部分累加分为100分。</w:t>
      </w:r>
    </w:p>
    <w:p>
      <w:pPr>
        <w:rPr>
          <w:rFonts w:ascii="仿宋" w:hAnsi="仿宋"/>
          <w:szCs w:val="24"/>
        </w:rPr>
      </w:pPr>
      <w:r>
        <w:rPr>
          <w:rFonts w:hint="eastAsia" w:ascii="仿宋" w:hAnsi="仿宋"/>
          <w:szCs w:val="24"/>
        </w:rPr>
        <w:t>2、各投标人得分精确到小数点后两位。</w:t>
      </w:r>
      <w:bookmarkEnd w:id="0"/>
    </w:p>
    <w:p>
      <w:pPr>
        <w:rPr>
          <w:rFonts w:ascii="仿宋" w:hAnsi="仿宋"/>
          <w:szCs w:val="24"/>
        </w:rPr>
      </w:pPr>
      <w:r>
        <w:rPr>
          <w:rFonts w:hint="eastAsia" w:ascii="仿宋" w:hAnsi="仿宋"/>
          <w:szCs w:val="24"/>
        </w:rPr>
        <w:br w:type="page"/>
      </w:r>
    </w:p>
    <w:p>
      <w:pPr>
        <w:spacing w:line="360" w:lineRule="auto"/>
        <w:rPr>
          <w:rFonts w:ascii="仿宋" w:hAnsi="仿宋"/>
          <w:sz w:val="30"/>
          <w:szCs w:val="30"/>
        </w:rPr>
      </w:pPr>
      <w:r>
        <w:rPr>
          <w:rFonts w:hint="eastAsia" w:ascii="仿宋" w:hAnsi="仿宋"/>
          <w:sz w:val="30"/>
          <w:szCs w:val="30"/>
        </w:rPr>
        <mc:AlternateContent>
          <mc:Choice Requires="wps">
            <w:drawing>
              <wp:anchor distT="0" distB="0" distL="114300" distR="114300" simplePos="0" relativeHeight="251659264" behindDoc="1" locked="0" layoutInCell="1" allowOverlap="1">
                <wp:simplePos x="0" y="0"/>
                <wp:positionH relativeFrom="margin">
                  <wp:align>center</wp:align>
                </wp:positionH>
                <wp:positionV relativeFrom="paragraph">
                  <wp:posOffset>430530</wp:posOffset>
                </wp:positionV>
                <wp:extent cx="6153150" cy="8172450"/>
                <wp:effectExtent l="4445" t="5080" r="14605" b="1397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no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top:33.9pt;height:643.5pt;width:484.5pt;mso-position-horizontal:center;mso-position-horizontal-relative:margin;z-index:-251657216;mso-width-relative:page;mso-height-relative:page;" filled="f" stroked="t" coordsize="21600,21600" o:gfxdata="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xc9T41wAAAAgBAAAPAAAA&#10;AAAAAAEAIAAAACIAAABkcnMvZG93bnJldi54bWxQSwECFAAUAAAACACHTuJAr8MHfBYCAAAEBAAA&#10;DgAAAAAAAAABACAAAAAmAQAAZHJzL2Uyb0RvYy54bWxQSwUGAAAAAAYABgBZAQAArgUAAAAA&#10;">
                <v:fill on="f" focussize="0,0"/>
                <v:stroke color="#000000" miterlimit="8" joinstyle="miter"/>
                <v:imagedata o:title=""/>
                <o:lock v:ext="edit" aspectratio="f"/>
                <v:textbox>
                  <w:txbxContent>
                    <w:p/>
                  </w:txbxContent>
                </v:textbox>
              </v:rect>
            </w:pict>
          </mc:Fallback>
        </mc:AlternateContent>
      </w:r>
      <w:r>
        <w:rPr>
          <w:rFonts w:hint="eastAsia" w:ascii="仿宋" w:hAnsi="仿宋"/>
          <w:sz w:val="30"/>
          <w:szCs w:val="30"/>
        </w:rPr>
        <w:t>附件一</w:t>
      </w:r>
      <w:r>
        <w:rPr>
          <w:rFonts w:ascii="仿宋" w:hAnsi="仿宋"/>
          <w:sz w:val="30"/>
          <w:szCs w:val="30"/>
        </w:rPr>
        <w:t>：</w:t>
      </w:r>
      <w:r>
        <w:rPr>
          <w:rFonts w:hint="eastAsia" w:ascii="仿宋" w:hAnsi="仿宋"/>
          <w:sz w:val="30"/>
          <w:szCs w:val="30"/>
        </w:rPr>
        <w:t>投标文件包装封面参考</w:t>
      </w:r>
    </w:p>
    <w:p>
      <w:pPr>
        <w:widowControl/>
        <w:jc w:val="center"/>
        <w:rPr>
          <w:rFonts w:ascii="黑体" w:hAnsi="黑体" w:eastAsia="黑体"/>
          <w:sz w:val="72"/>
          <w:szCs w:val="72"/>
        </w:rPr>
      </w:pPr>
    </w:p>
    <w:p>
      <w:pPr>
        <w:widowControl/>
        <w:jc w:val="center"/>
        <w:rPr>
          <w:rFonts w:ascii="黑体" w:hAnsi="黑体" w:eastAsia="黑体"/>
          <w:sz w:val="72"/>
          <w:szCs w:val="72"/>
        </w:rPr>
      </w:pPr>
    </w:p>
    <w:p>
      <w:pPr>
        <w:widowControl/>
        <w:jc w:val="center"/>
        <w:rPr>
          <w:rFonts w:ascii="黑体" w:hAnsi="黑体" w:eastAsia="黑体"/>
          <w:sz w:val="72"/>
          <w:szCs w:val="72"/>
        </w:rPr>
      </w:pPr>
    </w:p>
    <w:p>
      <w:pPr>
        <w:widowControl/>
        <w:jc w:val="center"/>
        <w:rPr>
          <w:rFonts w:ascii="黑体" w:hAnsi="黑体" w:eastAsia="黑体"/>
          <w:sz w:val="72"/>
          <w:szCs w:val="72"/>
        </w:rPr>
      </w:pPr>
    </w:p>
    <w:p>
      <w:pPr>
        <w:widowControl/>
        <w:jc w:val="center"/>
        <w:rPr>
          <w:rFonts w:ascii="黑体" w:hAnsi="黑体" w:eastAsia="黑体"/>
          <w:sz w:val="72"/>
          <w:szCs w:val="72"/>
        </w:rPr>
      </w:pPr>
    </w:p>
    <w:p>
      <w:pPr>
        <w:widowControl/>
        <w:jc w:val="center"/>
        <w:rPr>
          <w:rFonts w:ascii="黑体" w:hAnsi="黑体" w:eastAsia="黑体" w:cs="黑体"/>
          <w:sz w:val="72"/>
          <w:szCs w:val="72"/>
        </w:rPr>
      </w:pPr>
      <w:r>
        <w:rPr>
          <w:rFonts w:hint="eastAsia" w:ascii="黑体" w:hAnsi="黑体" w:eastAsia="黑体" w:cs="黑体"/>
          <w:sz w:val="72"/>
          <w:szCs w:val="72"/>
        </w:rPr>
        <w:t>投标文件</w:t>
      </w:r>
    </w:p>
    <w:p>
      <w:pPr>
        <w:widowControl/>
        <w:jc w:val="center"/>
        <w:rPr>
          <w:rFonts w:ascii="黑体" w:hAnsi="黑体" w:eastAsia="黑体"/>
          <w:sz w:val="32"/>
        </w:rPr>
      </w:pPr>
    </w:p>
    <w:p>
      <w:pPr>
        <w:widowControl/>
        <w:jc w:val="center"/>
        <w:rPr>
          <w:rFonts w:ascii="黑体" w:hAnsi="黑体" w:eastAsia="黑体"/>
          <w:sz w:val="32"/>
        </w:rPr>
      </w:pPr>
    </w:p>
    <w:p>
      <w:pPr>
        <w:widowControl/>
        <w:jc w:val="center"/>
        <w:rPr>
          <w:rFonts w:ascii="黑体" w:hAnsi="黑体" w:eastAsia="黑体"/>
          <w:sz w:val="32"/>
        </w:rPr>
      </w:pPr>
    </w:p>
    <w:p>
      <w:pPr>
        <w:widowControl/>
        <w:jc w:val="center"/>
        <w:rPr>
          <w:rFonts w:ascii="黑体" w:hAnsi="黑体" w:eastAsia="黑体"/>
          <w:sz w:val="32"/>
        </w:rPr>
      </w:pPr>
    </w:p>
    <w:p>
      <w:pPr>
        <w:widowControl/>
        <w:ind w:firstLine="3080" w:firstLineChars="700"/>
        <w:rPr>
          <w:rFonts w:ascii="黑体" w:hAnsi="黑体" w:eastAsia="黑体"/>
          <w:sz w:val="44"/>
          <w:szCs w:val="44"/>
        </w:rPr>
      </w:pPr>
      <w:r>
        <w:rPr>
          <w:rFonts w:hint="eastAsia" w:ascii="黑体" w:hAnsi="黑体" w:eastAsia="黑体"/>
          <w:sz w:val="44"/>
          <w:szCs w:val="44"/>
        </w:rPr>
        <w:t>□资信证明材料</w:t>
      </w:r>
    </w:p>
    <w:p>
      <w:pPr>
        <w:widowControl/>
        <w:ind w:firstLine="3520" w:firstLineChars="800"/>
        <w:rPr>
          <w:rFonts w:ascii="黑体" w:hAnsi="黑体" w:eastAsia="黑体"/>
          <w:sz w:val="44"/>
          <w:szCs w:val="44"/>
        </w:rPr>
      </w:pPr>
    </w:p>
    <w:p>
      <w:pPr>
        <w:widowControl/>
        <w:ind w:firstLine="3080" w:firstLineChars="700"/>
        <w:rPr>
          <w:rFonts w:ascii="黑体" w:hAnsi="黑体" w:eastAsia="黑体"/>
          <w:sz w:val="44"/>
          <w:szCs w:val="44"/>
        </w:rPr>
      </w:pPr>
      <w:r>
        <w:rPr>
          <w:rFonts w:hint="eastAsia" w:ascii="黑体" w:hAnsi="黑体" w:eastAsia="黑体"/>
          <w:sz w:val="44"/>
          <w:szCs w:val="44"/>
        </w:rPr>
        <w:t>□参评材料</w:t>
      </w:r>
    </w:p>
    <w:p>
      <w:pPr>
        <w:widowControl/>
        <w:ind w:firstLine="3520" w:firstLineChars="800"/>
        <w:rPr>
          <w:rFonts w:ascii="黑体" w:hAnsi="黑体" w:eastAsia="黑体"/>
          <w:sz w:val="44"/>
          <w:szCs w:val="44"/>
        </w:rPr>
      </w:pPr>
    </w:p>
    <w:p>
      <w:pPr>
        <w:widowControl/>
        <w:ind w:firstLine="3520" w:firstLineChars="800"/>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32"/>
        </w:rPr>
      </w:pPr>
      <w:r>
        <w:rPr>
          <w:rFonts w:hint="eastAsia" w:ascii="黑体" w:hAnsi="黑体" w:eastAsia="黑体"/>
          <w:sz w:val="32"/>
        </w:rPr>
        <w:t>项目名称：</w:t>
      </w:r>
    </w:p>
    <w:p>
      <w:pPr>
        <w:widowControl/>
        <w:rPr>
          <w:rFonts w:ascii="黑体" w:hAnsi="黑体" w:eastAsia="黑体"/>
          <w:sz w:val="72"/>
          <w:szCs w:val="72"/>
        </w:rPr>
      </w:pPr>
      <w:r>
        <w:rPr>
          <w:rFonts w:hint="eastAsia" w:ascii="黑体" w:hAnsi="黑体" w:eastAsia="黑体"/>
          <w:sz w:val="32"/>
        </w:rPr>
        <w:t>投标人名称：</w:t>
      </w:r>
    </w:p>
    <w:p/>
    <w:p>
      <w:pPr>
        <w:rPr>
          <w:rFonts w:ascii="仿宋" w:hAnsi="仿宋"/>
          <w:sz w:val="28"/>
          <w:szCs w:val="28"/>
        </w:rPr>
      </w:pPr>
    </w:p>
    <w:sectPr>
      <w:headerReference r:id="rId5" w:type="first"/>
      <w:footerReference r:id="rId8" w:type="first"/>
      <w:headerReference r:id="rId3" w:type="default"/>
      <w:footerReference r:id="rId6" w:type="default"/>
      <w:headerReference r:id="rId4" w:type="even"/>
      <w:footerReference r:id="rId7" w:type="even"/>
      <w:pgSz w:w="11907" w:h="16839"/>
      <w:pgMar w:top="2098" w:right="1474" w:bottom="1985" w:left="158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rPr>
        <w:rFonts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8"/>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612EEE"/>
    <w:multiLevelType w:val="singleLevel"/>
    <w:tmpl w:val="91612EEE"/>
    <w:lvl w:ilvl="0" w:tentative="0">
      <w:start w:val="1"/>
      <w:numFmt w:val="decimal"/>
      <w:lvlText w:val="%1."/>
      <w:lvlJc w:val="left"/>
      <w:pPr>
        <w:ind w:left="425" w:hanging="425"/>
      </w:pPr>
      <w:rPr>
        <w:rFonts w:hint="default"/>
      </w:rPr>
    </w:lvl>
  </w:abstractNum>
  <w:abstractNum w:abstractNumId="1">
    <w:nsid w:val="E333C580"/>
    <w:multiLevelType w:val="singleLevel"/>
    <w:tmpl w:val="E333C580"/>
    <w:lvl w:ilvl="0" w:tentative="0">
      <w:start w:val="1"/>
      <w:numFmt w:val="decimal"/>
      <w:lvlText w:val="%1."/>
      <w:lvlJc w:val="left"/>
      <w:pPr>
        <w:tabs>
          <w:tab w:val="left" w:pos="312"/>
        </w:tabs>
      </w:pPr>
    </w:lvl>
  </w:abstractNum>
  <w:abstractNum w:abstractNumId="2">
    <w:nsid w:val="EB81696F"/>
    <w:multiLevelType w:val="singleLevel"/>
    <w:tmpl w:val="EB81696F"/>
    <w:lvl w:ilvl="0" w:tentative="0">
      <w:start w:val="2"/>
      <w:numFmt w:val="chineseCounting"/>
      <w:suff w:val="nothing"/>
      <w:lvlText w:val="（%1）"/>
      <w:lvlJc w:val="left"/>
      <w:rPr>
        <w:rFonts w:hint="eastAsia"/>
      </w:rPr>
    </w:lvl>
  </w:abstractNum>
  <w:abstractNum w:abstractNumId="3">
    <w:nsid w:val="04F72F38"/>
    <w:multiLevelType w:val="singleLevel"/>
    <w:tmpl w:val="04F72F38"/>
    <w:lvl w:ilvl="0" w:tentative="0">
      <w:start w:val="1"/>
      <w:numFmt w:val="decimal"/>
      <w:lvlText w:val="%1."/>
      <w:lvlJc w:val="left"/>
      <w:pPr>
        <w:ind w:left="425" w:hanging="425"/>
      </w:pPr>
      <w:rPr>
        <w:rFonts w:hint="default"/>
      </w:rPr>
    </w:lvl>
  </w:abstractNum>
  <w:abstractNum w:abstractNumId="4">
    <w:nsid w:val="54CA5A22"/>
    <w:multiLevelType w:val="singleLevel"/>
    <w:tmpl w:val="54CA5A22"/>
    <w:lvl w:ilvl="0" w:tentative="0">
      <w:start w:val="6"/>
      <w:numFmt w:val="chineseCounting"/>
      <w:suff w:val="nothing"/>
      <w:lvlText w:val="%1、"/>
      <w:lvlJc w:val="left"/>
      <w:rPr>
        <w:rFonts w:hint="eastAsia"/>
      </w:rPr>
    </w:lvl>
  </w:abstractNum>
  <w:abstractNum w:abstractNumId="5">
    <w:nsid w:val="6375797E"/>
    <w:multiLevelType w:val="singleLevel"/>
    <w:tmpl w:val="6375797E"/>
    <w:lvl w:ilvl="0" w:tentative="0">
      <w:start w:val="1"/>
      <w:numFmt w:val="chineseCounting"/>
      <w:suff w:val="space"/>
      <w:lvlText w:val="第%1部分"/>
      <w:lvlJc w:val="left"/>
      <w:rPr>
        <w:rFonts w:hint="eastAsia"/>
      </w:rPr>
    </w:lvl>
  </w:abstractNum>
  <w:abstractNum w:abstractNumId="6">
    <w:nsid w:val="7DE71BA0"/>
    <w:multiLevelType w:val="singleLevel"/>
    <w:tmpl w:val="7DE71BA0"/>
    <w:lvl w:ilvl="0" w:tentative="0">
      <w:start w:val="1"/>
      <w:numFmt w:val="chineseCounting"/>
      <w:suff w:val="space"/>
      <w:lvlText w:val="第%1部分"/>
      <w:lvlJc w:val="left"/>
      <w:rPr>
        <w:rFonts w:hint="eastAsia"/>
      </w:rPr>
    </w:lvl>
  </w:abstractNum>
  <w:num w:numId="1">
    <w:abstractNumId w:val="5"/>
  </w:num>
  <w:num w:numId="2">
    <w:abstractNumId w:val="3"/>
  </w:num>
  <w:num w:numId="3">
    <w:abstractNumId w:val="0"/>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ZhN2M3Y2VlMGM1NTg3NGVmY2VhOTgyYjQxN2RlNzEifQ=="/>
  </w:docVars>
  <w:rsids>
    <w:rsidRoot w:val="02392D02"/>
    <w:rsid w:val="0000039D"/>
    <w:rsid w:val="000012EB"/>
    <w:rsid w:val="000100AE"/>
    <w:rsid w:val="00030AFE"/>
    <w:rsid w:val="00035831"/>
    <w:rsid w:val="0004137A"/>
    <w:rsid w:val="0004337A"/>
    <w:rsid w:val="0005102B"/>
    <w:rsid w:val="000653F2"/>
    <w:rsid w:val="00075FC5"/>
    <w:rsid w:val="00080ECD"/>
    <w:rsid w:val="000909AD"/>
    <w:rsid w:val="00093B94"/>
    <w:rsid w:val="000A7C81"/>
    <w:rsid w:val="000B1140"/>
    <w:rsid w:val="000C48FF"/>
    <w:rsid w:val="000C7507"/>
    <w:rsid w:val="000C7707"/>
    <w:rsid w:val="000D07F5"/>
    <w:rsid w:val="000E052C"/>
    <w:rsid w:val="000E136B"/>
    <w:rsid w:val="000E3C0A"/>
    <w:rsid w:val="000E600D"/>
    <w:rsid w:val="000F098F"/>
    <w:rsid w:val="000F51C1"/>
    <w:rsid w:val="00101F7C"/>
    <w:rsid w:val="00105E9D"/>
    <w:rsid w:val="00107814"/>
    <w:rsid w:val="00110A10"/>
    <w:rsid w:val="00113A5F"/>
    <w:rsid w:val="00120136"/>
    <w:rsid w:val="0012244D"/>
    <w:rsid w:val="00124BC3"/>
    <w:rsid w:val="001350FA"/>
    <w:rsid w:val="00136DB2"/>
    <w:rsid w:val="0014340A"/>
    <w:rsid w:val="00143913"/>
    <w:rsid w:val="00145358"/>
    <w:rsid w:val="0014607B"/>
    <w:rsid w:val="00150D3B"/>
    <w:rsid w:val="00150DDE"/>
    <w:rsid w:val="00152BA0"/>
    <w:rsid w:val="001564DE"/>
    <w:rsid w:val="001674C1"/>
    <w:rsid w:val="001700C1"/>
    <w:rsid w:val="0017391A"/>
    <w:rsid w:val="00176056"/>
    <w:rsid w:val="00176A8A"/>
    <w:rsid w:val="00182C38"/>
    <w:rsid w:val="001933F7"/>
    <w:rsid w:val="00195FA6"/>
    <w:rsid w:val="001A1BFD"/>
    <w:rsid w:val="001A5633"/>
    <w:rsid w:val="001A790A"/>
    <w:rsid w:val="001C1D75"/>
    <w:rsid w:val="001C1FD7"/>
    <w:rsid w:val="001C32ED"/>
    <w:rsid w:val="001D2FC5"/>
    <w:rsid w:val="001D3811"/>
    <w:rsid w:val="001D5704"/>
    <w:rsid w:val="001D6929"/>
    <w:rsid w:val="001E0B50"/>
    <w:rsid w:val="001F0B25"/>
    <w:rsid w:val="002028B3"/>
    <w:rsid w:val="00202BFD"/>
    <w:rsid w:val="00211445"/>
    <w:rsid w:val="002137EB"/>
    <w:rsid w:val="002144AF"/>
    <w:rsid w:val="00215FCA"/>
    <w:rsid w:val="00221717"/>
    <w:rsid w:val="00225A06"/>
    <w:rsid w:val="0023559F"/>
    <w:rsid w:val="00240520"/>
    <w:rsid w:val="00240F4E"/>
    <w:rsid w:val="00244291"/>
    <w:rsid w:val="00257D67"/>
    <w:rsid w:val="00264AF1"/>
    <w:rsid w:val="00265AD2"/>
    <w:rsid w:val="002679B9"/>
    <w:rsid w:val="00267D8E"/>
    <w:rsid w:val="002742C9"/>
    <w:rsid w:val="00277E6E"/>
    <w:rsid w:val="0028153E"/>
    <w:rsid w:val="002829E4"/>
    <w:rsid w:val="00284CA5"/>
    <w:rsid w:val="00290A8F"/>
    <w:rsid w:val="002A5C6E"/>
    <w:rsid w:val="002B096D"/>
    <w:rsid w:val="002B7B9D"/>
    <w:rsid w:val="002C7A65"/>
    <w:rsid w:val="002D104B"/>
    <w:rsid w:val="002D5BD9"/>
    <w:rsid w:val="002E2677"/>
    <w:rsid w:val="002E4FE9"/>
    <w:rsid w:val="002E616D"/>
    <w:rsid w:val="002F6DDA"/>
    <w:rsid w:val="00305216"/>
    <w:rsid w:val="00307B38"/>
    <w:rsid w:val="00315C26"/>
    <w:rsid w:val="00320730"/>
    <w:rsid w:val="0032256A"/>
    <w:rsid w:val="00324DE6"/>
    <w:rsid w:val="00332F2C"/>
    <w:rsid w:val="0033478C"/>
    <w:rsid w:val="003417FA"/>
    <w:rsid w:val="00342A0D"/>
    <w:rsid w:val="00347D19"/>
    <w:rsid w:val="003538BB"/>
    <w:rsid w:val="003571AD"/>
    <w:rsid w:val="00360D0A"/>
    <w:rsid w:val="00365D28"/>
    <w:rsid w:val="003664F1"/>
    <w:rsid w:val="0036798C"/>
    <w:rsid w:val="0038407D"/>
    <w:rsid w:val="00384B72"/>
    <w:rsid w:val="003900B4"/>
    <w:rsid w:val="00391400"/>
    <w:rsid w:val="003939EF"/>
    <w:rsid w:val="003971FF"/>
    <w:rsid w:val="003A0A3B"/>
    <w:rsid w:val="003A1481"/>
    <w:rsid w:val="003A5E23"/>
    <w:rsid w:val="003B0467"/>
    <w:rsid w:val="003B0AA0"/>
    <w:rsid w:val="003B7F90"/>
    <w:rsid w:val="003D3616"/>
    <w:rsid w:val="003E198C"/>
    <w:rsid w:val="003F014B"/>
    <w:rsid w:val="003F4129"/>
    <w:rsid w:val="00405FCB"/>
    <w:rsid w:val="00413AC2"/>
    <w:rsid w:val="00425C53"/>
    <w:rsid w:val="004267B1"/>
    <w:rsid w:val="0042734D"/>
    <w:rsid w:val="00430F5B"/>
    <w:rsid w:val="004341F2"/>
    <w:rsid w:val="004342C5"/>
    <w:rsid w:val="004427CD"/>
    <w:rsid w:val="0044318F"/>
    <w:rsid w:val="004442A0"/>
    <w:rsid w:val="00450953"/>
    <w:rsid w:val="00452A83"/>
    <w:rsid w:val="004573AB"/>
    <w:rsid w:val="00460091"/>
    <w:rsid w:val="00472B59"/>
    <w:rsid w:val="00476AE2"/>
    <w:rsid w:val="004901F9"/>
    <w:rsid w:val="0049207E"/>
    <w:rsid w:val="00494392"/>
    <w:rsid w:val="004963DE"/>
    <w:rsid w:val="004A1F59"/>
    <w:rsid w:val="004B421B"/>
    <w:rsid w:val="004C69C8"/>
    <w:rsid w:val="004D1ACC"/>
    <w:rsid w:val="004D3AA0"/>
    <w:rsid w:val="004D4026"/>
    <w:rsid w:val="004E1C79"/>
    <w:rsid w:val="004E2F08"/>
    <w:rsid w:val="004E4EAA"/>
    <w:rsid w:val="004E6A23"/>
    <w:rsid w:val="004F01F0"/>
    <w:rsid w:val="00504C5D"/>
    <w:rsid w:val="005209B3"/>
    <w:rsid w:val="00522545"/>
    <w:rsid w:val="00532098"/>
    <w:rsid w:val="0053444C"/>
    <w:rsid w:val="0054203E"/>
    <w:rsid w:val="00542CE7"/>
    <w:rsid w:val="005433D3"/>
    <w:rsid w:val="00543C29"/>
    <w:rsid w:val="00550393"/>
    <w:rsid w:val="0055204D"/>
    <w:rsid w:val="00552D70"/>
    <w:rsid w:val="00556891"/>
    <w:rsid w:val="00556904"/>
    <w:rsid w:val="005600DD"/>
    <w:rsid w:val="00560444"/>
    <w:rsid w:val="0056170F"/>
    <w:rsid w:val="005635E6"/>
    <w:rsid w:val="00567E53"/>
    <w:rsid w:val="00572E06"/>
    <w:rsid w:val="005821B0"/>
    <w:rsid w:val="005833F8"/>
    <w:rsid w:val="00583E19"/>
    <w:rsid w:val="00587862"/>
    <w:rsid w:val="005A5FEF"/>
    <w:rsid w:val="005B14EB"/>
    <w:rsid w:val="005B5B66"/>
    <w:rsid w:val="005C6F0E"/>
    <w:rsid w:val="005D089E"/>
    <w:rsid w:val="005E7AAB"/>
    <w:rsid w:val="005F0704"/>
    <w:rsid w:val="005F7E08"/>
    <w:rsid w:val="005F7EF3"/>
    <w:rsid w:val="00601799"/>
    <w:rsid w:val="00603394"/>
    <w:rsid w:val="0060571D"/>
    <w:rsid w:val="006108B5"/>
    <w:rsid w:val="00626C13"/>
    <w:rsid w:val="006305CB"/>
    <w:rsid w:val="00631A7E"/>
    <w:rsid w:val="006328E8"/>
    <w:rsid w:val="006426F3"/>
    <w:rsid w:val="00645736"/>
    <w:rsid w:val="00645DE6"/>
    <w:rsid w:val="006611E3"/>
    <w:rsid w:val="00662714"/>
    <w:rsid w:val="006643CF"/>
    <w:rsid w:val="00665614"/>
    <w:rsid w:val="00666006"/>
    <w:rsid w:val="00674A80"/>
    <w:rsid w:val="00685375"/>
    <w:rsid w:val="00686B77"/>
    <w:rsid w:val="0068729F"/>
    <w:rsid w:val="0069462D"/>
    <w:rsid w:val="006970D5"/>
    <w:rsid w:val="006A07AE"/>
    <w:rsid w:val="006A6C32"/>
    <w:rsid w:val="006B01B6"/>
    <w:rsid w:val="006B03CD"/>
    <w:rsid w:val="006B0511"/>
    <w:rsid w:val="006B462A"/>
    <w:rsid w:val="006B640B"/>
    <w:rsid w:val="006C396D"/>
    <w:rsid w:val="006C5A27"/>
    <w:rsid w:val="006F2035"/>
    <w:rsid w:val="006F4E6A"/>
    <w:rsid w:val="0070106A"/>
    <w:rsid w:val="00703916"/>
    <w:rsid w:val="00707B62"/>
    <w:rsid w:val="00711631"/>
    <w:rsid w:val="00713818"/>
    <w:rsid w:val="00723BC9"/>
    <w:rsid w:val="00724254"/>
    <w:rsid w:val="00726DDD"/>
    <w:rsid w:val="00734F19"/>
    <w:rsid w:val="00746072"/>
    <w:rsid w:val="00746795"/>
    <w:rsid w:val="00750E4F"/>
    <w:rsid w:val="007607C3"/>
    <w:rsid w:val="00762906"/>
    <w:rsid w:val="00763035"/>
    <w:rsid w:val="00771672"/>
    <w:rsid w:val="00772A9B"/>
    <w:rsid w:val="0077340C"/>
    <w:rsid w:val="0078107A"/>
    <w:rsid w:val="0078375B"/>
    <w:rsid w:val="00783812"/>
    <w:rsid w:val="007910B7"/>
    <w:rsid w:val="00796A51"/>
    <w:rsid w:val="007A06FA"/>
    <w:rsid w:val="007A6E65"/>
    <w:rsid w:val="007B3749"/>
    <w:rsid w:val="007B41A6"/>
    <w:rsid w:val="007C6E67"/>
    <w:rsid w:val="007D5815"/>
    <w:rsid w:val="007D5C20"/>
    <w:rsid w:val="007E0166"/>
    <w:rsid w:val="007E6840"/>
    <w:rsid w:val="007F012E"/>
    <w:rsid w:val="007F11F7"/>
    <w:rsid w:val="007F44E3"/>
    <w:rsid w:val="007F680E"/>
    <w:rsid w:val="00800952"/>
    <w:rsid w:val="00801F43"/>
    <w:rsid w:val="00801FB3"/>
    <w:rsid w:val="00803C43"/>
    <w:rsid w:val="008103C5"/>
    <w:rsid w:val="0081493D"/>
    <w:rsid w:val="00824BC4"/>
    <w:rsid w:val="00841F7E"/>
    <w:rsid w:val="00842B43"/>
    <w:rsid w:val="008446AA"/>
    <w:rsid w:val="00846513"/>
    <w:rsid w:val="00850695"/>
    <w:rsid w:val="00852D98"/>
    <w:rsid w:val="008550A0"/>
    <w:rsid w:val="008629CD"/>
    <w:rsid w:val="0086350D"/>
    <w:rsid w:val="00870E67"/>
    <w:rsid w:val="00876894"/>
    <w:rsid w:val="008774ED"/>
    <w:rsid w:val="00880990"/>
    <w:rsid w:val="008819AE"/>
    <w:rsid w:val="00884211"/>
    <w:rsid w:val="008844FC"/>
    <w:rsid w:val="00891C3D"/>
    <w:rsid w:val="0089538A"/>
    <w:rsid w:val="008A0AF7"/>
    <w:rsid w:val="008A1E23"/>
    <w:rsid w:val="008A1EBE"/>
    <w:rsid w:val="008A4ED0"/>
    <w:rsid w:val="008A4FC1"/>
    <w:rsid w:val="008B7765"/>
    <w:rsid w:val="008C5ABD"/>
    <w:rsid w:val="008C738D"/>
    <w:rsid w:val="008C76AC"/>
    <w:rsid w:val="008D11E0"/>
    <w:rsid w:val="008D1C7C"/>
    <w:rsid w:val="008D6376"/>
    <w:rsid w:val="008E26C7"/>
    <w:rsid w:val="008E51E7"/>
    <w:rsid w:val="008F01F7"/>
    <w:rsid w:val="008F1378"/>
    <w:rsid w:val="008F25C7"/>
    <w:rsid w:val="008F2FDD"/>
    <w:rsid w:val="008F682E"/>
    <w:rsid w:val="008F749D"/>
    <w:rsid w:val="0090011D"/>
    <w:rsid w:val="0090549A"/>
    <w:rsid w:val="009074C4"/>
    <w:rsid w:val="0090791F"/>
    <w:rsid w:val="0091165C"/>
    <w:rsid w:val="0091352E"/>
    <w:rsid w:val="00915CD2"/>
    <w:rsid w:val="009165B4"/>
    <w:rsid w:val="00916964"/>
    <w:rsid w:val="00930349"/>
    <w:rsid w:val="009373BD"/>
    <w:rsid w:val="00944B66"/>
    <w:rsid w:val="00953181"/>
    <w:rsid w:val="00957878"/>
    <w:rsid w:val="0096458C"/>
    <w:rsid w:val="00970E48"/>
    <w:rsid w:val="0097435B"/>
    <w:rsid w:val="009747DF"/>
    <w:rsid w:val="00984EDB"/>
    <w:rsid w:val="00985212"/>
    <w:rsid w:val="009852C7"/>
    <w:rsid w:val="00985782"/>
    <w:rsid w:val="00986899"/>
    <w:rsid w:val="00991067"/>
    <w:rsid w:val="00993437"/>
    <w:rsid w:val="009946C1"/>
    <w:rsid w:val="009A0840"/>
    <w:rsid w:val="009A2E8C"/>
    <w:rsid w:val="009A5438"/>
    <w:rsid w:val="009A7EF7"/>
    <w:rsid w:val="009B014D"/>
    <w:rsid w:val="009B3CEC"/>
    <w:rsid w:val="009B4E2A"/>
    <w:rsid w:val="009B6E2F"/>
    <w:rsid w:val="009D02E2"/>
    <w:rsid w:val="009D294D"/>
    <w:rsid w:val="009D2B9F"/>
    <w:rsid w:val="009D62A9"/>
    <w:rsid w:val="009D6C5E"/>
    <w:rsid w:val="009E1AC6"/>
    <w:rsid w:val="009E26F3"/>
    <w:rsid w:val="009F0784"/>
    <w:rsid w:val="009F297D"/>
    <w:rsid w:val="009F2F66"/>
    <w:rsid w:val="009F702E"/>
    <w:rsid w:val="00A03178"/>
    <w:rsid w:val="00A03E41"/>
    <w:rsid w:val="00A04C3B"/>
    <w:rsid w:val="00A1278B"/>
    <w:rsid w:val="00A132DD"/>
    <w:rsid w:val="00A21745"/>
    <w:rsid w:val="00A2358F"/>
    <w:rsid w:val="00A36A10"/>
    <w:rsid w:val="00A37234"/>
    <w:rsid w:val="00A37C04"/>
    <w:rsid w:val="00A424D9"/>
    <w:rsid w:val="00A52177"/>
    <w:rsid w:val="00A57B66"/>
    <w:rsid w:val="00A6086F"/>
    <w:rsid w:val="00A720EE"/>
    <w:rsid w:val="00A7661E"/>
    <w:rsid w:val="00A800FC"/>
    <w:rsid w:val="00A811A3"/>
    <w:rsid w:val="00A84BDC"/>
    <w:rsid w:val="00A947B4"/>
    <w:rsid w:val="00A956D4"/>
    <w:rsid w:val="00A95CAC"/>
    <w:rsid w:val="00A95E20"/>
    <w:rsid w:val="00A96F5F"/>
    <w:rsid w:val="00AA160C"/>
    <w:rsid w:val="00AA2D35"/>
    <w:rsid w:val="00AA3C8B"/>
    <w:rsid w:val="00AA57EA"/>
    <w:rsid w:val="00AB5155"/>
    <w:rsid w:val="00AC73B6"/>
    <w:rsid w:val="00AC7806"/>
    <w:rsid w:val="00AD4423"/>
    <w:rsid w:val="00AD5938"/>
    <w:rsid w:val="00AE0497"/>
    <w:rsid w:val="00B05982"/>
    <w:rsid w:val="00B11612"/>
    <w:rsid w:val="00B22D10"/>
    <w:rsid w:val="00B34BED"/>
    <w:rsid w:val="00B3546C"/>
    <w:rsid w:val="00B36809"/>
    <w:rsid w:val="00B36DFF"/>
    <w:rsid w:val="00B41A03"/>
    <w:rsid w:val="00B453C0"/>
    <w:rsid w:val="00B53C76"/>
    <w:rsid w:val="00B5483F"/>
    <w:rsid w:val="00B64157"/>
    <w:rsid w:val="00B711A0"/>
    <w:rsid w:val="00B713FE"/>
    <w:rsid w:val="00B71C4B"/>
    <w:rsid w:val="00B72206"/>
    <w:rsid w:val="00B73AB3"/>
    <w:rsid w:val="00B75DE6"/>
    <w:rsid w:val="00B85565"/>
    <w:rsid w:val="00B86B33"/>
    <w:rsid w:val="00B91EFB"/>
    <w:rsid w:val="00B964CA"/>
    <w:rsid w:val="00B97C8C"/>
    <w:rsid w:val="00BA291F"/>
    <w:rsid w:val="00BA5A7B"/>
    <w:rsid w:val="00BB1C20"/>
    <w:rsid w:val="00BB52F9"/>
    <w:rsid w:val="00BC3B1A"/>
    <w:rsid w:val="00BD3AF5"/>
    <w:rsid w:val="00BD3E2A"/>
    <w:rsid w:val="00BE3335"/>
    <w:rsid w:val="00BE3479"/>
    <w:rsid w:val="00BE4279"/>
    <w:rsid w:val="00BE5BE3"/>
    <w:rsid w:val="00BF1D6E"/>
    <w:rsid w:val="00C03B00"/>
    <w:rsid w:val="00C07530"/>
    <w:rsid w:val="00C21C6D"/>
    <w:rsid w:val="00C2216E"/>
    <w:rsid w:val="00C26D7C"/>
    <w:rsid w:val="00C3026E"/>
    <w:rsid w:val="00C4220F"/>
    <w:rsid w:val="00C45744"/>
    <w:rsid w:val="00C552B4"/>
    <w:rsid w:val="00C62D94"/>
    <w:rsid w:val="00C6522C"/>
    <w:rsid w:val="00C66811"/>
    <w:rsid w:val="00C67414"/>
    <w:rsid w:val="00C71223"/>
    <w:rsid w:val="00C712E4"/>
    <w:rsid w:val="00C925C4"/>
    <w:rsid w:val="00C9663D"/>
    <w:rsid w:val="00C96F72"/>
    <w:rsid w:val="00CA25B3"/>
    <w:rsid w:val="00CA5B0A"/>
    <w:rsid w:val="00CC2F3C"/>
    <w:rsid w:val="00CC3E05"/>
    <w:rsid w:val="00CC7938"/>
    <w:rsid w:val="00CD13EB"/>
    <w:rsid w:val="00CD1509"/>
    <w:rsid w:val="00CD7CFC"/>
    <w:rsid w:val="00CE26AE"/>
    <w:rsid w:val="00CE36FC"/>
    <w:rsid w:val="00CE4402"/>
    <w:rsid w:val="00CE4EA5"/>
    <w:rsid w:val="00CE6A1F"/>
    <w:rsid w:val="00CF4F17"/>
    <w:rsid w:val="00CF7B61"/>
    <w:rsid w:val="00D0144E"/>
    <w:rsid w:val="00D03B7A"/>
    <w:rsid w:val="00D06541"/>
    <w:rsid w:val="00D16A9B"/>
    <w:rsid w:val="00D23D31"/>
    <w:rsid w:val="00D27FEC"/>
    <w:rsid w:val="00D3004D"/>
    <w:rsid w:val="00D301DC"/>
    <w:rsid w:val="00D42B6F"/>
    <w:rsid w:val="00D52906"/>
    <w:rsid w:val="00D53963"/>
    <w:rsid w:val="00D568BD"/>
    <w:rsid w:val="00D60189"/>
    <w:rsid w:val="00D61B60"/>
    <w:rsid w:val="00D62268"/>
    <w:rsid w:val="00D70E55"/>
    <w:rsid w:val="00D77AE3"/>
    <w:rsid w:val="00D84807"/>
    <w:rsid w:val="00D87924"/>
    <w:rsid w:val="00D92599"/>
    <w:rsid w:val="00D97079"/>
    <w:rsid w:val="00DA4A95"/>
    <w:rsid w:val="00DB01B6"/>
    <w:rsid w:val="00DB2189"/>
    <w:rsid w:val="00DB4911"/>
    <w:rsid w:val="00DB7A11"/>
    <w:rsid w:val="00DD5896"/>
    <w:rsid w:val="00DD7A2F"/>
    <w:rsid w:val="00DE2B8B"/>
    <w:rsid w:val="00DF02A8"/>
    <w:rsid w:val="00DF1841"/>
    <w:rsid w:val="00DF6F72"/>
    <w:rsid w:val="00E0124B"/>
    <w:rsid w:val="00E04EEE"/>
    <w:rsid w:val="00E13D43"/>
    <w:rsid w:val="00E14657"/>
    <w:rsid w:val="00E14C98"/>
    <w:rsid w:val="00E2200F"/>
    <w:rsid w:val="00E224AF"/>
    <w:rsid w:val="00E27A68"/>
    <w:rsid w:val="00E30B2A"/>
    <w:rsid w:val="00E32C8E"/>
    <w:rsid w:val="00E33888"/>
    <w:rsid w:val="00E45552"/>
    <w:rsid w:val="00E47402"/>
    <w:rsid w:val="00E60E04"/>
    <w:rsid w:val="00E673A2"/>
    <w:rsid w:val="00E71428"/>
    <w:rsid w:val="00E82493"/>
    <w:rsid w:val="00E86A55"/>
    <w:rsid w:val="00E90C74"/>
    <w:rsid w:val="00E933E4"/>
    <w:rsid w:val="00E9437F"/>
    <w:rsid w:val="00EA5D50"/>
    <w:rsid w:val="00EB3204"/>
    <w:rsid w:val="00EB78FD"/>
    <w:rsid w:val="00EC3181"/>
    <w:rsid w:val="00EC62E5"/>
    <w:rsid w:val="00ED2BBD"/>
    <w:rsid w:val="00ED4781"/>
    <w:rsid w:val="00EF0455"/>
    <w:rsid w:val="00EF3DAA"/>
    <w:rsid w:val="00EF4E3D"/>
    <w:rsid w:val="00F00757"/>
    <w:rsid w:val="00F07F41"/>
    <w:rsid w:val="00F16BE0"/>
    <w:rsid w:val="00F208FF"/>
    <w:rsid w:val="00F219BC"/>
    <w:rsid w:val="00F23426"/>
    <w:rsid w:val="00F24B1B"/>
    <w:rsid w:val="00F36288"/>
    <w:rsid w:val="00F61D00"/>
    <w:rsid w:val="00F80A1D"/>
    <w:rsid w:val="00F81DFD"/>
    <w:rsid w:val="00F84B98"/>
    <w:rsid w:val="00F863A1"/>
    <w:rsid w:val="00F87242"/>
    <w:rsid w:val="00F963C1"/>
    <w:rsid w:val="00FB404A"/>
    <w:rsid w:val="00FB4979"/>
    <w:rsid w:val="00FB4D34"/>
    <w:rsid w:val="00FB5872"/>
    <w:rsid w:val="00FC14EF"/>
    <w:rsid w:val="00FD2106"/>
    <w:rsid w:val="00FD60D2"/>
    <w:rsid w:val="00FD74CF"/>
    <w:rsid w:val="011E3768"/>
    <w:rsid w:val="01AB446A"/>
    <w:rsid w:val="01F23341"/>
    <w:rsid w:val="02392D02"/>
    <w:rsid w:val="032D650E"/>
    <w:rsid w:val="03E43362"/>
    <w:rsid w:val="04446F0B"/>
    <w:rsid w:val="052E6981"/>
    <w:rsid w:val="06055520"/>
    <w:rsid w:val="06EA4C65"/>
    <w:rsid w:val="072441F5"/>
    <w:rsid w:val="088E7A4F"/>
    <w:rsid w:val="08AD1B9D"/>
    <w:rsid w:val="08B64660"/>
    <w:rsid w:val="093F0D49"/>
    <w:rsid w:val="0A997339"/>
    <w:rsid w:val="0B226B74"/>
    <w:rsid w:val="0C185CA2"/>
    <w:rsid w:val="0C695551"/>
    <w:rsid w:val="0D110C4F"/>
    <w:rsid w:val="0D2B7F62"/>
    <w:rsid w:val="0DFA16E3"/>
    <w:rsid w:val="0E34397D"/>
    <w:rsid w:val="0E5E1C72"/>
    <w:rsid w:val="0F36254B"/>
    <w:rsid w:val="10A92C9A"/>
    <w:rsid w:val="1288061D"/>
    <w:rsid w:val="136A6266"/>
    <w:rsid w:val="139F38F7"/>
    <w:rsid w:val="152424E8"/>
    <w:rsid w:val="184E0FA9"/>
    <w:rsid w:val="189746FE"/>
    <w:rsid w:val="19FD2C86"/>
    <w:rsid w:val="1A3E153D"/>
    <w:rsid w:val="1B34092A"/>
    <w:rsid w:val="1C7D3C0B"/>
    <w:rsid w:val="1CB649FE"/>
    <w:rsid w:val="1CCE547C"/>
    <w:rsid w:val="1D61177E"/>
    <w:rsid w:val="1E3C413F"/>
    <w:rsid w:val="1E3E6360"/>
    <w:rsid w:val="1E572B86"/>
    <w:rsid w:val="1EE8379A"/>
    <w:rsid w:val="1FA87F4E"/>
    <w:rsid w:val="21E93AF0"/>
    <w:rsid w:val="222D7E81"/>
    <w:rsid w:val="22433200"/>
    <w:rsid w:val="231A4E15"/>
    <w:rsid w:val="233A2855"/>
    <w:rsid w:val="23515906"/>
    <w:rsid w:val="236333D3"/>
    <w:rsid w:val="25754019"/>
    <w:rsid w:val="25B368EF"/>
    <w:rsid w:val="26213431"/>
    <w:rsid w:val="28364796"/>
    <w:rsid w:val="29AA6610"/>
    <w:rsid w:val="2A715105"/>
    <w:rsid w:val="2A9B4BC9"/>
    <w:rsid w:val="2AA04098"/>
    <w:rsid w:val="2AB729DE"/>
    <w:rsid w:val="2AC15A41"/>
    <w:rsid w:val="2ACC2D7E"/>
    <w:rsid w:val="3036391C"/>
    <w:rsid w:val="311F0D2C"/>
    <w:rsid w:val="31657AA0"/>
    <w:rsid w:val="31FC6B30"/>
    <w:rsid w:val="327E6F5F"/>
    <w:rsid w:val="331D6162"/>
    <w:rsid w:val="36AA5AEC"/>
    <w:rsid w:val="378E2D18"/>
    <w:rsid w:val="39426FF3"/>
    <w:rsid w:val="3A23599A"/>
    <w:rsid w:val="3C460065"/>
    <w:rsid w:val="3CB13731"/>
    <w:rsid w:val="3D14731C"/>
    <w:rsid w:val="3D3659E4"/>
    <w:rsid w:val="3DB82D12"/>
    <w:rsid w:val="3EEC0A8B"/>
    <w:rsid w:val="3F0360AA"/>
    <w:rsid w:val="3F5F2CAF"/>
    <w:rsid w:val="3FA806EF"/>
    <w:rsid w:val="3FE53A5F"/>
    <w:rsid w:val="402040D4"/>
    <w:rsid w:val="40983DA5"/>
    <w:rsid w:val="415E19AD"/>
    <w:rsid w:val="43497B64"/>
    <w:rsid w:val="435B07FA"/>
    <w:rsid w:val="45875BED"/>
    <w:rsid w:val="45B84A42"/>
    <w:rsid w:val="4747483B"/>
    <w:rsid w:val="48E00EFA"/>
    <w:rsid w:val="4A6F0787"/>
    <w:rsid w:val="4BCD35AC"/>
    <w:rsid w:val="4CC3303A"/>
    <w:rsid w:val="4D7D1B31"/>
    <w:rsid w:val="4DD04D46"/>
    <w:rsid w:val="4F147B4F"/>
    <w:rsid w:val="4F1A12B1"/>
    <w:rsid w:val="506D705E"/>
    <w:rsid w:val="51071294"/>
    <w:rsid w:val="51F51413"/>
    <w:rsid w:val="52477846"/>
    <w:rsid w:val="526A52AB"/>
    <w:rsid w:val="531243A6"/>
    <w:rsid w:val="55852E44"/>
    <w:rsid w:val="55BD684B"/>
    <w:rsid w:val="56F479BB"/>
    <w:rsid w:val="57D1092E"/>
    <w:rsid w:val="596839FC"/>
    <w:rsid w:val="5980321E"/>
    <w:rsid w:val="59E06F95"/>
    <w:rsid w:val="5C3E23E2"/>
    <w:rsid w:val="5C982344"/>
    <w:rsid w:val="5D125FB6"/>
    <w:rsid w:val="5D3F5A9F"/>
    <w:rsid w:val="5D794A83"/>
    <w:rsid w:val="5D8D3D2E"/>
    <w:rsid w:val="60691B0E"/>
    <w:rsid w:val="60937472"/>
    <w:rsid w:val="61AA6976"/>
    <w:rsid w:val="63D56CD2"/>
    <w:rsid w:val="6560028E"/>
    <w:rsid w:val="665536B3"/>
    <w:rsid w:val="6695111E"/>
    <w:rsid w:val="67BF400C"/>
    <w:rsid w:val="67FC1454"/>
    <w:rsid w:val="68FF6AF5"/>
    <w:rsid w:val="69343B18"/>
    <w:rsid w:val="698B7DFF"/>
    <w:rsid w:val="69A022B3"/>
    <w:rsid w:val="69D84BCE"/>
    <w:rsid w:val="6A0F214B"/>
    <w:rsid w:val="6A880C15"/>
    <w:rsid w:val="6AF503DD"/>
    <w:rsid w:val="6D552C8D"/>
    <w:rsid w:val="6DA048B0"/>
    <w:rsid w:val="6DB97DE8"/>
    <w:rsid w:val="6DD559F7"/>
    <w:rsid w:val="6DE0518A"/>
    <w:rsid w:val="6F3C65DA"/>
    <w:rsid w:val="6F567391"/>
    <w:rsid w:val="6FB410EE"/>
    <w:rsid w:val="70891DA6"/>
    <w:rsid w:val="71B23B21"/>
    <w:rsid w:val="74302933"/>
    <w:rsid w:val="74B3603B"/>
    <w:rsid w:val="74CE5F27"/>
    <w:rsid w:val="75913D16"/>
    <w:rsid w:val="763534A8"/>
    <w:rsid w:val="76A333E3"/>
    <w:rsid w:val="76B0301B"/>
    <w:rsid w:val="76D10B32"/>
    <w:rsid w:val="7A3B66BC"/>
    <w:rsid w:val="7D3B5D6D"/>
    <w:rsid w:val="7E484F9C"/>
    <w:rsid w:val="7EDF4CBD"/>
    <w:rsid w:val="7F370CAE"/>
    <w:rsid w:val="7F50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20" w:lineRule="exact"/>
    </w:pPr>
    <w:rPr>
      <w:rFonts w:eastAsia="仿宋" w:cs="仿宋_GB2312" w:asciiTheme="minorHAnsi" w:hAnsiTheme="minorHAnsi"/>
      <w:kern w:val="2"/>
      <w:sz w:val="24"/>
      <w:szCs w:val="32"/>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ascii="黑体" w:hAnsi="黑体" w:eastAsia="黑体"/>
      <w:bCs/>
      <w:kern w:val="44"/>
      <w:sz w:val="44"/>
      <w:szCs w:val="44"/>
    </w:rPr>
  </w:style>
  <w:style w:type="paragraph" w:styleId="3">
    <w:name w:val="heading 2"/>
    <w:basedOn w:val="1"/>
    <w:next w:val="1"/>
    <w:qFormat/>
    <w:uiPriority w:val="0"/>
    <w:pPr>
      <w:keepNext/>
      <w:keepLines/>
      <w:spacing w:before="260" w:after="260" w:line="416" w:lineRule="auto"/>
      <w:ind w:firstLine="643"/>
      <w:outlineLvl w:val="1"/>
    </w:pPr>
    <w:rPr>
      <w:rFonts w:ascii="Arial" w:hAnsi="Arial" w:eastAsia="黑体"/>
      <w:b/>
      <w:bCs/>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0"/>
  </w:style>
  <w:style w:type="paragraph" w:styleId="6">
    <w:name w:val="Body Text Indent"/>
    <w:basedOn w:val="1"/>
    <w:qFormat/>
    <w:uiPriority w:val="0"/>
    <w:pPr>
      <w:ind w:firstLine="540"/>
    </w:pPr>
  </w:style>
  <w:style w:type="paragraph" w:styleId="7">
    <w:name w:val="Balloon Text"/>
    <w:basedOn w:val="1"/>
    <w:link w:val="19"/>
    <w:qFormat/>
    <w:uiPriority w:val="0"/>
    <w:pPr>
      <w:spacing w:line="240" w:lineRule="auto"/>
    </w:pPr>
    <w:rPr>
      <w:sz w:val="18"/>
      <w:szCs w:val="18"/>
    </w:rPr>
  </w:style>
  <w:style w:type="paragraph" w:styleId="8">
    <w:name w:val="footer"/>
    <w:basedOn w:val="1"/>
    <w:qFormat/>
    <w:uiPriority w:val="99"/>
    <w:pPr>
      <w:tabs>
        <w:tab w:val="center" w:pos="4153"/>
        <w:tab w:val="right" w:pos="8306"/>
      </w:tabs>
    </w:pPr>
    <w:rPr>
      <w:sz w:val="18"/>
      <w:szCs w:val="18"/>
    </w:rPr>
  </w:style>
  <w:style w:type="paragraph" w:styleId="9">
    <w:name w:val="header"/>
    <w:basedOn w:val="1"/>
    <w:link w:val="18"/>
    <w:qFormat/>
    <w:uiPriority w:val="0"/>
    <w:pPr>
      <w:pBdr>
        <w:bottom w:val="single" w:color="auto" w:sz="6" w:space="1"/>
      </w:pBdr>
      <w:tabs>
        <w:tab w:val="center" w:pos="4153"/>
        <w:tab w:val="right" w:pos="8306"/>
      </w:tabs>
      <w:spacing w:line="240" w:lineRule="atLeast"/>
      <w:jc w:val="center"/>
    </w:pPr>
    <w:rPr>
      <w:sz w:val="18"/>
      <w:szCs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Cs w:val="24"/>
    </w:rPr>
  </w:style>
  <w:style w:type="paragraph" w:styleId="11">
    <w:name w:val="annotation subject"/>
    <w:basedOn w:val="5"/>
    <w:next w:val="5"/>
    <w:link w:val="22"/>
    <w:uiPriority w:val="0"/>
    <w:rPr>
      <w:b/>
      <w:bCs/>
    </w:rPr>
  </w:style>
  <w:style w:type="table" w:styleId="13">
    <w:name w:val="Table Grid"/>
    <w:basedOn w:val="12"/>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basedOn w:val="14"/>
    <w:qFormat/>
    <w:uiPriority w:val="0"/>
    <w:rPr>
      <w:sz w:val="21"/>
      <w:szCs w:val="21"/>
    </w:rPr>
  </w:style>
  <w:style w:type="paragraph" w:styleId="17">
    <w:name w:val="List Paragraph"/>
    <w:basedOn w:val="1"/>
    <w:qFormat/>
    <w:uiPriority w:val="99"/>
    <w:pPr>
      <w:ind w:firstLine="420"/>
    </w:pPr>
  </w:style>
  <w:style w:type="character" w:customStyle="1" w:styleId="18">
    <w:name w:val="页眉 字符"/>
    <w:basedOn w:val="14"/>
    <w:link w:val="9"/>
    <w:qFormat/>
    <w:uiPriority w:val="0"/>
    <w:rPr>
      <w:rFonts w:cs="仿宋_GB2312" w:asciiTheme="minorEastAsia" w:hAnsiTheme="minorEastAsia" w:eastAsiaTheme="minorEastAsia"/>
      <w:kern w:val="2"/>
      <w:sz w:val="18"/>
      <w:szCs w:val="18"/>
    </w:rPr>
  </w:style>
  <w:style w:type="character" w:customStyle="1" w:styleId="19">
    <w:name w:val="批注框文本 字符"/>
    <w:basedOn w:val="14"/>
    <w:link w:val="7"/>
    <w:qFormat/>
    <w:uiPriority w:val="0"/>
    <w:rPr>
      <w:rFonts w:cs="仿宋_GB2312" w:asciiTheme="minorEastAsia" w:hAnsiTheme="minorEastAsia" w:eastAsiaTheme="minorEastAsia"/>
      <w:kern w:val="2"/>
      <w:sz w:val="18"/>
      <w:szCs w:val="18"/>
    </w:rPr>
  </w:style>
  <w:style w:type="paragraph" w:customStyle="1" w:styleId="20">
    <w:name w:val="列出段落11"/>
    <w:basedOn w:val="1"/>
    <w:qFormat/>
    <w:uiPriority w:val="0"/>
    <w:pPr>
      <w:ind w:firstLine="420"/>
      <w:jc w:val="both"/>
    </w:pPr>
    <w:rPr>
      <w:rFonts w:ascii="Times New Roman" w:hAnsi="Times New Roman"/>
      <w:szCs w:val="20"/>
    </w:rPr>
  </w:style>
  <w:style w:type="character" w:customStyle="1" w:styleId="21">
    <w:name w:val="批注文字 字符"/>
    <w:basedOn w:val="14"/>
    <w:link w:val="5"/>
    <w:uiPriority w:val="0"/>
    <w:rPr>
      <w:rFonts w:eastAsia="仿宋" w:cs="仿宋_GB2312" w:asciiTheme="minorHAnsi" w:hAnsiTheme="minorHAnsi"/>
      <w:kern w:val="2"/>
      <w:sz w:val="24"/>
      <w:szCs w:val="32"/>
    </w:rPr>
  </w:style>
  <w:style w:type="character" w:customStyle="1" w:styleId="22">
    <w:name w:val="批注主题 字符"/>
    <w:basedOn w:val="21"/>
    <w:link w:val="11"/>
    <w:qFormat/>
    <w:uiPriority w:val="0"/>
    <w:rPr>
      <w:rFonts w:eastAsia="仿宋" w:cs="仿宋_GB2312" w:asciiTheme="minorHAnsi" w:hAnsiTheme="minorHAnsi"/>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9</Pages>
  <Words>3354</Words>
  <Characters>3524</Characters>
  <Lines>26</Lines>
  <Paragraphs>7</Paragraphs>
  <TotalTime>1</TotalTime>
  <ScaleCrop>false</ScaleCrop>
  <LinksUpToDate>false</LinksUpToDate>
  <CharactersWithSpaces>3554</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2022-05-25T02:58:00Z</dcterms:created>
  <dc:creator>WZ210113-1</dc:creator>
  <cp:lastModifiedBy>jijf</cp:lastModifiedBy>
  <cp:lastPrinted>2021-05-20T05:52:00Z</cp:lastPrinted>
  <dcterms:modified xsi:type="dcterms:W3CDTF">2022-06-24T08:59:38Z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y fmtid="{D5CDD505-2E9C-101B-9397-08002B2CF9AE}" pid="3" name="ICV">
    <vt:lpwstr>7DB5D77905224764B1CC469A0C9D19AA</vt:lpwstr>
  </property>
</Properties>
</file>