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pacing w:line="360" w:lineRule="auto"/>
        <w:ind w:firstLine="883"/>
        <w:jc w:val="center"/>
        <w:rPr>
          <w:rFonts w:ascii="黑体" w:hAnsi="黑体" w:eastAsia="黑体" w:cs="黑体"/>
          <w:b/>
          <w:bCs/>
          <w:sz w:val="44"/>
          <w:szCs w:val="44"/>
        </w:rPr>
      </w:pPr>
      <w:r>
        <w:rPr>
          <w:rFonts w:hint="eastAsia" w:ascii="黑体" w:hAnsi="黑体" w:eastAsia="黑体" w:cs="黑体"/>
          <w:b/>
          <w:sz w:val="44"/>
          <w:szCs w:val="44"/>
        </w:rPr>
        <w:t>202</w:t>
      </w:r>
      <w:r>
        <w:rPr>
          <w:rFonts w:hint="eastAsia" w:ascii="黑体" w:hAnsi="黑体" w:eastAsia="黑体" w:cs="黑体"/>
          <w:b/>
          <w:sz w:val="44"/>
          <w:szCs w:val="44"/>
          <w:lang w:val="en-US" w:eastAsia="zh-CN"/>
        </w:rPr>
        <w:t>2</w:t>
      </w:r>
      <w:r>
        <w:rPr>
          <w:rFonts w:hint="eastAsia" w:ascii="黑体" w:hAnsi="黑体" w:eastAsia="黑体" w:cs="黑体"/>
          <w:b/>
          <w:sz w:val="44"/>
          <w:szCs w:val="44"/>
        </w:rPr>
        <w:t>年龙岗管理局周转房</w:t>
      </w:r>
      <w:r>
        <w:rPr>
          <w:rFonts w:hint="eastAsia" w:ascii="黑体" w:hAnsi="黑体" w:eastAsia="黑体" w:cs="黑体"/>
          <w:b/>
          <w:sz w:val="44"/>
          <w:szCs w:val="44"/>
          <w:lang w:val="en-US" w:eastAsia="zh-CN"/>
        </w:rPr>
        <w:t>应急</w:t>
      </w:r>
      <w:r>
        <w:rPr>
          <w:rFonts w:hint="eastAsia" w:ascii="黑体" w:hAnsi="黑体" w:eastAsia="黑体" w:cs="黑体"/>
          <w:b/>
          <w:sz w:val="44"/>
          <w:szCs w:val="44"/>
        </w:rPr>
        <w:t>安全修缮</w:t>
      </w:r>
      <w:r>
        <w:rPr>
          <w:rFonts w:hint="eastAsia" w:ascii="黑体" w:hAnsi="黑体" w:eastAsia="黑体" w:cs="黑体"/>
          <w:b/>
          <w:bCs/>
          <w:sz w:val="44"/>
          <w:szCs w:val="44"/>
        </w:rPr>
        <w:t>服务项目采购需求</w:t>
      </w:r>
    </w:p>
    <w:p>
      <w:pPr>
        <w:pStyle w:val="6"/>
        <w:spacing w:line="360" w:lineRule="auto"/>
        <w:ind w:firstLine="883"/>
        <w:jc w:val="center"/>
        <w:rPr>
          <w:rFonts w:ascii="黑体" w:hAnsi="黑体" w:eastAsia="黑体" w:cs="黑体"/>
          <w:b/>
          <w:bCs/>
          <w:sz w:val="44"/>
          <w:szCs w:val="44"/>
        </w:rPr>
      </w:pPr>
      <w:r>
        <w:rPr>
          <w:rFonts w:hint="eastAsia" w:ascii="黑体" w:hAnsi="黑体" w:eastAsia="黑体" w:cs="黑体"/>
          <w:b/>
          <w:bCs/>
          <w:sz w:val="44"/>
          <w:szCs w:val="44"/>
        </w:rPr>
        <w:t>（自行采购）</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一、采购项目概况</w:t>
      </w:r>
    </w:p>
    <w:p>
      <w:pPr>
        <w:keepNext w:val="0"/>
        <w:keepLines w:val="0"/>
        <w:pageBreakBefore w:val="0"/>
        <w:widowControl w:val="0"/>
        <w:kinsoku/>
        <w:wordWrap/>
        <w:overflowPunct/>
        <w:topLinePunct w:val="0"/>
        <w:autoSpaceDE/>
        <w:autoSpaceDN/>
        <w:bidi w:val="0"/>
        <w:adjustRightInd w:val="0"/>
        <w:snapToGrid/>
        <w:spacing w:line="276" w:lineRule="auto"/>
        <w:ind w:firstLine="480" w:firstLineChars="200"/>
        <w:textAlignment w:val="baseline"/>
        <w:rPr>
          <w:rFonts w:hint="default" w:ascii="仿宋" w:hAnsi="仿宋" w:eastAsia="仿宋" w:cs="仿宋"/>
          <w:sz w:val="21"/>
          <w:szCs w:val="21"/>
          <w:lang w:val="en-US" w:eastAsia="zh-CN"/>
        </w:rPr>
      </w:pPr>
      <w:r>
        <w:rPr>
          <w:rFonts w:hint="eastAsia" w:ascii="仿宋" w:hAnsi="仿宋" w:eastAsia="仿宋" w:cs="仿宋"/>
          <w:color w:val="000000" w:themeColor="text1"/>
          <w:sz w:val="24"/>
          <w:szCs w:val="24"/>
          <w14:textFill>
            <w14:solidFill>
              <w14:schemeClr w14:val="tx1"/>
            </w14:solidFill>
          </w14:textFill>
        </w:rPr>
        <w:t>龙岗管理局周转房日常安全修缮项目，我局周转房</w:t>
      </w:r>
      <w:r>
        <w:rPr>
          <w:rFonts w:hint="eastAsia" w:ascii="仿宋" w:hAnsi="仿宋" w:eastAsia="仿宋" w:cs="仿宋"/>
          <w:sz w:val="24"/>
          <w:szCs w:val="24"/>
        </w:rPr>
        <w:t>常遇到如水管漏水、下水道堵塞、照明灯具损坏、电路短路、门窗损坏等等突发损坏安全隐患问题因关乎同事日常生活，故需进行应急抢修。现本项目需确定一家应急修缮供应商，可迅速上门维修服务，确保周转房安全使用。</w:t>
      </w:r>
      <w:r>
        <w:rPr>
          <w:rFonts w:hint="eastAsia" w:ascii="仿宋" w:hAnsi="仿宋" w:eastAsia="仿宋" w:cs="仿宋"/>
          <w:sz w:val="24"/>
          <w:szCs w:val="24"/>
          <w:lang w:val="en-US" w:eastAsia="zh-CN"/>
        </w:rPr>
        <w:t>项目年度总预算为48万元，按实际工程量验收结算不得超过年度总预算。</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二、项目管理和服务要求</w:t>
      </w:r>
    </w:p>
    <w:p>
      <w:pPr>
        <w:pStyle w:val="6"/>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baseline"/>
        <w:rPr>
          <w:rFonts w:hint="eastAsia" w:ascii="仿宋" w:hAnsi="仿宋" w:eastAsia="仿宋" w:cs="仿宋"/>
          <w:sz w:val="24"/>
          <w:szCs w:val="24"/>
        </w:rPr>
      </w:pPr>
      <w:r>
        <w:rPr>
          <w:rFonts w:hint="eastAsia" w:ascii="仿宋" w:hAnsi="仿宋" w:eastAsia="仿宋"/>
          <w:sz w:val="24"/>
          <w:szCs w:val="24"/>
        </w:rPr>
        <w:t>根据</w:t>
      </w:r>
      <w:r>
        <w:rPr>
          <w:rFonts w:hint="eastAsia" w:ascii="仿宋" w:hAnsi="仿宋" w:eastAsia="仿宋"/>
          <w:sz w:val="24"/>
          <w:szCs w:val="24"/>
          <w:lang w:val="en-US" w:eastAsia="zh-CN"/>
        </w:rPr>
        <w:t>采购方提出维修服务要求和指定品牌参数，</w:t>
      </w:r>
      <w:r>
        <w:rPr>
          <w:rFonts w:hint="eastAsia" w:ascii="仿宋" w:hAnsi="仿宋" w:eastAsia="仿宋" w:cs="仿宋"/>
          <w:sz w:val="24"/>
          <w:szCs w:val="24"/>
        </w:rPr>
        <w:t>中标方应按合同要求按时、按质、按量完成项目工作。</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三、供应商资格要求</w:t>
      </w:r>
    </w:p>
    <w:p>
      <w:pPr>
        <w:numPr>
          <w:ilvl w:val="0"/>
          <w:numId w:val="1"/>
        </w:numPr>
        <w:spacing w:line="360" w:lineRule="auto"/>
        <w:rPr>
          <w:rFonts w:hint="eastAsia" w:ascii="仿宋" w:hAnsi="仿宋" w:eastAsia="仿宋" w:cs="仿宋"/>
          <w:sz w:val="24"/>
          <w:szCs w:val="24"/>
        </w:rPr>
      </w:pPr>
      <w:r>
        <w:rPr>
          <w:rFonts w:hint="eastAsia" w:ascii="仿宋" w:hAnsi="仿宋" w:eastAsia="仿宋" w:cs="仿宋"/>
          <w:sz w:val="24"/>
          <w:szCs w:val="24"/>
        </w:rPr>
        <w:t>投标人必须是在中华人民共和国境内注册的、具有合法经营资格的独立法人单位，提供营业执照复印件（加盖公章）。</w:t>
      </w:r>
    </w:p>
    <w:p>
      <w:pPr>
        <w:numPr>
          <w:ilvl w:val="0"/>
          <w:numId w:val="1"/>
        </w:num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sz w:val="24"/>
        </w:rPr>
        <w:t>投标人及其法定代表人参与政府采购项目投标近三年内（投标人成立不足三年的可从成立之日起算）在经营活动中没有重大违法记录（由投标人在《投标与合规承诺函》中作出声明）</w:t>
      </w:r>
      <w:r>
        <w:rPr>
          <w:rFonts w:hint="eastAsia" w:ascii="仿宋" w:hAnsi="仿宋" w:eastAsia="仿宋" w:cs="仿宋"/>
          <w:color w:val="000000" w:themeColor="text1"/>
          <w:sz w:val="24"/>
          <w:szCs w:val="24"/>
          <w14:textFill>
            <w14:solidFill>
              <w14:schemeClr w14:val="tx1"/>
            </w14:solidFill>
          </w14:textFill>
        </w:rPr>
        <w:t>。</w:t>
      </w:r>
    </w:p>
    <w:p>
      <w:pPr>
        <w:numPr>
          <w:ilvl w:val="0"/>
          <w:numId w:val="1"/>
        </w:numPr>
        <w:spacing w:line="360" w:lineRule="auto"/>
        <w:rPr>
          <w:rFonts w:hint="eastAsia" w:ascii="仿宋" w:hAnsi="仿宋" w:eastAsia="仿宋" w:cs="仿宋"/>
          <w:sz w:val="24"/>
          <w:szCs w:val="24"/>
        </w:rPr>
      </w:pPr>
      <w:r>
        <w:rPr>
          <w:rFonts w:hint="eastAsia" w:ascii="仿宋" w:hAnsi="仿宋" w:eastAsia="仿宋" w:cs="仿宋"/>
          <w:color w:val="000000" w:themeColor="text1"/>
          <w:sz w:val="24"/>
          <w:szCs w:val="24"/>
          <w14:textFill>
            <w14:solidFill>
              <w14:schemeClr w14:val="tx1"/>
            </w14:solidFill>
          </w14:textFill>
        </w:rPr>
        <w:t>本次采购不接受联合体报名，不接受分包转包；</w:t>
      </w:r>
    </w:p>
    <w:p>
      <w:pPr>
        <w:numPr>
          <w:ilvl w:val="0"/>
          <w:numId w:val="1"/>
        </w:numPr>
        <w:spacing w:line="360" w:lineRule="auto"/>
        <w:rPr>
          <w:rFonts w:hint="eastAsia" w:ascii="仿宋" w:hAnsi="仿宋" w:eastAsia="仿宋"/>
          <w:sz w:val="30"/>
          <w:szCs w:val="30"/>
          <w:lang w:val="en-US" w:eastAsia="zh-CN"/>
        </w:rPr>
      </w:pPr>
      <w:r>
        <w:rPr>
          <w:rFonts w:hint="eastAsia" w:ascii="仿宋" w:hAnsi="仿宋" w:eastAsia="仿宋" w:cs="仿宋"/>
          <w:color w:val="000000" w:themeColor="text1"/>
          <w:kern w:val="0"/>
          <w:sz w:val="24"/>
          <w:szCs w:val="24"/>
          <w14:textFill>
            <w14:solidFill>
              <w14:schemeClr w14:val="tx1"/>
            </w14:solidFill>
          </w14:textFill>
        </w:rPr>
        <w:t>投标人必须签署《政府采购投标及履约承诺函》。</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四、评标定标方法</w:t>
      </w:r>
    </w:p>
    <w:p>
      <w:pPr>
        <w:pStyle w:val="6"/>
        <w:spacing w:line="360" w:lineRule="auto"/>
        <w:ind w:firstLine="0" w:firstLineChars="0"/>
        <w:rPr>
          <w:rFonts w:hint="eastAsia" w:ascii="仿宋" w:hAnsi="仿宋" w:eastAsia="仿宋"/>
          <w:sz w:val="24"/>
          <w:szCs w:val="24"/>
          <w:lang w:eastAsia="zh-CN"/>
        </w:rPr>
      </w:pPr>
      <w:r>
        <w:rPr>
          <w:rFonts w:hint="eastAsia" w:ascii="仿宋" w:hAnsi="仿宋" w:eastAsia="仿宋"/>
          <w:sz w:val="24"/>
          <w:szCs w:val="24"/>
          <w:lang w:val="en-US" w:eastAsia="zh-CN"/>
        </w:rPr>
        <w:t>最低价法</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五、商务需求</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（一）服务期：</w:t>
      </w:r>
      <w:r>
        <w:rPr>
          <w:rFonts w:hint="eastAsia" w:ascii="仿宋" w:hAnsi="仿宋" w:eastAsia="仿宋" w:cs="仿宋"/>
          <w:sz w:val="24"/>
          <w:szCs w:val="24"/>
          <w:lang w:val="en-US" w:eastAsia="zh-CN"/>
        </w:rPr>
        <w:t>自签订合同之日起至本年度12月10日</w:t>
      </w:r>
      <w:r>
        <w:rPr>
          <w:rFonts w:hint="eastAsia" w:ascii="仿宋" w:hAnsi="仿宋" w:eastAsia="仿宋"/>
          <w:sz w:val="30"/>
          <w:szCs w:val="30"/>
        </w:rPr>
        <w:t>。</w:t>
      </w:r>
    </w:p>
    <w:p>
      <w:pPr>
        <w:pStyle w:val="6"/>
        <w:spacing w:line="360" w:lineRule="auto"/>
        <w:ind w:firstLine="0" w:firstLineChars="0"/>
        <w:rPr>
          <w:rFonts w:hint="eastAsia" w:ascii="仿宋" w:hAnsi="仿宋" w:eastAsia="仿宋" w:cs="仿宋"/>
          <w:sz w:val="24"/>
          <w:szCs w:val="24"/>
          <w:lang w:eastAsia="zh-CN"/>
        </w:rPr>
      </w:pPr>
      <w:r>
        <w:rPr>
          <w:rFonts w:hint="eastAsia" w:ascii="仿宋" w:hAnsi="仿宋" w:eastAsia="仿宋"/>
          <w:sz w:val="30"/>
          <w:szCs w:val="30"/>
        </w:rPr>
        <w:t>（二）服务地点：</w:t>
      </w:r>
      <w:r>
        <w:rPr>
          <w:rFonts w:hint="eastAsia" w:ascii="仿宋" w:hAnsi="仿宋" w:eastAsia="仿宋" w:cs="仿宋"/>
          <w:sz w:val="24"/>
          <w:szCs w:val="24"/>
        </w:rPr>
        <w:t>周转房范围包括龙岗区紫薇花园、翠竹村小区、建新村小区、横岗联建楼小区</w:t>
      </w:r>
      <w:r>
        <w:rPr>
          <w:rFonts w:hint="eastAsia" w:ascii="仿宋" w:hAnsi="仿宋" w:eastAsia="仿宋" w:cs="仿宋"/>
          <w:sz w:val="24"/>
          <w:szCs w:val="24"/>
          <w:lang w:eastAsia="zh-CN"/>
        </w:rPr>
        <w:t>。</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（三）报价要求：</w:t>
      </w:r>
    </w:p>
    <w:p>
      <w:pPr>
        <w:pStyle w:val="6"/>
        <w:spacing w:line="360" w:lineRule="auto"/>
        <w:ind w:firstLine="0" w:firstLineChars="0"/>
        <w:rPr>
          <w:rFonts w:ascii="仿宋" w:hAnsi="仿宋" w:eastAsia="仿宋"/>
          <w:sz w:val="24"/>
          <w:szCs w:val="24"/>
        </w:rPr>
      </w:pPr>
      <w:r>
        <w:rPr>
          <w:rFonts w:ascii="仿宋" w:hAnsi="仿宋" w:eastAsia="仿宋"/>
          <w:sz w:val="24"/>
          <w:szCs w:val="24"/>
        </w:rPr>
        <w:t>1.本项目服务费采用包干制，应包括服务成本、法定税费和企业的利润。由投标供应商根据采购文件所提供的资料自行测算投标报价；一经中标，报价</w:t>
      </w:r>
      <w:r>
        <w:rPr>
          <w:rFonts w:hint="eastAsia" w:ascii="仿宋" w:hAnsi="仿宋" w:eastAsia="仿宋"/>
          <w:sz w:val="24"/>
          <w:szCs w:val="24"/>
          <w:lang w:val="en-US" w:eastAsia="zh-CN"/>
        </w:rPr>
        <w:t>单价</w:t>
      </w:r>
      <w:r>
        <w:rPr>
          <w:rFonts w:ascii="仿宋" w:hAnsi="仿宋" w:eastAsia="仿宋"/>
          <w:sz w:val="24"/>
          <w:szCs w:val="24"/>
        </w:rPr>
        <w:t>作为中标供应商与采购人</w:t>
      </w:r>
      <w:r>
        <w:rPr>
          <w:rFonts w:hint="eastAsia" w:ascii="仿宋" w:hAnsi="仿宋" w:eastAsia="仿宋"/>
          <w:sz w:val="24"/>
          <w:szCs w:val="24"/>
        </w:rPr>
        <w:t>签定的合同金额，合同期限内不做调整。</w:t>
      </w:r>
    </w:p>
    <w:p>
      <w:pPr>
        <w:pStyle w:val="6"/>
        <w:spacing w:line="360" w:lineRule="auto"/>
        <w:ind w:firstLine="0" w:firstLineChars="0"/>
        <w:rPr>
          <w:rFonts w:ascii="仿宋" w:hAnsi="仿宋" w:eastAsia="仿宋"/>
          <w:sz w:val="24"/>
          <w:szCs w:val="24"/>
        </w:rPr>
      </w:pPr>
      <w:r>
        <w:rPr>
          <w:rFonts w:ascii="仿宋" w:hAnsi="仿宋" w:eastAsia="仿宋"/>
          <w:sz w:val="24"/>
          <w:szCs w:val="24"/>
        </w:rPr>
        <w:t>2.投标供应商应当根据本企业的成本自行决定报价，但不得以低于其</w:t>
      </w:r>
      <w:r>
        <w:rPr>
          <w:rFonts w:hint="eastAsia" w:ascii="仿宋" w:hAnsi="仿宋" w:eastAsia="仿宋"/>
          <w:sz w:val="24"/>
          <w:szCs w:val="24"/>
        </w:rPr>
        <w:t>企业成本的报价投标。</w:t>
      </w:r>
    </w:p>
    <w:p>
      <w:pPr>
        <w:pStyle w:val="6"/>
        <w:spacing w:line="360" w:lineRule="auto"/>
        <w:ind w:firstLine="0" w:firstLineChars="0"/>
        <w:rPr>
          <w:rFonts w:ascii="仿宋" w:hAnsi="仿宋" w:eastAsia="仿宋"/>
          <w:sz w:val="24"/>
          <w:szCs w:val="24"/>
        </w:rPr>
      </w:pPr>
      <w:r>
        <w:rPr>
          <w:rFonts w:ascii="仿宋" w:hAnsi="仿宋" w:eastAsia="仿宋"/>
          <w:sz w:val="24"/>
          <w:szCs w:val="24"/>
        </w:rPr>
        <w:t>3.投标供应商的</w:t>
      </w:r>
      <w:r>
        <w:rPr>
          <w:rFonts w:hint="eastAsia" w:ascii="仿宋" w:hAnsi="仿宋" w:eastAsia="仿宋"/>
          <w:sz w:val="24"/>
          <w:szCs w:val="24"/>
          <w:lang w:val="en-US" w:eastAsia="zh-CN"/>
        </w:rPr>
        <w:t>最终结算价</w:t>
      </w:r>
      <w:r>
        <w:rPr>
          <w:rFonts w:ascii="仿宋" w:hAnsi="仿宋" w:eastAsia="仿宋"/>
          <w:sz w:val="24"/>
          <w:szCs w:val="24"/>
        </w:rPr>
        <w:t>不得超过项目预算金额。</w:t>
      </w:r>
    </w:p>
    <w:p>
      <w:pPr>
        <w:pStyle w:val="6"/>
        <w:spacing w:line="360" w:lineRule="auto"/>
        <w:ind w:firstLine="0" w:firstLineChars="0"/>
        <w:rPr>
          <w:rFonts w:ascii="仿宋" w:hAnsi="仿宋" w:eastAsia="仿宋"/>
          <w:sz w:val="24"/>
          <w:szCs w:val="24"/>
        </w:rPr>
      </w:pPr>
      <w:r>
        <w:rPr>
          <w:rFonts w:ascii="仿宋" w:hAnsi="仿宋" w:eastAsia="仿宋"/>
          <w:sz w:val="24"/>
          <w:szCs w:val="24"/>
        </w:rPr>
        <w:t>4.投标供应商的报价，应当是本项目采购范围和采购文件及合同条款上所列的各项内容中所述的全部，不得以任何理由予以重复。</w:t>
      </w:r>
    </w:p>
    <w:p>
      <w:pPr>
        <w:pStyle w:val="6"/>
        <w:spacing w:line="360" w:lineRule="auto"/>
        <w:ind w:firstLine="0" w:firstLineChars="0"/>
        <w:rPr>
          <w:rFonts w:ascii="仿宋" w:hAnsi="仿宋" w:eastAsia="仿宋"/>
          <w:sz w:val="24"/>
          <w:szCs w:val="24"/>
        </w:rPr>
      </w:pPr>
      <w:r>
        <w:rPr>
          <w:rFonts w:ascii="仿宋" w:hAnsi="仿宋" w:eastAsia="仿宋"/>
          <w:sz w:val="24"/>
          <w:szCs w:val="24"/>
        </w:rPr>
        <w:t>5.除非采购人通过修改采购文件予以更正，否则，投标供应商应毫无例外地按响应文件所列的清单</w:t>
      </w:r>
      <w:r>
        <w:rPr>
          <w:rFonts w:hint="eastAsia" w:ascii="仿宋" w:hAnsi="仿宋" w:eastAsia="仿宋"/>
          <w:sz w:val="24"/>
          <w:szCs w:val="24"/>
        </w:rPr>
        <w:t>中项目和数量填报综合单价和合价。投标供应商未填综合单价或合价的项目，在实施后，将不得以支付，并视作该项费用已包括在其它有价款的综合单价或合价内。</w:t>
      </w:r>
    </w:p>
    <w:p>
      <w:pPr>
        <w:pStyle w:val="6"/>
        <w:spacing w:line="360" w:lineRule="auto"/>
        <w:ind w:firstLine="0" w:firstLineChars="0"/>
        <w:rPr>
          <w:rFonts w:ascii="仿宋" w:hAnsi="仿宋" w:eastAsia="仿宋"/>
          <w:sz w:val="24"/>
          <w:szCs w:val="24"/>
        </w:rPr>
      </w:pPr>
      <w:r>
        <w:rPr>
          <w:rFonts w:ascii="仿宋" w:hAnsi="仿宋" w:eastAsia="仿宋"/>
          <w:sz w:val="24"/>
          <w:szCs w:val="24"/>
        </w:rPr>
        <w:t>6.投标供应商应先到项目地点踏勘以充分了解项目的位置、情况、道路及任何其它足以影响投标报价的情况，任何因忽视或误解项目情况而导致的索赔或服务期限延长申请将不获批准。</w:t>
      </w:r>
    </w:p>
    <w:p>
      <w:pPr>
        <w:pStyle w:val="6"/>
        <w:spacing w:line="360" w:lineRule="auto"/>
        <w:ind w:firstLine="0" w:firstLineChars="0"/>
        <w:rPr>
          <w:rFonts w:ascii="仿宋" w:hAnsi="仿宋" w:eastAsia="仿宋"/>
          <w:sz w:val="24"/>
          <w:szCs w:val="24"/>
        </w:rPr>
      </w:pPr>
      <w:r>
        <w:rPr>
          <w:rFonts w:ascii="仿宋" w:hAnsi="仿宋" w:eastAsia="仿宋"/>
          <w:sz w:val="24"/>
          <w:szCs w:val="24"/>
        </w:rPr>
        <w:t>7.投标供应商不得期望通过索赔等方式获取补偿，否则，除可能遭到拒绝外，还可能将被作为不良行为记录在案，并可能影响其以后参加政府采购的项目投标。各投标供应商在报价时，应充分考虑报价的风险。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6"/>
        <w:spacing w:line="360" w:lineRule="auto"/>
        <w:ind w:firstLine="0" w:firstLineChars="0"/>
        <w:rPr>
          <w:rFonts w:hint="eastAsia" w:ascii="仿宋" w:hAnsi="仿宋" w:eastAsia="仿宋" w:cs="仿宋"/>
          <w:b w:val="0"/>
          <w:bCs w:val="0"/>
          <w:sz w:val="24"/>
          <w:szCs w:val="24"/>
        </w:rPr>
      </w:pPr>
      <w:r>
        <w:rPr>
          <w:rFonts w:hint="eastAsia" w:ascii="仿宋" w:hAnsi="仿宋" w:eastAsia="仿宋"/>
          <w:sz w:val="30"/>
          <w:szCs w:val="30"/>
        </w:rPr>
        <w:t>（四）付款方式：</w:t>
      </w:r>
      <w:r>
        <w:rPr>
          <w:rFonts w:hint="eastAsia" w:ascii="仿宋" w:hAnsi="仿宋" w:eastAsia="仿宋" w:cs="仿宋"/>
          <w:sz w:val="24"/>
          <w:szCs w:val="24"/>
        </w:rPr>
        <w:t>合同生效后，根据</w:t>
      </w:r>
      <w:r>
        <w:rPr>
          <w:rFonts w:hint="eastAsia" w:ascii="仿宋" w:hAnsi="仿宋" w:eastAsia="仿宋" w:cs="仿宋"/>
          <w:sz w:val="24"/>
          <w:szCs w:val="24"/>
          <w:lang w:val="en-US" w:eastAsia="zh-CN"/>
        </w:rPr>
        <w:t>中标方提供实际维修费用结算单有效发票和付款申请分次结算，采购方根据当年财政安排资金开展支付工作</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支付总金额</w:t>
      </w:r>
      <w:r>
        <w:rPr>
          <w:rFonts w:hint="eastAsia" w:ascii="仿宋" w:hAnsi="仿宋" w:eastAsia="仿宋" w:cs="仿宋"/>
          <w:b w:val="0"/>
          <w:bCs w:val="0"/>
          <w:sz w:val="24"/>
          <w:szCs w:val="24"/>
          <w:shd w:val="clear" w:color="auto" w:fill="FFFFFF"/>
        </w:rPr>
        <w:t>上限人民币</w:t>
      </w:r>
      <w:r>
        <w:rPr>
          <w:rFonts w:hint="eastAsia" w:ascii="仿宋" w:hAnsi="仿宋" w:eastAsia="仿宋" w:cs="仿宋"/>
          <w:b w:val="0"/>
          <w:bCs w:val="0"/>
          <w:sz w:val="24"/>
          <w:szCs w:val="24"/>
          <w:shd w:val="clear" w:color="auto" w:fill="FFFFFF"/>
          <w:lang w:eastAsia="zh-CN"/>
        </w:rPr>
        <w:t>（</w:t>
      </w:r>
      <w:r>
        <w:rPr>
          <w:rFonts w:hint="eastAsia" w:ascii="仿宋" w:hAnsi="仿宋" w:eastAsia="仿宋" w:cs="仿宋"/>
          <w:b w:val="0"/>
          <w:bCs w:val="0"/>
          <w:sz w:val="24"/>
          <w:szCs w:val="24"/>
          <w:shd w:val="clear" w:color="auto" w:fill="FFFFFF"/>
          <w:lang w:val="en-US" w:eastAsia="zh-CN"/>
        </w:rPr>
        <w:t>大写</w:t>
      </w:r>
      <w:r>
        <w:rPr>
          <w:rFonts w:hint="eastAsia" w:ascii="仿宋" w:hAnsi="仿宋" w:eastAsia="仿宋" w:cs="仿宋"/>
          <w:b w:val="0"/>
          <w:bCs w:val="0"/>
          <w:sz w:val="24"/>
          <w:szCs w:val="24"/>
          <w:shd w:val="clear" w:color="auto" w:fill="FFFFFF"/>
          <w:lang w:eastAsia="zh-CN"/>
        </w:rPr>
        <w:t>）</w:t>
      </w:r>
      <w:r>
        <w:rPr>
          <w:rFonts w:hint="eastAsia" w:ascii="仿宋" w:hAnsi="仿宋" w:eastAsia="仿宋" w:cs="仿宋"/>
          <w:b w:val="0"/>
          <w:bCs w:val="0"/>
          <w:sz w:val="24"/>
          <w:szCs w:val="24"/>
          <w:shd w:val="clear" w:color="auto" w:fill="FFFFFF"/>
          <w:lang w:val="en-US" w:eastAsia="zh-CN"/>
        </w:rPr>
        <w:t>肆</w:t>
      </w:r>
      <w:r>
        <w:rPr>
          <w:rFonts w:hint="eastAsia" w:ascii="仿宋" w:hAnsi="仿宋" w:eastAsia="仿宋" w:cs="仿宋"/>
          <w:b w:val="0"/>
          <w:bCs w:val="0"/>
          <w:sz w:val="24"/>
          <w:szCs w:val="24"/>
          <w:shd w:val="clear" w:color="auto" w:fill="FFFFFF"/>
        </w:rPr>
        <w:t>拾</w:t>
      </w:r>
      <w:r>
        <w:rPr>
          <w:rFonts w:hint="eastAsia" w:ascii="仿宋" w:hAnsi="仿宋" w:eastAsia="仿宋" w:cs="仿宋"/>
          <w:b w:val="0"/>
          <w:bCs w:val="0"/>
          <w:sz w:val="24"/>
          <w:szCs w:val="24"/>
          <w:shd w:val="clear" w:color="auto" w:fill="FFFFFF"/>
          <w:lang w:val="en-US" w:eastAsia="zh-CN"/>
        </w:rPr>
        <w:t>捌</w:t>
      </w:r>
      <w:r>
        <w:rPr>
          <w:rFonts w:hint="eastAsia" w:ascii="仿宋" w:hAnsi="仿宋" w:eastAsia="仿宋" w:cs="仿宋"/>
          <w:b w:val="0"/>
          <w:bCs w:val="0"/>
          <w:sz w:val="24"/>
          <w:szCs w:val="24"/>
          <w:shd w:val="clear" w:color="auto" w:fill="FFFFFF"/>
        </w:rPr>
        <w:t>万</w:t>
      </w:r>
      <w:r>
        <w:rPr>
          <w:rFonts w:hint="eastAsia" w:ascii="仿宋" w:hAnsi="仿宋" w:eastAsia="仿宋" w:cs="仿宋"/>
          <w:b w:val="0"/>
          <w:bCs w:val="0"/>
          <w:sz w:val="24"/>
          <w:szCs w:val="24"/>
          <w:shd w:val="clear" w:color="auto" w:fill="FFFFFF"/>
          <w:lang w:val="en-US" w:eastAsia="zh-CN"/>
        </w:rPr>
        <w:t>元</w:t>
      </w:r>
      <w:r>
        <w:rPr>
          <w:rFonts w:hint="eastAsia" w:ascii="仿宋" w:hAnsi="仿宋" w:eastAsia="仿宋" w:cs="仿宋"/>
          <w:b w:val="0"/>
          <w:bCs w:val="0"/>
          <w:sz w:val="24"/>
          <w:szCs w:val="24"/>
          <w:shd w:val="clear" w:color="auto" w:fill="FFFFFF"/>
        </w:rPr>
        <w:t>整</w:t>
      </w:r>
      <w:r>
        <w:rPr>
          <w:rFonts w:hint="eastAsia" w:ascii="仿宋" w:hAnsi="仿宋" w:eastAsia="仿宋" w:cs="仿宋"/>
          <w:b w:val="0"/>
          <w:bCs w:val="0"/>
          <w:sz w:val="24"/>
          <w:szCs w:val="24"/>
          <w:shd w:val="clear" w:color="auto" w:fill="FFFFFF"/>
          <w:lang w:eastAsia="zh-CN"/>
        </w:rPr>
        <w:t>，（</w:t>
      </w:r>
      <w:r>
        <w:rPr>
          <w:rFonts w:hint="eastAsia" w:ascii="仿宋" w:hAnsi="仿宋" w:eastAsia="仿宋" w:cs="仿宋"/>
          <w:b w:val="0"/>
          <w:bCs w:val="0"/>
          <w:sz w:val="24"/>
          <w:szCs w:val="24"/>
          <w:shd w:val="clear" w:color="auto" w:fill="FFFFFF"/>
          <w:lang w:val="en-US" w:eastAsia="zh-CN"/>
        </w:rPr>
        <w:t>小写）</w:t>
      </w:r>
      <w:r>
        <w:rPr>
          <w:rFonts w:hint="eastAsia" w:ascii="仿宋" w:hAnsi="仿宋" w:eastAsia="仿宋" w:cs="仿宋"/>
          <w:b w:val="0"/>
          <w:bCs w:val="0"/>
          <w:sz w:val="24"/>
          <w:szCs w:val="24"/>
          <w:shd w:val="clear" w:color="auto" w:fill="FFFFFF"/>
        </w:rPr>
        <w:t>¥</w:t>
      </w:r>
      <w:r>
        <w:rPr>
          <w:rFonts w:hint="eastAsia" w:ascii="仿宋" w:hAnsi="仿宋" w:eastAsia="仿宋" w:cs="仿宋"/>
          <w:b w:val="0"/>
          <w:bCs w:val="0"/>
          <w:sz w:val="24"/>
          <w:szCs w:val="24"/>
          <w:u w:val="single"/>
          <w:shd w:val="clear" w:color="auto" w:fill="FFFFFF"/>
          <w:lang w:val="en-US" w:eastAsia="zh-CN"/>
        </w:rPr>
        <w:t>480000</w:t>
      </w:r>
      <w:r>
        <w:rPr>
          <w:rFonts w:hint="eastAsia" w:ascii="仿宋" w:hAnsi="仿宋" w:eastAsia="仿宋" w:cs="仿宋"/>
          <w:b w:val="0"/>
          <w:bCs w:val="0"/>
          <w:sz w:val="24"/>
          <w:szCs w:val="24"/>
          <w:u w:val="single"/>
          <w:shd w:val="clear" w:color="auto" w:fill="FFFFFF"/>
        </w:rPr>
        <w:t>.00</w:t>
      </w:r>
      <w:r>
        <w:rPr>
          <w:rFonts w:hint="eastAsia" w:ascii="仿宋" w:hAnsi="仿宋" w:eastAsia="仿宋" w:cs="仿宋"/>
          <w:b w:val="0"/>
          <w:bCs w:val="0"/>
          <w:sz w:val="24"/>
          <w:szCs w:val="24"/>
          <w:shd w:val="clear" w:color="auto" w:fill="FFFFFF"/>
          <w:lang w:val="en-US" w:eastAsia="zh-CN"/>
        </w:rPr>
        <w:t>元</w:t>
      </w:r>
      <w:r>
        <w:rPr>
          <w:rFonts w:hint="eastAsia" w:ascii="仿宋" w:hAnsi="仿宋" w:eastAsia="仿宋" w:cs="仿宋"/>
          <w:b w:val="0"/>
          <w:bCs w:val="0"/>
          <w:sz w:val="24"/>
          <w:szCs w:val="24"/>
          <w:shd w:val="clear" w:color="auto" w:fill="FFFFFF"/>
          <w:lang w:eastAsia="zh-CN"/>
        </w:rPr>
        <w:t>，</w:t>
      </w:r>
      <w:r>
        <w:rPr>
          <w:rFonts w:hint="eastAsia" w:ascii="仿宋" w:hAnsi="仿宋" w:eastAsia="仿宋"/>
          <w:sz w:val="24"/>
          <w:szCs w:val="24"/>
          <w:lang w:val="en-US" w:eastAsia="zh-CN"/>
        </w:rPr>
        <w:t>以实际结算价为准，不得超过合同暂定价上限。</w:t>
      </w:r>
    </w:p>
    <w:p>
      <w:pPr>
        <w:pStyle w:val="6"/>
        <w:spacing w:line="360" w:lineRule="auto"/>
        <w:ind w:firstLine="0" w:firstLineChars="0"/>
        <w:rPr>
          <w:rFonts w:hint="default" w:ascii="仿宋" w:hAnsi="仿宋" w:eastAsia="仿宋"/>
          <w:sz w:val="24"/>
          <w:szCs w:val="24"/>
          <w:lang w:val="en-US" w:eastAsia="zh-CN"/>
        </w:rPr>
      </w:pPr>
      <w:r>
        <w:rPr>
          <w:rFonts w:hint="eastAsia" w:ascii="仿宋" w:hAnsi="仿宋" w:eastAsia="仿宋"/>
          <w:sz w:val="30"/>
          <w:szCs w:val="30"/>
        </w:rPr>
        <w:t>（五）履约担保金：</w:t>
      </w:r>
      <w:r>
        <w:rPr>
          <w:rFonts w:hint="eastAsia" w:ascii="仿宋" w:hAnsi="仿宋" w:eastAsia="仿宋"/>
          <w:sz w:val="24"/>
          <w:szCs w:val="24"/>
          <w:lang w:val="en-US" w:eastAsia="zh-CN"/>
        </w:rPr>
        <w:t>无履约担保金</w:t>
      </w:r>
      <w:bookmarkStart w:id="0" w:name="_GoBack"/>
      <w:bookmarkEnd w:id="0"/>
    </w:p>
    <w:p>
      <w:pPr>
        <w:spacing w:line="360" w:lineRule="auto"/>
        <w:rPr>
          <w:rFonts w:hint="eastAsia" w:ascii="仿宋" w:hAnsi="仿宋" w:eastAsia="仿宋"/>
          <w:sz w:val="30"/>
          <w:szCs w:val="30"/>
        </w:rPr>
      </w:pPr>
      <w:r>
        <w:rPr>
          <w:rFonts w:hint="eastAsia" w:ascii="仿宋" w:hAnsi="仿宋" w:eastAsia="仿宋"/>
          <w:sz w:val="30"/>
          <w:szCs w:val="30"/>
        </w:rPr>
        <w:t>（六）违约责任：</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（1）如中标人无法按照合同约定提供服务，中标人应</w:t>
      </w:r>
      <w:r>
        <w:rPr>
          <w:rFonts w:hint="eastAsia" w:ascii="仿宋" w:hAnsi="仿宋" w:eastAsia="仿宋" w:cs="仿宋"/>
          <w:sz w:val="24"/>
          <w:szCs w:val="24"/>
          <w:lang w:val="en-US" w:eastAsia="zh-CN"/>
        </w:rPr>
        <w:t>向</w:t>
      </w:r>
      <w:r>
        <w:rPr>
          <w:rFonts w:hint="eastAsia" w:ascii="仿宋" w:hAnsi="仿宋" w:eastAsia="仿宋" w:cs="仿宋"/>
          <w:sz w:val="24"/>
          <w:szCs w:val="24"/>
        </w:rPr>
        <w:t>采购人方支付本合同下服务费用总额的 5%的违约金，同时要求中标人退回全部已收货款。</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（2）如中标人逾期无法提供服务，每逾期1天，中标人应向采购人支付逾期部分服务费用的 1 ‰作为滞纳金，但累计滞纳金总额不超过本合同下服务费用总额的10%。</w:t>
      </w:r>
    </w:p>
    <w:p>
      <w:pPr>
        <w:pStyle w:val="6"/>
        <w:spacing w:line="360" w:lineRule="auto"/>
        <w:ind w:firstLine="0" w:firstLineChars="0"/>
        <w:rPr>
          <w:rFonts w:ascii="仿宋" w:hAnsi="仿宋" w:eastAsia="仿宋"/>
          <w:sz w:val="30"/>
          <w:szCs w:val="30"/>
        </w:rPr>
      </w:pPr>
      <w:r>
        <w:rPr>
          <w:rFonts w:hint="eastAsia" w:ascii="仿宋" w:hAnsi="仿宋" w:eastAsia="仿宋"/>
          <w:sz w:val="30"/>
          <w:szCs w:val="30"/>
        </w:rPr>
        <w:t>（七）</w:t>
      </w:r>
      <w:r>
        <w:rPr>
          <w:rFonts w:hint="eastAsia" w:ascii="仿宋" w:hAnsi="仿宋" w:eastAsia="仿宋"/>
          <w:sz w:val="30"/>
          <w:szCs w:val="30"/>
          <w:lang w:val="en-US" w:eastAsia="zh-CN"/>
        </w:rPr>
        <w:t>具体技术要求</w:t>
      </w:r>
      <w:r>
        <w:rPr>
          <w:rFonts w:hint="eastAsia" w:ascii="仿宋" w:hAnsi="仿宋" w:eastAsia="仿宋"/>
          <w:sz w:val="30"/>
          <w:szCs w:val="30"/>
        </w:rPr>
        <w:t>：</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技术品牌参考：</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LED照明灯具：飞利浦、佛山照明、欧普（按个结算）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铝合金门窗：东亚铝业、凤铝铝业、永兴铝业（按工程量平方结算）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PVC水管：联塑、伟星、日丰（按米结算包括原水管拆除）</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水龙头：东鹏、康广泰、恒洁（按个结算）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洗手盘：东鹏、爱洁尔、恒洁（按个结算）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卫生间门：大象宅配门业、美驰、兴发（铝合金门按套结算包括拆装）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房间木门：森杨门业、盼盼木门、金地木门（复合木门按套结算包括拆装）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马桶：东鹏、蒙娜丽莎、恒洁（按个结算包拆装）</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墙面油漆：立邦、多乐士、沙漠绿洲漆（按平方结算）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电线照明1.5平方、插座2.5平方、空调厨房专用4平方：金龙羽、中缆（按工程量结算）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开关插座：西门子、美的、公牛（按个结算）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水管除锈刷漆：氟碳金属防锈漆、立邦漆、嘉宝俐漆（按米结算）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铺砖：佛山天宇、冠珠、宏陶瓷砖（按平方结算）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垃圾清运（按次数结算）</w:t>
      </w:r>
    </w:p>
    <w:p>
      <w:pPr>
        <w:pStyle w:val="6"/>
        <w:adjustRightInd w:val="0"/>
        <w:spacing w:line="360" w:lineRule="auto"/>
        <w:rPr>
          <w:rFonts w:hint="eastAsia" w:ascii="仿宋" w:hAnsi="仿宋" w:eastAsia="仿宋" w:cs="仿宋"/>
          <w:sz w:val="24"/>
          <w:szCs w:val="24"/>
        </w:rPr>
      </w:pPr>
      <w:r>
        <w:rPr>
          <w:rFonts w:hint="eastAsia" w:ascii="仿宋" w:hAnsi="仿宋" w:eastAsia="仿宋" w:cs="仿宋"/>
          <w:sz w:val="24"/>
          <w:szCs w:val="24"/>
        </w:rPr>
        <w:t>搬运人工，应急维修人工费。</w:t>
      </w:r>
    </w:p>
    <w:p>
      <w:pPr>
        <w:numPr>
          <w:ilvl w:val="0"/>
          <w:numId w:val="2"/>
        </w:numPr>
        <w:rPr>
          <w:rFonts w:hint="eastAsia" w:ascii="仿宋" w:hAnsi="仿宋" w:eastAsia="仿宋" w:cs="仿宋"/>
          <w:sz w:val="24"/>
          <w:szCs w:val="24"/>
        </w:rPr>
      </w:pPr>
      <w:r>
        <w:rPr>
          <w:rFonts w:hint="eastAsia" w:ascii="仿宋" w:hAnsi="仿宋" w:eastAsia="仿宋"/>
          <w:sz w:val="30"/>
          <w:szCs w:val="30"/>
          <w:lang w:val="en-US" w:eastAsia="zh-CN"/>
        </w:rPr>
        <w:t>投标文件格式</w:t>
      </w:r>
    </w:p>
    <w:p>
      <w:pPr>
        <w:pStyle w:val="3"/>
        <w:numPr>
          <w:ilvl w:val="0"/>
          <w:numId w:val="3"/>
        </w:numPr>
        <w:spacing w:line="360" w:lineRule="auto"/>
        <w:jc w:val="center"/>
        <w:outlineLvl w:val="3"/>
        <w:rPr>
          <w:rFonts w:hint="eastAsia" w:ascii="仿宋" w:hAnsi="仿宋" w:eastAsia="仿宋" w:cs="仿宋"/>
          <w:b/>
          <w:sz w:val="24"/>
          <w:szCs w:val="24"/>
        </w:rPr>
      </w:pPr>
      <w:r>
        <w:rPr>
          <w:rFonts w:hint="eastAsia" w:ascii="仿宋" w:hAnsi="仿宋" w:eastAsia="仿宋" w:cs="仿宋"/>
          <w:b/>
          <w:sz w:val="24"/>
          <w:szCs w:val="24"/>
        </w:rPr>
        <w:t>投标一览表</w:t>
      </w:r>
    </w:p>
    <w:p>
      <w:pPr>
        <w:pStyle w:val="3"/>
        <w:spacing w:beforeLines="50" w:afterLines="50" w:line="360" w:lineRule="auto"/>
        <w:rPr>
          <w:rFonts w:hint="eastAsia" w:ascii="仿宋" w:hAnsi="仿宋" w:eastAsia="仿宋" w:cs="仿宋"/>
          <w:b/>
          <w:bCs/>
          <w:sz w:val="24"/>
          <w:szCs w:val="24"/>
        </w:rPr>
      </w:pPr>
      <w:r>
        <w:rPr>
          <w:rFonts w:hint="eastAsia" w:ascii="仿宋" w:hAnsi="仿宋" w:eastAsia="仿宋" w:cs="仿宋"/>
          <w:b/>
          <w:bCs/>
          <w:sz w:val="24"/>
          <w:szCs w:val="24"/>
        </w:rPr>
        <w:t>投标人名称：</w:t>
      </w:r>
      <w:r>
        <w:rPr>
          <w:rFonts w:hint="eastAsia" w:ascii="仿宋" w:hAnsi="仿宋" w:eastAsia="仿宋" w:cs="仿宋"/>
          <w:b/>
          <w:bCs/>
          <w:sz w:val="24"/>
          <w:szCs w:val="24"/>
          <w:u w:val="single"/>
        </w:rPr>
        <w:t xml:space="preserve">                          </w:t>
      </w:r>
      <w:r>
        <w:rPr>
          <w:rFonts w:hint="eastAsia" w:ascii="仿宋" w:hAnsi="仿宋" w:eastAsia="仿宋" w:cs="仿宋"/>
          <w:b/>
          <w:bCs/>
          <w:sz w:val="24"/>
          <w:szCs w:val="24"/>
        </w:rPr>
        <w:t>招标编号：</w:t>
      </w:r>
      <w:r>
        <w:rPr>
          <w:rFonts w:hint="eastAsia" w:ascii="仿宋" w:hAnsi="仿宋" w:eastAsia="仿宋" w:cs="仿宋"/>
          <w:b/>
          <w:bCs/>
          <w:sz w:val="24"/>
          <w:szCs w:val="24"/>
          <w:u w:val="single"/>
        </w:rPr>
        <w:t xml:space="preserve">                              </w:t>
      </w:r>
    </w:p>
    <w:tbl>
      <w:tblPr>
        <w:tblStyle w:val="4"/>
        <w:tblW w:w="92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058"/>
        <w:gridCol w:w="3930"/>
        <w:gridCol w:w="1303"/>
        <w:gridCol w:w="1290"/>
        <w:gridCol w:w="16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9278" w:type="dxa"/>
            <w:gridSpan w:val="5"/>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202</w:t>
            </w:r>
            <w:r>
              <w:rPr>
                <w:rFonts w:hint="eastAsia" w:ascii="仿宋" w:hAnsi="仿宋" w:eastAsia="仿宋" w:cs="仿宋"/>
                <w:b/>
                <w:sz w:val="24"/>
                <w:szCs w:val="24"/>
                <w:lang w:val="en-US" w:eastAsia="zh-CN"/>
              </w:rPr>
              <w:t>2</w:t>
            </w:r>
            <w:r>
              <w:rPr>
                <w:rFonts w:hint="eastAsia" w:ascii="仿宋" w:hAnsi="仿宋" w:eastAsia="仿宋" w:cs="仿宋"/>
                <w:b/>
                <w:sz w:val="24"/>
                <w:szCs w:val="24"/>
              </w:rPr>
              <w:t>年龙岗管理局周转房</w:t>
            </w:r>
            <w:r>
              <w:rPr>
                <w:rFonts w:hint="eastAsia" w:ascii="仿宋" w:hAnsi="仿宋" w:eastAsia="仿宋" w:cs="仿宋"/>
                <w:b/>
                <w:sz w:val="24"/>
                <w:szCs w:val="24"/>
                <w:lang w:val="en-US" w:eastAsia="zh-CN"/>
              </w:rPr>
              <w:t>应急</w:t>
            </w:r>
            <w:r>
              <w:rPr>
                <w:rFonts w:hint="eastAsia" w:ascii="仿宋" w:hAnsi="仿宋" w:eastAsia="仿宋" w:cs="仿宋"/>
                <w:b/>
                <w:sz w:val="24"/>
                <w:szCs w:val="24"/>
              </w:rPr>
              <w:t>安全修缮</w:t>
            </w:r>
            <w:r>
              <w:rPr>
                <w:rFonts w:hint="eastAsia" w:ascii="仿宋" w:hAnsi="仿宋" w:eastAsia="仿宋" w:cs="仿宋"/>
                <w:b/>
                <w:sz w:val="24"/>
                <w:szCs w:val="24"/>
                <w:lang w:val="en-US" w:eastAsia="zh-CN"/>
              </w:rPr>
              <w:t>服务</w:t>
            </w:r>
            <w:r>
              <w:rPr>
                <w:rFonts w:hint="eastAsia" w:ascii="仿宋" w:hAnsi="仿宋" w:eastAsia="仿宋" w:cs="仿宋"/>
                <w:b/>
                <w:sz w:val="24"/>
                <w:szCs w:val="24"/>
              </w:rPr>
              <w:t>清单报价汇总表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分项名称</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单位</w:t>
            </w:r>
          </w:p>
        </w:tc>
        <w:tc>
          <w:tcPr>
            <w:tcW w:w="129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单价</w:t>
            </w:r>
          </w:p>
        </w:tc>
        <w:tc>
          <w:tcPr>
            <w:tcW w:w="1697"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（一）照明灯具</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2</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(二)铝合金门窗</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3</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(三)PVC水管</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米</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按米结算包括原水管拆除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4</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（四）水龙头</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5</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（五）洗手盘</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6</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（六）卫生间门</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铝合金门按套结算包括拆装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7</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（七）房间木门</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复合木门按套结算包括拆装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8</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（八）马桶</w:t>
            </w:r>
          </w:p>
        </w:tc>
        <w:tc>
          <w:tcPr>
            <w:tcW w:w="1303"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按个结算包拆装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9</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（九）墙面油漆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10</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（十）电线照明1.5平方、插座2.5平方、空调厨房专用4平方：金龙羽、中缆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11</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（十一）电闸</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12</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（十二）开关插座</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个</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13</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（十三）水管除锈刷漆</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米</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14</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（十四）铺砖</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15</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（十五）地板胶</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平方</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16</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（十六）垃圾清运</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次数</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17</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人工费</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Cs/>
                <w:sz w:val="24"/>
                <w:szCs w:val="24"/>
              </w:rPr>
            </w:pPr>
            <w:r>
              <w:rPr>
                <w:rFonts w:hint="eastAsia" w:ascii="仿宋" w:hAnsi="仿宋" w:eastAsia="仿宋" w:cs="仿宋"/>
                <w:bCs/>
                <w:sz w:val="24"/>
                <w:szCs w:val="24"/>
              </w:rPr>
              <w:t>单人/次</w:t>
            </w: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bCs/>
                <w:sz w:val="24"/>
                <w:szCs w:val="24"/>
              </w:rPr>
            </w:pPr>
            <w:r>
              <w:rPr>
                <w:rFonts w:hint="eastAsia" w:ascii="仿宋" w:hAnsi="仿宋" w:eastAsia="仿宋" w:cs="仿宋"/>
                <w:bCs/>
                <w:sz w:val="24"/>
                <w:szCs w:val="24"/>
              </w:rPr>
              <w:t>单人/次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18</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税     费</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283" w:hRule="atLeast"/>
        </w:trPr>
        <w:tc>
          <w:tcPr>
            <w:tcW w:w="1058"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19</w:t>
            </w:r>
          </w:p>
        </w:tc>
        <w:tc>
          <w:tcPr>
            <w:tcW w:w="3930"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r>
              <w:rPr>
                <w:rFonts w:hint="eastAsia" w:ascii="仿宋" w:hAnsi="仿宋" w:eastAsia="仿宋" w:cs="仿宋"/>
                <w:b/>
                <w:sz w:val="24"/>
                <w:szCs w:val="24"/>
              </w:rPr>
              <w:t>单项报价合计</w:t>
            </w:r>
          </w:p>
        </w:tc>
        <w:tc>
          <w:tcPr>
            <w:tcW w:w="1303" w:type="dxa"/>
            <w:tcBorders>
              <w:tl2br w:val="nil"/>
              <w:tr2bl w:val="nil"/>
            </w:tcBorders>
            <w:noWrap/>
            <w:tcMar>
              <w:top w:w="15" w:type="dxa"/>
              <w:left w:w="15" w:type="dxa"/>
              <w:right w:w="15" w:type="dxa"/>
            </w:tcMar>
            <w:vAlign w:val="center"/>
          </w:tcPr>
          <w:p>
            <w:pPr>
              <w:jc w:val="center"/>
              <w:textAlignment w:val="center"/>
              <w:rPr>
                <w:rFonts w:hint="eastAsia" w:ascii="仿宋" w:hAnsi="仿宋" w:eastAsia="仿宋" w:cs="仿宋"/>
                <w:b/>
                <w:sz w:val="24"/>
                <w:szCs w:val="24"/>
              </w:rPr>
            </w:pPr>
          </w:p>
        </w:tc>
        <w:tc>
          <w:tcPr>
            <w:tcW w:w="1290" w:type="dxa"/>
            <w:tcBorders>
              <w:tl2br w:val="nil"/>
              <w:tr2bl w:val="nil"/>
            </w:tcBorders>
            <w:noWrap/>
            <w:tcMar>
              <w:top w:w="15" w:type="dxa"/>
              <w:left w:w="15" w:type="dxa"/>
              <w:right w:w="15" w:type="dxa"/>
            </w:tcMar>
            <w:vAlign w:val="center"/>
          </w:tcPr>
          <w:p>
            <w:pPr>
              <w:jc w:val="center"/>
              <w:rPr>
                <w:rFonts w:hint="eastAsia" w:ascii="仿宋" w:hAnsi="仿宋" w:eastAsia="仿宋" w:cs="仿宋"/>
                <w:b/>
                <w:sz w:val="24"/>
                <w:szCs w:val="24"/>
              </w:rPr>
            </w:pPr>
          </w:p>
        </w:tc>
        <w:tc>
          <w:tcPr>
            <w:tcW w:w="1697" w:type="dxa"/>
            <w:tcBorders>
              <w:tl2br w:val="nil"/>
              <w:tr2bl w:val="nil"/>
            </w:tcBorders>
            <w:noWrap/>
            <w:tcMar>
              <w:top w:w="15" w:type="dxa"/>
              <w:left w:w="15" w:type="dxa"/>
              <w:right w:w="15" w:type="dxa"/>
            </w:tcMar>
            <w:vAlign w:val="center"/>
          </w:tcPr>
          <w:p>
            <w:pPr>
              <w:jc w:val="center"/>
              <w:rPr>
                <w:rFonts w:hint="eastAsia" w:ascii="仿宋" w:hAnsi="仿宋" w:eastAsia="仿宋" w:cs="仿宋"/>
                <w:sz w:val="24"/>
                <w:szCs w:val="24"/>
              </w:rPr>
            </w:pPr>
          </w:p>
        </w:tc>
      </w:tr>
    </w:tbl>
    <w:p>
      <w:pPr>
        <w:widowControl w:val="0"/>
        <w:adjustRightInd/>
        <w:snapToGrid/>
        <w:rPr>
          <w:rFonts w:hint="eastAsia" w:ascii="仿宋" w:hAnsi="仿宋" w:eastAsia="仿宋" w:cs="仿宋"/>
          <w:sz w:val="24"/>
          <w:szCs w:val="24"/>
        </w:rPr>
      </w:pP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注：</w:t>
      </w: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1、此表的总计是根据招标文件要求包含所有需采购人支付给中标供应商（中标人）的费用。</w:t>
      </w:r>
    </w:p>
    <w:p>
      <w:pPr>
        <w:pStyle w:val="3"/>
        <w:spacing w:line="300" w:lineRule="auto"/>
        <w:rPr>
          <w:rFonts w:hint="eastAsia" w:ascii="仿宋" w:hAnsi="仿宋" w:eastAsia="仿宋" w:cs="仿宋"/>
          <w:sz w:val="24"/>
          <w:szCs w:val="24"/>
        </w:rPr>
      </w:pPr>
      <w:r>
        <w:rPr>
          <w:rFonts w:hint="eastAsia" w:ascii="仿宋" w:hAnsi="仿宋" w:eastAsia="仿宋" w:cs="仿宋"/>
          <w:sz w:val="24"/>
          <w:szCs w:val="24"/>
        </w:rPr>
        <w:t>2、报价均应包含所有需中标人交纳的税费。</w:t>
      </w:r>
    </w:p>
    <w:p>
      <w:pPr>
        <w:widowControl w:val="0"/>
        <w:adjustRightInd/>
        <w:snapToGrid/>
        <w:rPr>
          <w:rFonts w:hint="eastAsia" w:ascii="仿宋" w:hAnsi="仿宋" w:eastAsia="仿宋" w:cs="仿宋"/>
          <w:kern w:val="2"/>
          <w:sz w:val="24"/>
          <w:szCs w:val="24"/>
        </w:rPr>
      </w:pPr>
      <w:r>
        <w:rPr>
          <w:rFonts w:hint="eastAsia" w:ascii="仿宋" w:hAnsi="仿宋" w:eastAsia="仿宋" w:cs="仿宋"/>
          <w:kern w:val="2"/>
          <w:sz w:val="24"/>
          <w:szCs w:val="24"/>
        </w:rPr>
        <w:t>3、投标分项报价表的金额必须跟投标一览表的保持一致，否则将导致废标。</w:t>
      </w:r>
    </w:p>
    <w:p>
      <w:pPr>
        <w:pStyle w:val="3"/>
        <w:spacing w:line="360" w:lineRule="auto"/>
        <w:rPr>
          <w:rFonts w:hint="eastAsia" w:ascii="仿宋" w:hAnsi="仿宋" w:eastAsia="仿宋" w:cs="仿宋"/>
          <w:b/>
          <w:bCs/>
          <w:sz w:val="24"/>
        </w:rPr>
      </w:pPr>
      <w:r>
        <w:rPr>
          <w:rFonts w:hint="eastAsia" w:ascii="仿宋" w:hAnsi="仿宋" w:eastAsia="仿宋" w:cs="仿宋"/>
          <w:b/>
          <w:bCs/>
          <w:sz w:val="24"/>
        </w:rPr>
        <w:t>投标人（公章）：</w:t>
      </w:r>
    </w:p>
    <w:p>
      <w:pPr>
        <w:pStyle w:val="3"/>
        <w:spacing w:line="360" w:lineRule="auto"/>
        <w:rPr>
          <w:rFonts w:hint="eastAsia" w:ascii="仿宋" w:hAnsi="仿宋" w:eastAsia="仿宋" w:cs="仿宋"/>
          <w:b/>
          <w:bCs/>
          <w:sz w:val="24"/>
        </w:rPr>
      </w:pPr>
      <w:r>
        <w:rPr>
          <w:rFonts w:hint="eastAsia" w:ascii="仿宋" w:hAnsi="仿宋" w:eastAsia="仿宋" w:cs="仿宋"/>
          <w:b/>
          <w:bCs/>
          <w:sz w:val="24"/>
        </w:rPr>
        <w:t xml:space="preserve">法定代表人或其授权代表签名： </w:t>
      </w:r>
    </w:p>
    <w:p>
      <w:pPr>
        <w:widowControl w:val="0"/>
        <w:adjustRightInd/>
        <w:snapToGrid/>
        <w:spacing w:line="360" w:lineRule="auto"/>
        <w:rPr>
          <w:rFonts w:hint="eastAsia" w:ascii="仿宋" w:hAnsi="仿宋" w:eastAsia="仿宋" w:cs="仿宋"/>
          <w:sz w:val="24"/>
          <w:szCs w:val="24"/>
        </w:rPr>
      </w:pPr>
      <w:r>
        <w:rPr>
          <w:rFonts w:hint="eastAsia" w:ascii="仿宋" w:hAnsi="仿宋" w:eastAsia="仿宋" w:cs="仿宋"/>
          <w:b/>
          <w:bCs/>
          <w:sz w:val="24"/>
          <w:szCs w:val="24"/>
        </w:rPr>
        <w:t>日期：     年      月    日</w:t>
      </w:r>
    </w:p>
    <w:p>
      <w:pPr>
        <w:widowControl w:val="0"/>
        <w:adjustRightInd/>
        <w:snapToGrid/>
        <w:rPr>
          <w:rFonts w:hint="eastAsia" w:ascii="仿宋" w:hAnsi="仿宋" w:eastAsia="仿宋" w:cs="仿宋"/>
          <w:kern w:val="2"/>
          <w:sz w:val="24"/>
          <w:szCs w:val="24"/>
        </w:rPr>
      </w:pPr>
    </w:p>
    <w:p>
      <w:pPr>
        <w:pStyle w:val="2"/>
        <w:numPr>
          <w:ilvl w:val="0"/>
          <w:numId w:val="0"/>
        </w:numPr>
        <w:spacing w:line="312" w:lineRule="auto"/>
        <w:rPr>
          <w:rFonts w:hint="eastAsia" w:ascii="仿宋" w:hAnsi="仿宋" w:eastAsia="仿宋" w:cs="仿宋"/>
          <w:sz w:val="24"/>
          <w:szCs w:val="24"/>
        </w:rPr>
      </w:pPr>
    </w:p>
    <w:p>
      <w:pPr>
        <w:numPr>
          <w:ilvl w:val="0"/>
          <w:numId w:val="0"/>
        </w:numPr>
        <w:rPr>
          <w:rFonts w:hint="default" w:ascii="仿宋" w:hAnsi="仿宋" w:eastAsia="仿宋"/>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44DE02"/>
    <w:multiLevelType w:val="singleLevel"/>
    <w:tmpl w:val="B444DE02"/>
    <w:lvl w:ilvl="0" w:tentative="0">
      <w:start w:val="8"/>
      <w:numFmt w:val="chineseCounting"/>
      <w:suff w:val="nothing"/>
      <w:lvlText w:val="（%1）"/>
      <w:lvlJc w:val="left"/>
      <w:rPr>
        <w:rFonts w:hint="eastAsia"/>
      </w:rPr>
    </w:lvl>
  </w:abstractNum>
  <w:abstractNum w:abstractNumId="1">
    <w:nsid w:val="060909E2"/>
    <w:multiLevelType w:val="singleLevel"/>
    <w:tmpl w:val="060909E2"/>
    <w:lvl w:ilvl="0" w:tentative="0">
      <w:start w:val="1"/>
      <w:numFmt w:val="chineseCounting"/>
      <w:suff w:val="nothing"/>
      <w:lvlText w:val="%1、"/>
      <w:lvlJc w:val="left"/>
      <w:pPr>
        <w:ind w:left="0" w:firstLine="420"/>
      </w:pPr>
      <w:rPr>
        <w:rFonts w:hint="eastAsia"/>
      </w:rPr>
    </w:lvl>
  </w:abstractNum>
  <w:abstractNum w:abstractNumId="2">
    <w:nsid w:val="1D684929"/>
    <w:multiLevelType w:val="singleLevel"/>
    <w:tmpl w:val="1D684929"/>
    <w:lvl w:ilvl="0" w:tentative="0">
      <w:start w:val="1"/>
      <w:numFmt w:val="decimal"/>
      <w:suff w:val="space"/>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AE347E"/>
    <w:rsid w:val="063A6DE1"/>
    <w:rsid w:val="0E4C740C"/>
    <w:rsid w:val="18AE6F3F"/>
    <w:rsid w:val="1F624CDF"/>
    <w:rsid w:val="378C1676"/>
    <w:rsid w:val="3F332E37"/>
    <w:rsid w:val="42B02C06"/>
    <w:rsid w:val="5B7C6D64"/>
    <w:rsid w:val="6BAE347E"/>
    <w:rsid w:val="7A4B4B3F"/>
    <w:rsid w:val="7D215A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Times New Roman"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widowControl w:val="0"/>
      <w:tabs>
        <w:tab w:val="left" w:pos="562"/>
        <w:tab w:val="left" w:pos="3372"/>
        <w:tab w:val="left" w:pos="3653"/>
      </w:tabs>
      <w:adjustRightInd/>
      <w:snapToGrid/>
      <w:spacing w:after="0"/>
      <w:jc w:val="both"/>
    </w:pPr>
    <w:rPr>
      <w:rFonts w:ascii="Times New Roman" w:hAnsi="Times New Roman" w:eastAsia="宋体" w:cs="Times New Roman"/>
      <w:kern w:val="2"/>
      <w:sz w:val="24"/>
      <w:szCs w:val="24"/>
    </w:rPr>
  </w:style>
  <w:style w:type="paragraph" w:styleId="3">
    <w:name w:val="Plain Text"/>
    <w:basedOn w:val="1"/>
    <w:qFormat/>
    <w:uiPriority w:val="0"/>
    <w:pPr>
      <w:widowControl w:val="0"/>
      <w:adjustRightInd/>
      <w:snapToGrid/>
      <w:spacing w:after="0"/>
      <w:jc w:val="both"/>
    </w:pPr>
    <w:rPr>
      <w:rFonts w:ascii="宋体" w:hAnsi="Courier New" w:eastAsia="宋体" w:cs="Times New Roman"/>
      <w:kern w:val="2"/>
      <w:sz w:val="21"/>
      <w:szCs w:val="24"/>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771</Words>
  <Characters>781</Characters>
  <Lines>0</Lines>
  <Paragraphs>0</Paragraphs>
  <TotalTime>2</TotalTime>
  <ScaleCrop>false</ScaleCrop>
  <LinksUpToDate>false</LinksUpToDate>
  <CharactersWithSpaces>781</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2021-02-23T09:06:00Z</dcterms:created>
  <dc:creator>admin</dc:creator>
  <cp:lastModifiedBy>李海斌</cp:lastModifiedBy>
  <cp:lastPrinted>2021-02-24T09:07:00Z</cp:lastPrinted>
  <dcterms:modified xsi:type="dcterms:W3CDTF">2022-03-29T02:15:07Z</dcterms:modified>
  <dc:title>服务类项目采购需求模板</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