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32"/>
          <w:szCs w:val="32"/>
          <w:lang w:val="en-US" w:eastAsia="zh-CN"/>
        </w:rPr>
      </w:pPr>
    </w:p>
    <w:p>
      <w:pPr>
        <w:pStyle w:val="29"/>
        <w:spacing w:before="190" w:after="190"/>
        <w:rPr>
          <w:rFonts w:ascii="华文中宋" w:hAnsi="华文中宋"/>
          <w:sz w:val="40"/>
          <w:szCs w:val="36"/>
        </w:rPr>
      </w:pPr>
    </w:p>
    <w:p>
      <w:pPr>
        <w:pStyle w:val="29"/>
        <w:spacing w:before="190" w:after="190"/>
        <w:rPr>
          <w:rFonts w:ascii="华文中宋" w:hAnsi="华文中宋"/>
          <w:sz w:val="40"/>
          <w:szCs w:val="36"/>
        </w:rPr>
      </w:pPr>
    </w:p>
    <w:p>
      <w:pPr>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深圳</w:t>
      </w:r>
      <w:r>
        <w:rPr>
          <w:rFonts w:ascii="方正小标宋简体" w:hAnsi="宋体" w:eastAsia="方正小标宋简体" w:cs="Times New Roman"/>
          <w:sz w:val="44"/>
          <w:szCs w:val="44"/>
        </w:rPr>
        <w:t>市海洋</w:t>
      </w:r>
      <w:r>
        <w:rPr>
          <w:rFonts w:hint="eastAsia" w:ascii="方正小标宋简体" w:hAnsi="宋体" w:eastAsia="方正小标宋简体" w:cs="Times New Roman"/>
          <w:sz w:val="44"/>
          <w:szCs w:val="44"/>
        </w:rPr>
        <w:t>经济</w:t>
      </w:r>
      <w:r>
        <w:rPr>
          <w:rFonts w:ascii="方正小标宋简体" w:hAnsi="宋体" w:eastAsia="方正小标宋简体" w:cs="Times New Roman"/>
          <w:sz w:val="44"/>
          <w:szCs w:val="44"/>
        </w:rPr>
        <w:t>发展“十四五”规划</w:t>
      </w:r>
    </w:p>
    <w:p>
      <w:pPr>
        <w:jc w:val="center"/>
        <w:rPr>
          <w:rFonts w:ascii="黑体" w:hAnsi="黑体" w:eastAsia="黑体"/>
        </w:rP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both"/>
      </w:pPr>
    </w:p>
    <w:p>
      <w:pPr>
        <w:jc w:val="center"/>
      </w:pPr>
    </w:p>
    <w:p>
      <w:pPr>
        <w:jc w:val="both"/>
      </w:pPr>
    </w:p>
    <w:p>
      <w:pPr>
        <w:jc w:val="center"/>
      </w:pPr>
    </w:p>
    <w:p>
      <w:pPr>
        <w:jc w:val="center"/>
      </w:pPr>
    </w:p>
    <w:p>
      <w:pPr>
        <w:spacing w:line="360" w:lineRule="auto"/>
        <w:ind w:left="2268" w:leftChars="810" w:right="2352" w:rightChars="840"/>
        <w:jc w:val="distribute"/>
        <w:rPr>
          <w:rFonts w:hint="eastAsia" w:ascii="黑体" w:hAnsi="黑体" w:eastAsia="黑体"/>
          <w:sz w:val="32"/>
          <w:szCs w:val="32"/>
          <w:lang w:val="en" w:eastAsia="zh-CN"/>
        </w:rPr>
      </w:pPr>
      <w:r>
        <w:rPr>
          <w:rFonts w:hint="eastAsia" w:ascii="黑体" w:hAnsi="黑体" w:eastAsia="黑体"/>
          <w:sz w:val="32"/>
          <w:szCs w:val="32"/>
        </w:rPr>
        <w:t>深圳市规划和自然资源局</w:t>
      </w:r>
      <w:r>
        <w:rPr>
          <w:rFonts w:hint="eastAsia" w:ascii="黑体" w:hAnsi="黑体" w:eastAsia="黑体"/>
          <w:sz w:val="32"/>
          <w:szCs w:val="32"/>
          <w:lang w:val="en" w:eastAsia="zh-CN"/>
        </w:rPr>
        <w:t>深圳市发展和改革委员会</w:t>
      </w:r>
    </w:p>
    <w:p>
      <w:pPr>
        <w:spacing w:line="360" w:lineRule="auto"/>
        <w:jc w:val="center"/>
        <w:rPr>
          <w:rFonts w:ascii="黑体" w:hAnsi="黑体" w:eastAsia="黑体"/>
          <w:sz w:val="32"/>
          <w:szCs w:val="32"/>
        </w:rPr>
      </w:pPr>
      <w:r>
        <w:rPr>
          <w:rFonts w:ascii="黑体" w:hAnsi="黑体" w:eastAsia="黑体"/>
          <w:sz w:val="32"/>
          <w:szCs w:val="32"/>
        </w:rPr>
        <w:t>2022</w:t>
      </w:r>
      <w:r>
        <w:rPr>
          <w:rFonts w:hint="eastAsia" w:ascii="黑体" w:hAnsi="黑体" w:eastAsia="黑体"/>
          <w:sz w:val="32"/>
          <w:szCs w:val="32"/>
        </w:rPr>
        <w:t>年</w:t>
      </w:r>
      <w:r>
        <w:rPr>
          <w:rFonts w:hint="default" w:ascii="黑体" w:hAnsi="黑体" w:eastAsia="黑体"/>
          <w:sz w:val="32"/>
          <w:szCs w:val="32"/>
          <w:lang w:val="en" w:eastAsia="zh-CN"/>
        </w:rPr>
        <w:t>6</w:t>
      </w:r>
      <w:r>
        <w:rPr>
          <w:rFonts w:hint="eastAsia" w:ascii="黑体" w:hAnsi="黑体" w:eastAsia="黑体"/>
          <w:sz w:val="32"/>
          <w:szCs w:val="32"/>
        </w:rPr>
        <w:t>月</w:t>
      </w:r>
    </w:p>
    <w:p>
      <w:pPr>
        <w:widowControl/>
        <w:jc w:val="left"/>
      </w:pPr>
      <w:r>
        <w:br w:type="page"/>
      </w:r>
    </w:p>
    <w:p>
      <w:pPr>
        <w:widowControl/>
        <w:jc w:val="center"/>
      </w:pPr>
    </w:p>
    <w:p>
      <w:pPr>
        <w:jc w:val="center"/>
        <w:sectPr>
          <w:footerReference r:id="rId4" w:type="default"/>
          <w:pgSz w:w="11906" w:h="16838"/>
          <w:pgMar w:top="1440" w:right="1800" w:bottom="1440" w:left="1800" w:header="851" w:footer="992" w:gutter="0"/>
          <w:pgNumType w:start="1"/>
          <w:cols w:space="425" w:num="1"/>
          <w:docGrid w:type="lines" w:linePitch="381" w:charSpace="0"/>
        </w:sectPr>
      </w:pPr>
    </w:p>
    <w:p>
      <w:pPr>
        <w:spacing w:line="360" w:lineRule="auto"/>
        <w:jc w:val="center"/>
        <w:rPr>
          <w:rFonts w:ascii="方正小标宋简体" w:hAnsi="宋体" w:eastAsia="方正小标宋简体" w:cs="Times New Roman"/>
          <w:sz w:val="36"/>
          <w:szCs w:val="36"/>
        </w:rPr>
      </w:pPr>
      <w:r>
        <w:rPr>
          <w:rFonts w:hint="eastAsia" w:ascii="方正小标宋简体" w:hAnsi="宋体" w:eastAsia="方正小标宋简体" w:cs="Times New Roman"/>
          <w:sz w:val="36"/>
          <w:szCs w:val="36"/>
        </w:rPr>
        <w:t>前</w:t>
      </w:r>
      <w:r>
        <w:rPr>
          <w:rFonts w:ascii="方正小标宋简体" w:hAnsi="宋体" w:eastAsia="方正小标宋简体" w:cs="Times New Roman"/>
          <w:sz w:val="36"/>
          <w:szCs w:val="36"/>
        </w:rPr>
        <w:t xml:space="preserve">  </w:t>
      </w:r>
      <w:r>
        <w:rPr>
          <w:rFonts w:hint="eastAsia" w:ascii="方正小标宋简体" w:hAnsi="宋体" w:eastAsia="方正小标宋简体" w:cs="Times New Roman"/>
          <w:sz w:val="36"/>
          <w:szCs w:val="36"/>
        </w:rPr>
        <w:t>言</w:t>
      </w:r>
    </w:p>
    <w:p>
      <w:pPr>
        <w:spacing w:line="360" w:lineRule="auto"/>
        <w:jc w:val="center"/>
        <w:rPr>
          <w:rFonts w:ascii="黑体" w:hAnsi="黑体" w:eastAsia="黑体"/>
          <w:b/>
          <w:bCs/>
          <w:sz w:val="36"/>
          <w:szCs w:val="36"/>
        </w:rPr>
      </w:pPr>
    </w:p>
    <w:p>
      <w:pPr>
        <w:pStyle w:val="50"/>
      </w:pPr>
      <w:bookmarkStart w:id="0" w:name="_Hlk91495911"/>
      <w:r>
        <w:rPr>
          <w:rFonts w:hint="eastAsia"/>
          <w:lang w:eastAsia="zh-CN"/>
        </w:rPr>
        <w:t>海洋是高质量发展战略要地。</w:t>
      </w:r>
      <w:r>
        <w:rPr>
          <w:rFonts w:hint="eastAsia"/>
        </w:rPr>
        <w:t>党中央、国务院高度重视海洋工作，党的十九大提出“坚持陆海统筹，加快建设海洋强国”。习近平总书记围绕海洋发展发表了系列重要论述，奠定了依海富国、以海强国、人海和谐、合作共赢的发展总基调。</w:t>
      </w:r>
    </w:p>
    <w:p>
      <w:pPr>
        <w:pStyle w:val="50"/>
      </w:pPr>
      <w:r>
        <w:rPr>
          <w:rFonts w:hint="eastAsia"/>
        </w:rPr>
        <w:t>深圳作为我国2</w:t>
      </w:r>
      <w:r>
        <w:t>1</w:t>
      </w:r>
      <w:r>
        <w:rPr>
          <w:rFonts w:hint="eastAsia"/>
        </w:rPr>
        <w:t>世纪海上丝绸之路的重要战略支点，在陆海经济连接中具有举足轻重的地位。在新时期发展背景下，深圳承担着中国特色社会主义先行示范区、粤港澳大湾区核心引擎、全球海洋中心城市等重大战略使命。“十四五”时期是我国加快建设中国特色海洋强国的关键阶段，深圳要切实增强政治责任感、历史使命感，完整、准确、全面贯彻落实新发展理念，深化改革开放、先锋示范，为全国打造深蓝样板，为建设中国特色海洋强国贡献力量。</w:t>
      </w:r>
    </w:p>
    <w:bookmarkEnd w:id="0"/>
    <w:p>
      <w:pPr>
        <w:pStyle w:val="50"/>
        <w:rPr>
          <w:rFonts w:ascii="仿宋_GB2312" w:hAnsi="华文中宋" w:eastAsia="仿宋_GB2312"/>
          <w:sz w:val="30"/>
        </w:rPr>
        <w:sectPr>
          <w:footerReference r:id="rId5" w:type="default"/>
          <w:pgSz w:w="11906" w:h="16838"/>
          <w:pgMar w:top="1440" w:right="1800" w:bottom="1440" w:left="1800" w:header="851" w:footer="992" w:gutter="0"/>
          <w:pgNumType w:start="1"/>
          <w:cols w:space="425" w:num="1"/>
          <w:docGrid w:type="lines" w:linePitch="381" w:charSpace="0"/>
        </w:sectPr>
      </w:pPr>
      <w:r>
        <w:rPr>
          <w:rFonts w:hint="eastAsia"/>
        </w:rPr>
        <w:t>本规划深入贯彻落实党的十九大和十九届历次全会精神，落实全国《“十四五”海洋经济发展规划》总体部署，《广东省海洋经济发展“十四五”规划》、《深圳市国民经济和社会发展第十四个五年规划和2035年远景目标纲要》相关要求进行编制，是“十四五”时期深圳海洋经济发展的专项规划。规划范围包括深圳市全域和深汕特别合作区。规划期限为2021年至2025年，展望到2035年。</w:t>
      </w:r>
      <w:r>
        <w:rPr>
          <w:rFonts w:ascii="华文中宋" w:hAnsi="华文中宋" w:eastAsia="华文中宋"/>
          <w:sz w:val="40"/>
          <w:szCs w:val="40"/>
          <w:lang w:val="zh-CN"/>
        </w:rPr>
        <w:br w:type="page"/>
      </w:r>
    </w:p>
    <w:sdt>
      <w:sdtPr>
        <w:rPr>
          <w:rFonts w:ascii="Times New Roman" w:hAnsi="Times New Roman" w:eastAsia="仿宋" w:cstheme="minorBidi"/>
          <w:color w:val="auto"/>
          <w:kern w:val="2"/>
          <w:sz w:val="28"/>
          <w:szCs w:val="22"/>
          <w:lang w:val="zh-CN"/>
        </w:rPr>
        <w:id w:val="-142277102"/>
        <w:docPartObj>
          <w:docPartGallery w:val="Table of Contents"/>
          <w:docPartUnique/>
        </w:docPartObj>
      </w:sdtPr>
      <w:sdtEndPr>
        <w:rPr>
          <w:rFonts w:ascii="Times New Roman" w:hAnsi="Times New Roman" w:eastAsia="仿宋" w:cstheme="minorBidi"/>
          <w:b/>
          <w:bCs/>
          <w:color w:val="auto"/>
          <w:kern w:val="2"/>
          <w:sz w:val="28"/>
          <w:szCs w:val="22"/>
          <w:lang w:val="zh-CN"/>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21"/>
            <w:tabs>
              <w:tab w:val="right" w:leader="dot" w:pos="8306"/>
              <w:tab w:val="clear" w:pos="840"/>
              <w:tab w:val="clear" w:pos="8296"/>
            </w:tabs>
          </w:pPr>
          <w:r>
            <w:fldChar w:fldCharType="begin"/>
          </w:r>
          <w:r>
            <w:instrText xml:space="preserve"> TOC \o "1-3" \h \z \u </w:instrText>
          </w:r>
          <w:r>
            <w:fldChar w:fldCharType="separate"/>
          </w:r>
          <w:r>
            <w:fldChar w:fldCharType="begin"/>
          </w:r>
          <w:r>
            <w:instrText xml:space="preserve"> HYPERLINK \l _Toc1091760753 </w:instrText>
          </w:r>
          <w:r>
            <w:fldChar w:fldCharType="separate"/>
          </w:r>
          <w:r>
            <w:rPr>
              <w:rFonts w:ascii="Times New Roman" w:hAnsi="Times New Roman"/>
              <w:bCs/>
              <w:i w:val="0"/>
              <w:iCs w:val="0"/>
              <w:caps w:val="0"/>
              <w:smallCaps w:val="0"/>
              <w:strike w:val="0"/>
              <w:dstrike w:val="0"/>
              <w:vanish w:val="0"/>
              <w:spacing w:val="0"/>
              <w:position w:val="0"/>
              <w:szCs w:val="36"/>
              <w:vertAlign w:val="baseline"/>
              <w14:shadow w14:blurRad="0" w14:dist="0" w14:dir="0" w14:sx="0" w14:sy="0" w14:kx="0" w14:ky="0" w14:algn="none">
                <w14:srgbClr w14:val="000000"/>
              </w14:shadow>
            </w:rPr>
            <w:t xml:space="preserve">一、 </w:t>
          </w:r>
          <w:r>
            <w:rPr>
              <w:rFonts w:hint="eastAsia"/>
            </w:rPr>
            <w:t>发展基础与面临形势</w:t>
          </w:r>
          <w:r>
            <w:tab/>
          </w:r>
          <w:r>
            <w:fldChar w:fldCharType="begin"/>
          </w:r>
          <w:r>
            <w:instrText xml:space="preserve"> PAGEREF _Toc1091760753 </w:instrText>
          </w:r>
          <w:r>
            <w:fldChar w:fldCharType="separate"/>
          </w:r>
          <w:r>
            <w:t>1</w:t>
          </w:r>
          <w:r>
            <w:fldChar w:fldCharType="end"/>
          </w:r>
          <w:r>
            <w:fldChar w:fldCharType="end"/>
          </w:r>
        </w:p>
        <w:p>
          <w:pPr>
            <w:pStyle w:val="26"/>
            <w:tabs>
              <w:tab w:val="right" w:leader="dot" w:pos="8306"/>
              <w:tab w:val="clear" w:pos="1120"/>
              <w:tab w:val="clear" w:pos="8296"/>
            </w:tabs>
          </w:pPr>
          <w:r>
            <w:fldChar w:fldCharType="begin"/>
          </w:r>
          <w:r>
            <w:instrText xml:space="preserve"> HYPERLINK \l _Toc1839492556 </w:instrText>
          </w:r>
          <w:r>
            <w:fldChar w:fldCharType="separate"/>
          </w:r>
          <w:r>
            <w:rPr>
              <w:lang w:bidi="zh-CN"/>
            </w:rPr>
            <w:t xml:space="preserve">(一) </w:t>
          </w:r>
          <w:r>
            <w:rPr>
              <w:rFonts w:hint="eastAsia"/>
            </w:rPr>
            <w:t>发展回顾</w:t>
          </w:r>
          <w:r>
            <w:tab/>
          </w:r>
          <w:r>
            <w:fldChar w:fldCharType="begin"/>
          </w:r>
          <w:r>
            <w:instrText xml:space="preserve"> PAGEREF _Toc1839492556 </w:instrText>
          </w:r>
          <w:r>
            <w:fldChar w:fldCharType="separate"/>
          </w:r>
          <w:r>
            <w:t>1</w:t>
          </w:r>
          <w:r>
            <w:fldChar w:fldCharType="end"/>
          </w:r>
          <w:r>
            <w:fldChar w:fldCharType="end"/>
          </w:r>
        </w:p>
        <w:p>
          <w:pPr>
            <w:pStyle w:val="26"/>
            <w:tabs>
              <w:tab w:val="right" w:leader="dot" w:pos="8306"/>
              <w:tab w:val="clear" w:pos="1120"/>
              <w:tab w:val="clear" w:pos="8296"/>
            </w:tabs>
          </w:pPr>
          <w:r>
            <w:fldChar w:fldCharType="begin"/>
          </w:r>
          <w:r>
            <w:instrText xml:space="preserve"> HYPERLINK \l _Toc1108569842 </w:instrText>
          </w:r>
          <w:r>
            <w:fldChar w:fldCharType="separate"/>
          </w:r>
          <w:r>
            <w:rPr>
              <w:lang w:bidi="zh-CN"/>
            </w:rPr>
            <w:t xml:space="preserve">(二) </w:t>
          </w:r>
          <w:r>
            <w:rPr>
              <w:rFonts w:hint="eastAsia"/>
              <w:lang w:eastAsia="zh-CN"/>
            </w:rPr>
            <w:t>存在</w:t>
          </w:r>
          <w:r>
            <w:rPr>
              <w:rFonts w:hint="eastAsia"/>
            </w:rPr>
            <w:t>问题</w:t>
          </w:r>
          <w:r>
            <w:tab/>
          </w:r>
          <w:r>
            <w:fldChar w:fldCharType="begin"/>
          </w:r>
          <w:r>
            <w:instrText xml:space="preserve"> PAGEREF _Toc1108569842 </w:instrText>
          </w:r>
          <w:r>
            <w:fldChar w:fldCharType="separate"/>
          </w:r>
          <w:r>
            <w:t>3</w:t>
          </w:r>
          <w:r>
            <w:fldChar w:fldCharType="end"/>
          </w:r>
          <w:r>
            <w:fldChar w:fldCharType="end"/>
          </w:r>
        </w:p>
        <w:p>
          <w:pPr>
            <w:pStyle w:val="26"/>
            <w:tabs>
              <w:tab w:val="right" w:leader="dot" w:pos="8306"/>
              <w:tab w:val="clear" w:pos="1120"/>
              <w:tab w:val="clear" w:pos="8296"/>
            </w:tabs>
          </w:pPr>
          <w:r>
            <w:fldChar w:fldCharType="begin"/>
          </w:r>
          <w:r>
            <w:instrText xml:space="preserve"> HYPERLINK \l _Toc2134068990 </w:instrText>
          </w:r>
          <w:r>
            <w:fldChar w:fldCharType="separate"/>
          </w:r>
          <w:r>
            <w:rPr>
              <w:lang w:bidi="zh-CN"/>
            </w:rPr>
            <w:t xml:space="preserve">(三) </w:t>
          </w:r>
          <w:r>
            <w:rPr>
              <w:rFonts w:hint="eastAsia"/>
              <w:lang w:eastAsia="zh-CN"/>
            </w:rPr>
            <w:t>面临</w:t>
          </w:r>
          <w:r>
            <w:rPr>
              <w:rFonts w:hint="eastAsia"/>
            </w:rPr>
            <w:t>形势</w:t>
          </w:r>
          <w:r>
            <w:tab/>
          </w:r>
          <w:r>
            <w:fldChar w:fldCharType="begin"/>
          </w:r>
          <w:r>
            <w:instrText xml:space="preserve"> PAGEREF _Toc2134068990 </w:instrText>
          </w:r>
          <w:r>
            <w:fldChar w:fldCharType="separate"/>
          </w:r>
          <w:r>
            <w:t>4</w:t>
          </w:r>
          <w:r>
            <w:fldChar w:fldCharType="end"/>
          </w:r>
          <w:r>
            <w:fldChar w:fldCharType="end"/>
          </w:r>
        </w:p>
        <w:p>
          <w:pPr>
            <w:pStyle w:val="21"/>
            <w:tabs>
              <w:tab w:val="right" w:leader="dot" w:pos="8306"/>
              <w:tab w:val="clear" w:pos="840"/>
              <w:tab w:val="clear" w:pos="8296"/>
            </w:tabs>
          </w:pPr>
          <w:r>
            <w:fldChar w:fldCharType="begin"/>
          </w:r>
          <w:r>
            <w:instrText xml:space="preserve"> HYPERLINK \l _Toc388928094 </w:instrText>
          </w:r>
          <w:r>
            <w:fldChar w:fldCharType="separate"/>
          </w:r>
          <w:r>
            <w:rPr>
              <w:rFonts w:ascii="Times New Roman" w:hAnsi="Times New Roman"/>
              <w:bCs/>
              <w:i w:val="0"/>
              <w:iCs w:val="0"/>
              <w:caps w:val="0"/>
              <w:smallCaps w:val="0"/>
              <w:strike w:val="0"/>
              <w:dstrike w:val="0"/>
              <w:vanish w:val="0"/>
              <w:spacing w:val="0"/>
              <w:position w:val="0"/>
              <w:szCs w:val="36"/>
              <w:vertAlign w:val="baseline"/>
              <w14:shadow w14:blurRad="0" w14:dist="0" w14:dir="0" w14:sx="0" w14:sy="0" w14:kx="0" w14:ky="0" w14:algn="none">
                <w14:srgbClr w14:val="000000"/>
              </w14:shadow>
            </w:rPr>
            <w:t xml:space="preserve">二、 </w:t>
          </w:r>
          <w:r>
            <w:rPr>
              <w:rFonts w:hint="eastAsia"/>
            </w:rPr>
            <w:t>总体要求</w:t>
          </w:r>
          <w:r>
            <w:tab/>
          </w:r>
          <w:r>
            <w:fldChar w:fldCharType="begin"/>
          </w:r>
          <w:r>
            <w:instrText xml:space="preserve"> PAGEREF _Toc388928094 </w:instrText>
          </w:r>
          <w:r>
            <w:fldChar w:fldCharType="separate"/>
          </w:r>
          <w:r>
            <w:t>5</w:t>
          </w:r>
          <w:r>
            <w:fldChar w:fldCharType="end"/>
          </w:r>
          <w:r>
            <w:fldChar w:fldCharType="end"/>
          </w:r>
        </w:p>
        <w:p>
          <w:pPr>
            <w:pStyle w:val="26"/>
            <w:tabs>
              <w:tab w:val="right" w:leader="dot" w:pos="8306"/>
              <w:tab w:val="clear" w:pos="1120"/>
              <w:tab w:val="clear" w:pos="8296"/>
            </w:tabs>
          </w:pPr>
          <w:r>
            <w:fldChar w:fldCharType="begin"/>
          </w:r>
          <w:r>
            <w:instrText xml:space="preserve"> HYPERLINK \l _Toc93458762 </w:instrText>
          </w:r>
          <w:r>
            <w:fldChar w:fldCharType="separate"/>
          </w:r>
          <w:r>
            <w:rPr>
              <w:lang w:bidi="zh-CN"/>
            </w:rPr>
            <w:t xml:space="preserve">(一) </w:t>
          </w:r>
          <w:r>
            <w:rPr>
              <w:rFonts w:hint="eastAsia"/>
            </w:rPr>
            <w:t>指导思想</w:t>
          </w:r>
          <w:r>
            <w:tab/>
          </w:r>
          <w:r>
            <w:fldChar w:fldCharType="begin"/>
          </w:r>
          <w:r>
            <w:instrText xml:space="preserve"> PAGEREF _Toc93458762 </w:instrText>
          </w:r>
          <w:r>
            <w:fldChar w:fldCharType="separate"/>
          </w:r>
          <w:r>
            <w:t>5</w:t>
          </w:r>
          <w:r>
            <w:fldChar w:fldCharType="end"/>
          </w:r>
          <w:r>
            <w:fldChar w:fldCharType="end"/>
          </w:r>
        </w:p>
        <w:p>
          <w:pPr>
            <w:pStyle w:val="26"/>
            <w:tabs>
              <w:tab w:val="right" w:leader="dot" w:pos="8306"/>
              <w:tab w:val="clear" w:pos="1120"/>
              <w:tab w:val="clear" w:pos="8296"/>
            </w:tabs>
          </w:pPr>
          <w:r>
            <w:fldChar w:fldCharType="begin"/>
          </w:r>
          <w:r>
            <w:instrText xml:space="preserve"> HYPERLINK \l _Toc1317134764 </w:instrText>
          </w:r>
          <w:r>
            <w:fldChar w:fldCharType="separate"/>
          </w:r>
          <w:r>
            <w:rPr>
              <w:lang w:bidi="zh-CN"/>
            </w:rPr>
            <w:t xml:space="preserve">(二) </w:t>
          </w:r>
          <w:r>
            <w:rPr>
              <w:rFonts w:hint="eastAsia"/>
            </w:rPr>
            <w:t>基本原则</w:t>
          </w:r>
          <w:r>
            <w:tab/>
          </w:r>
          <w:r>
            <w:fldChar w:fldCharType="begin"/>
          </w:r>
          <w:r>
            <w:instrText xml:space="preserve"> PAGEREF _Toc1317134764 </w:instrText>
          </w:r>
          <w:r>
            <w:fldChar w:fldCharType="separate"/>
          </w:r>
          <w:r>
            <w:t>6</w:t>
          </w:r>
          <w:r>
            <w:fldChar w:fldCharType="end"/>
          </w:r>
          <w:r>
            <w:fldChar w:fldCharType="end"/>
          </w:r>
        </w:p>
        <w:p>
          <w:pPr>
            <w:pStyle w:val="26"/>
            <w:tabs>
              <w:tab w:val="right" w:leader="dot" w:pos="8306"/>
              <w:tab w:val="clear" w:pos="1120"/>
              <w:tab w:val="clear" w:pos="8296"/>
            </w:tabs>
          </w:pPr>
          <w:r>
            <w:fldChar w:fldCharType="begin"/>
          </w:r>
          <w:r>
            <w:instrText xml:space="preserve"> HYPERLINK \l _Toc2021752522 </w:instrText>
          </w:r>
          <w:r>
            <w:fldChar w:fldCharType="separate"/>
          </w:r>
          <w:r>
            <w:rPr>
              <w:lang w:bidi="zh-CN"/>
            </w:rPr>
            <w:t xml:space="preserve">(三) </w:t>
          </w:r>
          <w:r>
            <w:rPr>
              <w:rFonts w:hint="eastAsia"/>
            </w:rPr>
            <w:t>发展目标</w:t>
          </w:r>
          <w:r>
            <w:tab/>
          </w:r>
          <w:r>
            <w:fldChar w:fldCharType="begin"/>
          </w:r>
          <w:r>
            <w:instrText xml:space="preserve"> PAGEREF _Toc2021752522 </w:instrText>
          </w:r>
          <w:r>
            <w:fldChar w:fldCharType="separate"/>
          </w:r>
          <w:r>
            <w:t>7</w:t>
          </w:r>
          <w:r>
            <w:fldChar w:fldCharType="end"/>
          </w:r>
          <w:r>
            <w:fldChar w:fldCharType="end"/>
          </w:r>
        </w:p>
        <w:p>
          <w:pPr>
            <w:pStyle w:val="21"/>
            <w:tabs>
              <w:tab w:val="right" w:leader="dot" w:pos="8306"/>
              <w:tab w:val="clear" w:pos="840"/>
              <w:tab w:val="clear" w:pos="8296"/>
            </w:tabs>
          </w:pPr>
          <w:r>
            <w:fldChar w:fldCharType="begin"/>
          </w:r>
          <w:r>
            <w:instrText xml:space="preserve"> HYPERLINK \l _Toc639730543 </w:instrText>
          </w:r>
          <w:r>
            <w:fldChar w:fldCharType="separate"/>
          </w:r>
          <w:r>
            <w:rPr>
              <w:rFonts w:ascii="Times New Roman" w:hAnsi="Times New Roman"/>
              <w:bCs/>
              <w:i w:val="0"/>
              <w:iCs w:val="0"/>
              <w:caps w:val="0"/>
              <w:smallCaps w:val="0"/>
              <w:strike w:val="0"/>
              <w:dstrike w:val="0"/>
              <w:vanish w:val="0"/>
              <w:spacing w:val="0"/>
              <w:position w:val="0"/>
              <w:szCs w:val="36"/>
              <w:vertAlign w:val="baseline"/>
              <w14:shadow w14:blurRad="0" w14:dist="0" w14:dir="0" w14:sx="0" w14:sy="0" w14:kx="0" w14:ky="0" w14:algn="none">
                <w14:srgbClr w14:val="000000"/>
              </w14:shadow>
            </w:rPr>
            <w:t xml:space="preserve">三、 </w:t>
          </w:r>
          <w:r>
            <w:rPr>
              <w:rFonts w:hint="eastAsia"/>
            </w:rPr>
            <w:t>统筹海洋经济发展空间格局</w:t>
          </w:r>
          <w:r>
            <w:tab/>
          </w:r>
          <w:r>
            <w:fldChar w:fldCharType="begin"/>
          </w:r>
          <w:r>
            <w:instrText xml:space="preserve"> PAGEREF _Toc639730543 </w:instrText>
          </w:r>
          <w:r>
            <w:fldChar w:fldCharType="separate"/>
          </w:r>
          <w:r>
            <w:t>10</w:t>
          </w:r>
          <w:r>
            <w:fldChar w:fldCharType="end"/>
          </w:r>
          <w:r>
            <w:fldChar w:fldCharType="end"/>
          </w:r>
        </w:p>
        <w:p>
          <w:pPr>
            <w:pStyle w:val="26"/>
            <w:tabs>
              <w:tab w:val="right" w:leader="dot" w:pos="8306"/>
              <w:tab w:val="clear" w:pos="1120"/>
              <w:tab w:val="clear" w:pos="8296"/>
            </w:tabs>
          </w:pPr>
          <w:r>
            <w:fldChar w:fldCharType="begin"/>
          </w:r>
          <w:r>
            <w:instrText xml:space="preserve"> HYPERLINK \l _Toc768759838 </w:instrText>
          </w:r>
          <w:r>
            <w:fldChar w:fldCharType="separate"/>
          </w:r>
          <w:r>
            <w:rPr>
              <w:lang w:bidi="zh-CN"/>
            </w:rPr>
            <w:t xml:space="preserve">(一) </w:t>
          </w:r>
          <w:r>
            <w:rPr>
              <w:rFonts w:hint="eastAsia"/>
              <w:lang w:eastAsia="zh-CN"/>
            </w:rPr>
            <w:t>两廊引领</w:t>
          </w:r>
          <w:r>
            <w:rPr>
              <w:rFonts w:hint="eastAsia"/>
            </w:rPr>
            <w:t>、重点汇聚</w:t>
          </w:r>
          <w:r>
            <w:tab/>
          </w:r>
          <w:r>
            <w:fldChar w:fldCharType="begin"/>
          </w:r>
          <w:r>
            <w:instrText xml:space="preserve"> PAGEREF _Toc768759838 </w:instrText>
          </w:r>
          <w:r>
            <w:fldChar w:fldCharType="separate"/>
          </w:r>
          <w:r>
            <w:t>10</w:t>
          </w:r>
          <w:r>
            <w:fldChar w:fldCharType="end"/>
          </w:r>
          <w:r>
            <w:fldChar w:fldCharType="end"/>
          </w:r>
        </w:p>
        <w:p>
          <w:pPr>
            <w:pStyle w:val="26"/>
            <w:tabs>
              <w:tab w:val="right" w:leader="dot" w:pos="8306"/>
              <w:tab w:val="clear" w:pos="1120"/>
              <w:tab w:val="clear" w:pos="8296"/>
            </w:tabs>
          </w:pPr>
          <w:r>
            <w:fldChar w:fldCharType="begin"/>
          </w:r>
          <w:r>
            <w:instrText xml:space="preserve"> HYPERLINK \l _Toc1474848867 </w:instrText>
          </w:r>
          <w:r>
            <w:fldChar w:fldCharType="separate"/>
          </w:r>
          <w:r>
            <w:rPr>
              <w:lang w:eastAsia="zh-CN" w:bidi="zh-CN"/>
            </w:rPr>
            <w:t xml:space="preserve">(二) </w:t>
          </w:r>
          <w:r>
            <w:rPr>
              <w:rFonts w:hint="eastAsia"/>
            </w:rPr>
            <w:t>四区</w:t>
          </w:r>
          <w:r>
            <w:rPr>
              <w:rFonts w:hint="eastAsia"/>
              <w:lang w:eastAsia="zh-CN"/>
            </w:rPr>
            <w:t>联动</w:t>
          </w:r>
          <w:r>
            <w:rPr>
              <w:rFonts w:hint="eastAsia"/>
            </w:rPr>
            <w:t>、</w:t>
          </w:r>
          <w:r>
            <w:rPr>
              <w:rFonts w:hint="eastAsia"/>
              <w:lang w:eastAsia="zh-CN"/>
            </w:rPr>
            <w:t>优势整合</w:t>
          </w:r>
          <w:r>
            <w:tab/>
          </w:r>
          <w:r>
            <w:fldChar w:fldCharType="begin"/>
          </w:r>
          <w:r>
            <w:instrText xml:space="preserve"> PAGEREF _Toc1474848867 </w:instrText>
          </w:r>
          <w:r>
            <w:fldChar w:fldCharType="separate"/>
          </w:r>
          <w:r>
            <w:t>12</w:t>
          </w:r>
          <w:r>
            <w:fldChar w:fldCharType="end"/>
          </w:r>
          <w:r>
            <w:fldChar w:fldCharType="end"/>
          </w:r>
        </w:p>
        <w:p>
          <w:pPr>
            <w:pStyle w:val="26"/>
            <w:tabs>
              <w:tab w:val="right" w:leader="dot" w:pos="8306"/>
              <w:tab w:val="clear" w:pos="1120"/>
              <w:tab w:val="clear" w:pos="8296"/>
            </w:tabs>
          </w:pPr>
          <w:r>
            <w:fldChar w:fldCharType="begin"/>
          </w:r>
          <w:r>
            <w:instrText xml:space="preserve"> HYPERLINK \l _Toc180107582 </w:instrText>
          </w:r>
          <w:r>
            <w:fldChar w:fldCharType="separate"/>
          </w:r>
          <w:r>
            <w:rPr>
              <w:lang w:bidi="zh-CN"/>
            </w:rPr>
            <w:t xml:space="preserve">(三) </w:t>
          </w:r>
          <w:r>
            <w:rPr>
              <w:rFonts w:hint="eastAsia"/>
            </w:rPr>
            <w:t>全域支撑、引陆下海</w:t>
          </w:r>
          <w:r>
            <w:tab/>
          </w:r>
          <w:r>
            <w:fldChar w:fldCharType="begin"/>
          </w:r>
          <w:r>
            <w:instrText xml:space="preserve"> PAGEREF _Toc180107582 </w:instrText>
          </w:r>
          <w:r>
            <w:fldChar w:fldCharType="separate"/>
          </w:r>
          <w:r>
            <w:t>14</w:t>
          </w:r>
          <w:r>
            <w:fldChar w:fldCharType="end"/>
          </w:r>
          <w:r>
            <w:fldChar w:fldCharType="end"/>
          </w:r>
        </w:p>
        <w:p>
          <w:pPr>
            <w:pStyle w:val="21"/>
            <w:tabs>
              <w:tab w:val="right" w:leader="dot" w:pos="8306"/>
              <w:tab w:val="clear" w:pos="840"/>
              <w:tab w:val="clear" w:pos="8296"/>
            </w:tabs>
          </w:pPr>
          <w:r>
            <w:fldChar w:fldCharType="begin"/>
          </w:r>
          <w:r>
            <w:instrText xml:space="preserve"> HYPERLINK \l _Toc832298533 </w:instrText>
          </w:r>
          <w:r>
            <w:fldChar w:fldCharType="separate"/>
          </w:r>
          <w:r>
            <w:rPr>
              <w:rFonts w:ascii="Times New Roman" w:hAnsi="Times New Roman"/>
              <w:bCs/>
              <w:i w:val="0"/>
              <w:iCs w:val="0"/>
              <w:caps w:val="0"/>
              <w:smallCaps w:val="0"/>
              <w:strike w:val="0"/>
              <w:dstrike w:val="0"/>
              <w:vanish w:val="0"/>
              <w:spacing w:val="0"/>
              <w:position w:val="0"/>
              <w:szCs w:val="36"/>
              <w:vertAlign w:val="baseline"/>
              <w14:shadow w14:blurRad="0" w14:dist="0" w14:dir="0" w14:sx="0" w14:sy="0" w14:kx="0" w14:ky="0" w14:algn="none">
                <w14:srgbClr w14:val="000000"/>
              </w14:shadow>
            </w:rPr>
            <w:t xml:space="preserve">四、 </w:t>
          </w:r>
          <w:r>
            <w:rPr>
              <w:rFonts w:hint="eastAsia"/>
            </w:rPr>
            <w:t>汇聚资源践行先行示范</w:t>
          </w:r>
          <w:r>
            <w:tab/>
          </w:r>
          <w:r>
            <w:fldChar w:fldCharType="begin"/>
          </w:r>
          <w:r>
            <w:instrText xml:space="preserve"> PAGEREF _Toc832298533 </w:instrText>
          </w:r>
          <w:r>
            <w:fldChar w:fldCharType="separate"/>
          </w:r>
          <w:r>
            <w:t>14</w:t>
          </w:r>
          <w:r>
            <w:fldChar w:fldCharType="end"/>
          </w:r>
          <w:r>
            <w:fldChar w:fldCharType="end"/>
          </w:r>
        </w:p>
        <w:p>
          <w:pPr>
            <w:pStyle w:val="26"/>
            <w:tabs>
              <w:tab w:val="right" w:leader="dot" w:pos="8306"/>
              <w:tab w:val="clear" w:pos="1120"/>
              <w:tab w:val="clear" w:pos="8296"/>
            </w:tabs>
          </w:pPr>
          <w:r>
            <w:fldChar w:fldCharType="begin"/>
          </w:r>
          <w:r>
            <w:instrText xml:space="preserve"> HYPERLINK \l _Toc1670933795 </w:instrText>
          </w:r>
          <w:r>
            <w:fldChar w:fldCharType="separate"/>
          </w:r>
          <w:r>
            <w:rPr>
              <w:lang w:bidi="zh-CN"/>
            </w:rPr>
            <w:t xml:space="preserve">(一) </w:t>
          </w:r>
          <w:r>
            <w:rPr>
              <w:rFonts w:hint="eastAsia"/>
              <w:lang w:eastAsia="zh-CN"/>
            </w:rPr>
            <w:t>重点建设海洋大学，吸引全球高端复合人才集聚</w:t>
          </w:r>
          <w:r>
            <w:tab/>
          </w:r>
          <w:r>
            <w:fldChar w:fldCharType="begin"/>
          </w:r>
          <w:r>
            <w:instrText xml:space="preserve"> PAGEREF _Toc1670933795 </w:instrText>
          </w:r>
          <w:r>
            <w:fldChar w:fldCharType="separate"/>
          </w:r>
          <w:r>
            <w:t>14</w:t>
          </w:r>
          <w:r>
            <w:fldChar w:fldCharType="end"/>
          </w:r>
          <w:r>
            <w:fldChar w:fldCharType="end"/>
          </w:r>
        </w:p>
        <w:p>
          <w:pPr>
            <w:pStyle w:val="26"/>
            <w:tabs>
              <w:tab w:val="right" w:leader="dot" w:pos="8306"/>
              <w:tab w:val="clear" w:pos="1120"/>
              <w:tab w:val="clear" w:pos="8296"/>
            </w:tabs>
          </w:pPr>
          <w:r>
            <w:fldChar w:fldCharType="begin"/>
          </w:r>
          <w:r>
            <w:instrText xml:space="preserve"> HYPERLINK \l _Toc1423838560 </w:instrText>
          </w:r>
          <w:r>
            <w:fldChar w:fldCharType="separate"/>
          </w:r>
          <w:r>
            <w:rPr>
              <w:lang w:bidi="zh-CN"/>
            </w:rPr>
            <w:t xml:space="preserve">(二) </w:t>
          </w:r>
          <w:r>
            <w:rPr>
              <w:rFonts w:hint="eastAsia"/>
              <w:lang w:eastAsia="zh-CN"/>
            </w:rPr>
            <w:t>加快组建深海科考中心，推动深海技术集成创新</w:t>
          </w:r>
          <w:r>
            <w:tab/>
          </w:r>
          <w:r>
            <w:fldChar w:fldCharType="begin"/>
          </w:r>
          <w:r>
            <w:instrText xml:space="preserve"> PAGEREF _Toc1423838560 </w:instrText>
          </w:r>
          <w:r>
            <w:fldChar w:fldCharType="separate"/>
          </w:r>
          <w:r>
            <w:t>16</w:t>
          </w:r>
          <w:r>
            <w:fldChar w:fldCharType="end"/>
          </w:r>
          <w:r>
            <w:fldChar w:fldCharType="end"/>
          </w:r>
        </w:p>
        <w:p>
          <w:pPr>
            <w:pStyle w:val="26"/>
            <w:tabs>
              <w:tab w:val="right" w:leader="dot" w:pos="8306"/>
              <w:tab w:val="clear" w:pos="1120"/>
              <w:tab w:val="clear" w:pos="8296"/>
            </w:tabs>
          </w:pPr>
          <w:r>
            <w:fldChar w:fldCharType="begin"/>
          </w:r>
          <w:r>
            <w:instrText xml:space="preserve"> HYPERLINK \l _Toc979417156 </w:instrText>
          </w:r>
          <w:r>
            <w:fldChar w:fldCharType="separate"/>
          </w:r>
          <w:r>
            <w:rPr>
              <w:lang w:bidi="zh-CN"/>
            </w:rPr>
            <w:t xml:space="preserve">(三) </w:t>
          </w:r>
          <w:r>
            <w:rPr>
              <w:rFonts w:hint="eastAsia"/>
            </w:rPr>
            <w:t>探索设立国际海洋开发银行，推进高端金融服务提升</w:t>
          </w:r>
          <w:r>
            <w:tab/>
          </w:r>
          <w:r>
            <w:fldChar w:fldCharType="begin"/>
          </w:r>
          <w:r>
            <w:instrText xml:space="preserve"> PAGEREF _Toc979417156 </w:instrText>
          </w:r>
          <w:r>
            <w:fldChar w:fldCharType="separate"/>
          </w:r>
          <w:r>
            <w:t>16</w:t>
          </w:r>
          <w:r>
            <w:fldChar w:fldCharType="end"/>
          </w:r>
          <w:r>
            <w:fldChar w:fldCharType="end"/>
          </w:r>
        </w:p>
        <w:p>
          <w:pPr>
            <w:pStyle w:val="21"/>
            <w:tabs>
              <w:tab w:val="right" w:leader="dot" w:pos="8306"/>
              <w:tab w:val="clear" w:pos="840"/>
              <w:tab w:val="clear" w:pos="8296"/>
            </w:tabs>
          </w:pPr>
          <w:r>
            <w:fldChar w:fldCharType="begin"/>
          </w:r>
          <w:r>
            <w:instrText xml:space="preserve"> HYPERLINK \l _Toc667286357 </w:instrText>
          </w:r>
          <w:r>
            <w:fldChar w:fldCharType="separate"/>
          </w:r>
          <w:r>
            <w:rPr>
              <w:rFonts w:ascii="Times New Roman" w:hAnsi="Times New Roman"/>
              <w:bCs/>
              <w:i w:val="0"/>
              <w:iCs w:val="0"/>
              <w:caps w:val="0"/>
              <w:smallCaps w:val="0"/>
              <w:strike w:val="0"/>
              <w:dstrike w:val="0"/>
              <w:vanish w:val="0"/>
              <w:spacing w:val="0"/>
              <w:position w:val="0"/>
              <w:szCs w:val="36"/>
              <w:vertAlign w:val="baseline"/>
              <w14:shadow w14:blurRad="0" w14:dist="0" w14:dir="0" w14:sx="0" w14:sy="0" w14:kx="0" w14:ky="0" w14:algn="none">
                <w14:srgbClr w14:val="000000"/>
              </w14:shadow>
            </w:rPr>
            <w:t xml:space="preserve">五、 </w:t>
          </w:r>
          <w:r>
            <w:rPr>
              <w:rFonts w:hint="eastAsia"/>
            </w:rPr>
            <w:t>完善海洋科技创新生态链</w:t>
          </w:r>
          <w:r>
            <w:tab/>
          </w:r>
          <w:r>
            <w:fldChar w:fldCharType="begin"/>
          </w:r>
          <w:r>
            <w:instrText xml:space="preserve"> PAGEREF _Toc667286357 </w:instrText>
          </w:r>
          <w:r>
            <w:fldChar w:fldCharType="separate"/>
          </w:r>
          <w:r>
            <w:t>17</w:t>
          </w:r>
          <w:r>
            <w:fldChar w:fldCharType="end"/>
          </w:r>
          <w:r>
            <w:fldChar w:fldCharType="end"/>
          </w:r>
        </w:p>
        <w:p>
          <w:pPr>
            <w:pStyle w:val="26"/>
            <w:tabs>
              <w:tab w:val="right" w:leader="dot" w:pos="8306"/>
              <w:tab w:val="clear" w:pos="1120"/>
              <w:tab w:val="clear" w:pos="8296"/>
            </w:tabs>
          </w:pPr>
          <w:r>
            <w:fldChar w:fldCharType="begin"/>
          </w:r>
          <w:r>
            <w:instrText xml:space="preserve"> HYPERLINK \l _Toc707206055 </w:instrText>
          </w:r>
          <w:r>
            <w:fldChar w:fldCharType="separate"/>
          </w:r>
          <w:r>
            <w:rPr>
              <w:lang w:bidi="zh-CN"/>
            </w:rPr>
            <w:t xml:space="preserve">(一) </w:t>
          </w:r>
          <w:r>
            <w:rPr>
              <w:rFonts w:hint="eastAsia"/>
              <w:lang w:eastAsia="zh-CN"/>
            </w:rPr>
            <w:t>聚焦海洋</w:t>
          </w:r>
          <w:r>
            <w:rPr>
              <w:rFonts w:hint="eastAsia"/>
            </w:rPr>
            <w:t>关键技术攻坚</w:t>
          </w:r>
          <w:r>
            <w:tab/>
          </w:r>
          <w:r>
            <w:fldChar w:fldCharType="begin"/>
          </w:r>
          <w:r>
            <w:instrText xml:space="preserve"> PAGEREF _Toc707206055 </w:instrText>
          </w:r>
          <w:r>
            <w:fldChar w:fldCharType="separate"/>
          </w:r>
          <w:r>
            <w:t>17</w:t>
          </w:r>
          <w:r>
            <w:fldChar w:fldCharType="end"/>
          </w:r>
          <w:r>
            <w:fldChar w:fldCharType="end"/>
          </w:r>
        </w:p>
        <w:p>
          <w:pPr>
            <w:pStyle w:val="26"/>
            <w:tabs>
              <w:tab w:val="right" w:leader="dot" w:pos="8306"/>
              <w:tab w:val="clear" w:pos="1120"/>
              <w:tab w:val="clear" w:pos="8296"/>
            </w:tabs>
          </w:pPr>
          <w:r>
            <w:fldChar w:fldCharType="begin"/>
          </w:r>
          <w:r>
            <w:instrText xml:space="preserve"> HYPERLINK \l _Toc355802041 </w:instrText>
          </w:r>
          <w:r>
            <w:fldChar w:fldCharType="separate"/>
          </w:r>
          <w:r>
            <w:rPr>
              <w:lang w:eastAsia="zh-CN" w:bidi="zh-CN"/>
            </w:rPr>
            <w:t xml:space="preserve">(二) </w:t>
          </w:r>
          <w:r>
            <w:rPr>
              <w:rFonts w:hint="eastAsia"/>
              <w:lang w:eastAsia="zh-CN"/>
            </w:rPr>
            <w:t>加强</w:t>
          </w:r>
          <w:r>
            <w:rPr>
              <w:rFonts w:hint="eastAsia"/>
            </w:rPr>
            <w:t>海洋科技</w:t>
          </w:r>
          <w:r>
            <w:rPr>
              <w:rFonts w:hint="eastAsia"/>
              <w:lang w:eastAsia="zh-CN"/>
            </w:rPr>
            <w:t>成果转化综合服务</w:t>
          </w:r>
          <w:r>
            <w:tab/>
          </w:r>
          <w:r>
            <w:fldChar w:fldCharType="begin"/>
          </w:r>
          <w:r>
            <w:instrText xml:space="preserve"> PAGEREF _Toc355802041 </w:instrText>
          </w:r>
          <w:r>
            <w:fldChar w:fldCharType="separate"/>
          </w:r>
          <w:r>
            <w:t>18</w:t>
          </w:r>
          <w:r>
            <w:fldChar w:fldCharType="end"/>
          </w:r>
          <w:r>
            <w:fldChar w:fldCharType="end"/>
          </w:r>
        </w:p>
        <w:p>
          <w:pPr>
            <w:pStyle w:val="26"/>
            <w:tabs>
              <w:tab w:val="right" w:leader="dot" w:pos="8306"/>
              <w:tab w:val="clear" w:pos="1120"/>
              <w:tab w:val="clear" w:pos="8296"/>
            </w:tabs>
          </w:pPr>
          <w:r>
            <w:fldChar w:fldCharType="begin"/>
          </w:r>
          <w:r>
            <w:instrText xml:space="preserve"> HYPERLINK \l _Toc1040893963 </w:instrText>
          </w:r>
          <w:r>
            <w:fldChar w:fldCharType="separate"/>
          </w:r>
          <w:r>
            <w:rPr>
              <w:lang w:bidi="zh-CN"/>
            </w:rPr>
            <w:t xml:space="preserve">(三) </w:t>
          </w:r>
          <w:r>
            <w:rPr>
              <w:rFonts w:hint="eastAsia"/>
            </w:rPr>
            <w:t>完善科技创新</w:t>
          </w:r>
          <w:r>
            <w:rPr>
              <w:rFonts w:hint="eastAsia"/>
              <w:lang w:eastAsia="zh-CN"/>
            </w:rPr>
            <w:t>重大基础设施</w:t>
          </w:r>
          <w:r>
            <w:tab/>
          </w:r>
          <w:r>
            <w:fldChar w:fldCharType="begin"/>
          </w:r>
          <w:r>
            <w:instrText xml:space="preserve"> PAGEREF _Toc1040893963 </w:instrText>
          </w:r>
          <w:r>
            <w:fldChar w:fldCharType="separate"/>
          </w:r>
          <w:r>
            <w:t>19</w:t>
          </w:r>
          <w:r>
            <w:fldChar w:fldCharType="end"/>
          </w:r>
          <w:r>
            <w:fldChar w:fldCharType="end"/>
          </w:r>
        </w:p>
        <w:p>
          <w:pPr>
            <w:pStyle w:val="21"/>
            <w:tabs>
              <w:tab w:val="right" w:leader="dot" w:pos="8306"/>
              <w:tab w:val="clear" w:pos="840"/>
              <w:tab w:val="clear" w:pos="8296"/>
            </w:tabs>
          </w:pPr>
          <w:r>
            <w:fldChar w:fldCharType="begin"/>
          </w:r>
          <w:r>
            <w:instrText xml:space="preserve"> HYPERLINK \l _Toc575930570 </w:instrText>
          </w:r>
          <w:r>
            <w:fldChar w:fldCharType="separate"/>
          </w:r>
          <w:r>
            <w:rPr>
              <w:rFonts w:ascii="Times New Roman" w:hAnsi="Times New Roman"/>
              <w:bCs/>
              <w:i w:val="0"/>
              <w:iCs w:val="0"/>
              <w:caps w:val="0"/>
              <w:smallCaps w:val="0"/>
              <w:strike w:val="0"/>
              <w:dstrike w:val="0"/>
              <w:vanish w:val="0"/>
              <w:spacing w:val="0"/>
              <w:position w:val="0"/>
              <w:szCs w:val="36"/>
              <w:vertAlign w:val="baseline"/>
              <w14:shadow w14:blurRad="0" w14:dist="0" w14:dir="0" w14:sx="0" w14:sy="0" w14:kx="0" w14:ky="0" w14:algn="none">
                <w14:srgbClr w14:val="000000"/>
              </w14:shadow>
            </w:rPr>
            <w:t xml:space="preserve">六、 </w:t>
          </w:r>
          <w:r>
            <w:rPr>
              <w:rFonts w:hint="eastAsia"/>
            </w:rPr>
            <w:t>培育海洋新兴产业新动能</w:t>
          </w:r>
          <w:r>
            <w:tab/>
          </w:r>
          <w:r>
            <w:fldChar w:fldCharType="begin"/>
          </w:r>
          <w:r>
            <w:instrText xml:space="preserve"> PAGEREF _Toc575930570 </w:instrText>
          </w:r>
          <w:r>
            <w:fldChar w:fldCharType="separate"/>
          </w:r>
          <w:r>
            <w:t>20</w:t>
          </w:r>
          <w:r>
            <w:fldChar w:fldCharType="end"/>
          </w:r>
          <w:r>
            <w:fldChar w:fldCharType="end"/>
          </w:r>
        </w:p>
        <w:p>
          <w:pPr>
            <w:pStyle w:val="26"/>
            <w:tabs>
              <w:tab w:val="right" w:leader="dot" w:pos="8306"/>
              <w:tab w:val="clear" w:pos="1120"/>
              <w:tab w:val="clear" w:pos="8296"/>
            </w:tabs>
          </w:pPr>
          <w:r>
            <w:fldChar w:fldCharType="begin"/>
          </w:r>
          <w:r>
            <w:instrText xml:space="preserve"> HYPERLINK \l _Toc693783295 </w:instrText>
          </w:r>
          <w:r>
            <w:fldChar w:fldCharType="separate"/>
          </w:r>
          <w:r>
            <w:rPr>
              <w:lang w:bidi="zh-CN"/>
            </w:rPr>
            <w:t xml:space="preserve">(一) </w:t>
          </w:r>
          <w:r>
            <w:rPr>
              <w:rFonts w:hint="eastAsia"/>
            </w:rPr>
            <w:t>大力</w:t>
          </w:r>
          <w:r>
            <w:rPr>
              <w:rFonts w:hint="eastAsia"/>
              <w:lang w:eastAsia="zh-CN"/>
            </w:rPr>
            <w:t>发展海洋</w:t>
          </w:r>
          <w:r>
            <w:rPr>
              <w:rFonts w:hint="eastAsia"/>
            </w:rPr>
            <w:t>电子信息产业</w:t>
          </w:r>
          <w:r>
            <w:tab/>
          </w:r>
          <w:r>
            <w:fldChar w:fldCharType="begin"/>
          </w:r>
          <w:r>
            <w:instrText xml:space="preserve"> PAGEREF _Toc693783295 </w:instrText>
          </w:r>
          <w:r>
            <w:fldChar w:fldCharType="separate"/>
          </w:r>
          <w:r>
            <w:t>21</w:t>
          </w:r>
          <w:r>
            <w:fldChar w:fldCharType="end"/>
          </w:r>
          <w:r>
            <w:fldChar w:fldCharType="end"/>
          </w:r>
        </w:p>
        <w:p>
          <w:pPr>
            <w:pStyle w:val="26"/>
            <w:tabs>
              <w:tab w:val="right" w:leader="dot" w:pos="8306"/>
              <w:tab w:val="clear" w:pos="1120"/>
              <w:tab w:val="clear" w:pos="8296"/>
            </w:tabs>
          </w:pPr>
          <w:r>
            <w:fldChar w:fldCharType="begin"/>
          </w:r>
          <w:r>
            <w:instrText xml:space="preserve"> HYPERLINK \l _Toc1122071360 </w:instrText>
          </w:r>
          <w:r>
            <w:fldChar w:fldCharType="separate"/>
          </w:r>
          <w:r>
            <w:rPr>
              <w:lang w:bidi="zh-CN"/>
            </w:rPr>
            <w:t xml:space="preserve">(二) </w:t>
          </w:r>
          <w:r>
            <w:rPr>
              <w:rFonts w:hint="eastAsia"/>
            </w:rPr>
            <w:t>推进海洋工程</w:t>
          </w:r>
          <w:r>
            <w:rPr>
              <w:rFonts w:hint="eastAsia"/>
              <w:lang w:eastAsia="zh-CN"/>
            </w:rPr>
            <w:t>和</w:t>
          </w:r>
          <w:r>
            <w:rPr>
              <w:rFonts w:hint="eastAsia"/>
            </w:rPr>
            <w:t>装备业智能化</w:t>
          </w:r>
          <w:r>
            <w:tab/>
          </w:r>
          <w:r>
            <w:fldChar w:fldCharType="begin"/>
          </w:r>
          <w:r>
            <w:instrText xml:space="preserve"> PAGEREF _Toc1122071360 </w:instrText>
          </w:r>
          <w:r>
            <w:fldChar w:fldCharType="separate"/>
          </w:r>
          <w:r>
            <w:t>22</w:t>
          </w:r>
          <w:r>
            <w:fldChar w:fldCharType="end"/>
          </w:r>
          <w:r>
            <w:fldChar w:fldCharType="end"/>
          </w:r>
        </w:p>
        <w:p>
          <w:pPr>
            <w:pStyle w:val="26"/>
            <w:tabs>
              <w:tab w:val="right" w:leader="dot" w:pos="8306"/>
              <w:tab w:val="clear" w:pos="1120"/>
              <w:tab w:val="clear" w:pos="8296"/>
            </w:tabs>
          </w:pPr>
          <w:r>
            <w:fldChar w:fldCharType="begin"/>
          </w:r>
          <w:r>
            <w:instrText xml:space="preserve"> HYPERLINK \l _Toc586742011 </w:instrText>
          </w:r>
          <w:r>
            <w:fldChar w:fldCharType="separate"/>
          </w:r>
          <w:r>
            <w:rPr>
              <w:lang w:bidi="zh-CN"/>
            </w:rPr>
            <w:t xml:space="preserve">(三) </w:t>
          </w:r>
          <w:r>
            <w:rPr>
              <w:rFonts w:hint="eastAsia"/>
              <w:lang w:eastAsia="zh-CN"/>
            </w:rPr>
            <w:t>提升</w:t>
          </w:r>
          <w:r>
            <w:rPr>
              <w:rFonts w:hint="eastAsia"/>
            </w:rPr>
            <w:t>海洋生物医药产业</w:t>
          </w:r>
          <w:r>
            <w:rPr>
              <w:rFonts w:hint="eastAsia"/>
              <w:lang w:eastAsia="zh-CN"/>
            </w:rPr>
            <w:t>竞争力</w:t>
          </w:r>
          <w:r>
            <w:tab/>
          </w:r>
          <w:r>
            <w:fldChar w:fldCharType="begin"/>
          </w:r>
          <w:r>
            <w:instrText xml:space="preserve"> PAGEREF _Toc586742011 </w:instrText>
          </w:r>
          <w:r>
            <w:fldChar w:fldCharType="separate"/>
          </w:r>
          <w:r>
            <w:t>23</w:t>
          </w:r>
          <w:r>
            <w:fldChar w:fldCharType="end"/>
          </w:r>
          <w:r>
            <w:fldChar w:fldCharType="end"/>
          </w:r>
        </w:p>
        <w:p>
          <w:pPr>
            <w:pStyle w:val="26"/>
            <w:tabs>
              <w:tab w:val="right" w:leader="dot" w:pos="8306"/>
              <w:tab w:val="clear" w:pos="1120"/>
              <w:tab w:val="clear" w:pos="8296"/>
            </w:tabs>
          </w:pPr>
          <w:r>
            <w:fldChar w:fldCharType="begin"/>
          </w:r>
          <w:r>
            <w:instrText xml:space="preserve"> HYPERLINK \l _Toc1401541317 </w:instrText>
          </w:r>
          <w:r>
            <w:fldChar w:fldCharType="separate"/>
          </w:r>
          <w:r>
            <w:rPr>
              <w:lang w:bidi="zh-CN"/>
            </w:rPr>
            <w:t xml:space="preserve">(四) </w:t>
          </w:r>
          <w:r>
            <w:rPr>
              <w:rFonts w:hint="eastAsia"/>
              <w:lang w:eastAsia="zh-CN"/>
            </w:rPr>
            <w:t>积极发展海洋新能源产业</w:t>
          </w:r>
          <w:r>
            <w:tab/>
          </w:r>
          <w:r>
            <w:fldChar w:fldCharType="begin"/>
          </w:r>
          <w:r>
            <w:instrText xml:space="preserve"> PAGEREF _Toc1401541317 </w:instrText>
          </w:r>
          <w:r>
            <w:fldChar w:fldCharType="separate"/>
          </w:r>
          <w:r>
            <w:t>25</w:t>
          </w:r>
          <w:r>
            <w:fldChar w:fldCharType="end"/>
          </w:r>
          <w:r>
            <w:fldChar w:fldCharType="end"/>
          </w:r>
        </w:p>
        <w:p>
          <w:pPr>
            <w:pStyle w:val="21"/>
            <w:tabs>
              <w:tab w:val="right" w:leader="dot" w:pos="8306"/>
              <w:tab w:val="clear" w:pos="840"/>
              <w:tab w:val="clear" w:pos="8296"/>
            </w:tabs>
          </w:pPr>
          <w:r>
            <w:fldChar w:fldCharType="begin"/>
          </w:r>
          <w:r>
            <w:instrText xml:space="preserve"> HYPERLINK \l _Toc1580601197 </w:instrText>
          </w:r>
          <w:r>
            <w:fldChar w:fldCharType="separate"/>
          </w:r>
          <w:r>
            <w:rPr>
              <w:rFonts w:ascii="Times New Roman" w:hAnsi="Times New Roman"/>
              <w:bCs/>
              <w:i w:val="0"/>
              <w:iCs w:val="0"/>
              <w:caps w:val="0"/>
              <w:smallCaps w:val="0"/>
              <w:strike w:val="0"/>
              <w:dstrike w:val="0"/>
              <w:vanish w:val="0"/>
              <w:spacing w:val="0"/>
              <w:position w:val="0"/>
              <w:szCs w:val="36"/>
              <w:vertAlign w:val="baseline"/>
              <w14:shadow w14:blurRad="0" w14:dist="0" w14:dir="0" w14:sx="0" w14:sy="0" w14:kx="0" w14:ky="0" w14:algn="none">
                <w14:srgbClr w14:val="000000"/>
              </w14:shadow>
            </w:rPr>
            <w:t xml:space="preserve">七、 </w:t>
          </w:r>
          <w:r>
            <w:rPr>
              <w:rFonts w:hint="eastAsia"/>
            </w:rPr>
            <w:t>促进海洋传统产业高质量发展</w:t>
          </w:r>
          <w:r>
            <w:tab/>
          </w:r>
          <w:r>
            <w:fldChar w:fldCharType="begin"/>
          </w:r>
          <w:r>
            <w:instrText xml:space="preserve"> PAGEREF _Toc1580601197 </w:instrText>
          </w:r>
          <w:r>
            <w:fldChar w:fldCharType="separate"/>
          </w:r>
          <w:r>
            <w:t>26</w:t>
          </w:r>
          <w:r>
            <w:fldChar w:fldCharType="end"/>
          </w:r>
          <w:r>
            <w:fldChar w:fldCharType="end"/>
          </w:r>
        </w:p>
        <w:p>
          <w:pPr>
            <w:pStyle w:val="26"/>
            <w:tabs>
              <w:tab w:val="right" w:leader="dot" w:pos="8306"/>
              <w:tab w:val="clear" w:pos="1120"/>
              <w:tab w:val="clear" w:pos="8296"/>
            </w:tabs>
          </w:pPr>
          <w:r>
            <w:fldChar w:fldCharType="begin"/>
          </w:r>
          <w:r>
            <w:instrText xml:space="preserve"> HYPERLINK \l _Toc1551175563 </w:instrText>
          </w:r>
          <w:r>
            <w:fldChar w:fldCharType="separate"/>
          </w:r>
          <w:r>
            <w:rPr>
              <w:lang w:bidi="zh-CN"/>
            </w:rPr>
            <w:t xml:space="preserve">(一) </w:t>
          </w:r>
          <w:r>
            <w:rPr>
              <w:rFonts w:hint="eastAsia"/>
            </w:rPr>
            <w:t>推动</w:t>
          </w:r>
          <w:r>
            <w:rPr>
              <w:rFonts w:hint="eastAsia"/>
              <w:lang w:eastAsia="zh-CN"/>
            </w:rPr>
            <w:t>港口</w:t>
          </w:r>
          <w:r>
            <w:rPr>
              <w:rFonts w:hint="eastAsia"/>
            </w:rPr>
            <w:t>航运</w:t>
          </w:r>
          <w:r>
            <w:rPr>
              <w:rFonts w:hint="eastAsia"/>
              <w:lang w:eastAsia="zh-CN"/>
            </w:rPr>
            <w:t>提质增效</w:t>
          </w:r>
          <w:r>
            <w:tab/>
          </w:r>
          <w:r>
            <w:fldChar w:fldCharType="begin"/>
          </w:r>
          <w:r>
            <w:instrText xml:space="preserve"> PAGEREF _Toc1551175563 </w:instrText>
          </w:r>
          <w:r>
            <w:fldChar w:fldCharType="separate"/>
          </w:r>
          <w:r>
            <w:t>26</w:t>
          </w:r>
          <w:r>
            <w:fldChar w:fldCharType="end"/>
          </w:r>
          <w:r>
            <w:fldChar w:fldCharType="end"/>
          </w:r>
        </w:p>
        <w:p>
          <w:pPr>
            <w:pStyle w:val="26"/>
            <w:tabs>
              <w:tab w:val="right" w:leader="dot" w:pos="8306"/>
              <w:tab w:val="clear" w:pos="1120"/>
              <w:tab w:val="clear" w:pos="8296"/>
            </w:tabs>
          </w:pPr>
          <w:r>
            <w:fldChar w:fldCharType="begin"/>
          </w:r>
          <w:r>
            <w:instrText xml:space="preserve"> HYPERLINK \l _Toc1069692169 </w:instrText>
          </w:r>
          <w:r>
            <w:fldChar w:fldCharType="separate"/>
          </w:r>
          <w:r>
            <w:rPr>
              <w:lang w:bidi="zh-CN"/>
            </w:rPr>
            <w:t xml:space="preserve">(二) </w:t>
          </w:r>
          <w:r>
            <w:rPr>
              <w:rFonts w:hint="eastAsia"/>
            </w:rPr>
            <w:t>推进</w:t>
          </w:r>
          <w:r>
            <w:rPr>
              <w:rFonts w:hint="eastAsia"/>
              <w:lang w:eastAsia="zh-CN"/>
            </w:rPr>
            <w:t>滨海旅游和</w:t>
          </w:r>
          <w:r>
            <w:rPr>
              <w:rFonts w:hint="eastAsia"/>
              <w:lang w:val="en-US" w:eastAsia="zh-CN"/>
            </w:rPr>
            <w:t>海洋</w:t>
          </w:r>
          <w:r>
            <w:rPr>
              <w:rFonts w:hint="eastAsia"/>
              <w:lang w:eastAsia="zh-CN"/>
            </w:rPr>
            <w:t>文化</w:t>
          </w:r>
          <w:r>
            <w:rPr>
              <w:rFonts w:hint="eastAsia"/>
              <w:lang w:val="en-US" w:eastAsia="zh-CN"/>
            </w:rPr>
            <w:t>体育</w:t>
          </w:r>
          <w:r>
            <w:rPr>
              <w:rFonts w:hint="eastAsia"/>
            </w:rPr>
            <w:t>发展</w:t>
          </w:r>
          <w:r>
            <w:tab/>
          </w:r>
          <w:r>
            <w:fldChar w:fldCharType="begin"/>
          </w:r>
          <w:r>
            <w:instrText xml:space="preserve"> PAGEREF _Toc1069692169 </w:instrText>
          </w:r>
          <w:r>
            <w:fldChar w:fldCharType="separate"/>
          </w:r>
          <w:r>
            <w:t>28</w:t>
          </w:r>
          <w:r>
            <w:fldChar w:fldCharType="end"/>
          </w:r>
          <w:r>
            <w:fldChar w:fldCharType="end"/>
          </w:r>
        </w:p>
        <w:p>
          <w:pPr>
            <w:pStyle w:val="26"/>
            <w:tabs>
              <w:tab w:val="right" w:leader="dot" w:pos="8306"/>
              <w:tab w:val="clear" w:pos="1120"/>
              <w:tab w:val="clear" w:pos="8296"/>
            </w:tabs>
          </w:pPr>
          <w:r>
            <w:fldChar w:fldCharType="begin"/>
          </w:r>
          <w:r>
            <w:instrText xml:space="preserve"> HYPERLINK \l _Toc2140391627 </w:instrText>
          </w:r>
          <w:r>
            <w:fldChar w:fldCharType="separate"/>
          </w:r>
          <w:r>
            <w:rPr>
              <w:lang w:bidi="zh-CN"/>
            </w:rPr>
            <w:t xml:space="preserve">(三) </w:t>
          </w:r>
          <w:r>
            <w:rPr>
              <w:rFonts w:hint="eastAsia"/>
              <w:lang w:eastAsia="zh-CN"/>
            </w:rPr>
            <w:t>提升</w:t>
          </w:r>
          <w:r>
            <w:rPr>
              <w:rFonts w:hint="eastAsia"/>
            </w:rPr>
            <w:t>海洋</w:t>
          </w:r>
          <w:r>
            <w:rPr>
              <w:rFonts w:hint="eastAsia"/>
              <w:lang w:eastAsia="zh-CN"/>
            </w:rPr>
            <w:t>油气和矿产资源</w:t>
          </w:r>
          <w:r>
            <w:rPr>
              <w:rFonts w:hint="eastAsia"/>
            </w:rPr>
            <w:t>开发</w:t>
          </w:r>
          <w:r>
            <w:rPr>
              <w:rFonts w:hint="eastAsia"/>
              <w:lang w:eastAsia="zh-CN"/>
            </w:rPr>
            <w:t>能力</w:t>
          </w:r>
          <w:r>
            <w:tab/>
          </w:r>
          <w:r>
            <w:fldChar w:fldCharType="begin"/>
          </w:r>
          <w:r>
            <w:instrText xml:space="preserve"> PAGEREF _Toc2140391627 </w:instrText>
          </w:r>
          <w:r>
            <w:fldChar w:fldCharType="separate"/>
          </w:r>
          <w:r>
            <w:t>31</w:t>
          </w:r>
          <w:r>
            <w:fldChar w:fldCharType="end"/>
          </w:r>
          <w:r>
            <w:fldChar w:fldCharType="end"/>
          </w:r>
        </w:p>
        <w:p>
          <w:pPr>
            <w:pStyle w:val="26"/>
            <w:tabs>
              <w:tab w:val="right" w:leader="dot" w:pos="8306"/>
              <w:tab w:val="clear" w:pos="1120"/>
              <w:tab w:val="clear" w:pos="8296"/>
            </w:tabs>
          </w:pPr>
          <w:r>
            <w:fldChar w:fldCharType="begin"/>
          </w:r>
          <w:r>
            <w:instrText xml:space="preserve"> HYPERLINK \l _Toc1217645774 </w:instrText>
          </w:r>
          <w:r>
            <w:fldChar w:fldCharType="separate"/>
          </w:r>
          <w:r>
            <w:rPr>
              <w:lang w:bidi="zh-CN"/>
            </w:rPr>
            <w:t xml:space="preserve">(四) </w:t>
          </w:r>
          <w:r>
            <w:rPr>
              <w:rFonts w:hint="eastAsia"/>
            </w:rPr>
            <w:t>加快海洋渔业转型升级</w:t>
          </w:r>
          <w:r>
            <w:tab/>
          </w:r>
          <w:r>
            <w:fldChar w:fldCharType="begin"/>
          </w:r>
          <w:r>
            <w:instrText xml:space="preserve"> PAGEREF _Toc1217645774 </w:instrText>
          </w:r>
          <w:r>
            <w:fldChar w:fldCharType="separate"/>
          </w:r>
          <w:r>
            <w:t>32</w:t>
          </w:r>
          <w:r>
            <w:fldChar w:fldCharType="end"/>
          </w:r>
          <w:r>
            <w:fldChar w:fldCharType="end"/>
          </w:r>
        </w:p>
        <w:p>
          <w:pPr>
            <w:pStyle w:val="21"/>
            <w:tabs>
              <w:tab w:val="right" w:leader="dot" w:pos="8306"/>
              <w:tab w:val="clear" w:pos="840"/>
              <w:tab w:val="clear" w:pos="8296"/>
            </w:tabs>
          </w:pPr>
          <w:r>
            <w:fldChar w:fldCharType="begin"/>
          </w:r>
          <w:r>
            <w:instrText xml:space="preserve"> HYPERLINK \l _Toc2127465934 </w:instrText>
          </w:r>
          <w:r>
            <w:fldChar w:fldCharType="separate"/>
          </w:r>
          <w:r>
            <w:rPr>
              <w:rFonts w:ascii="Times New Roman" w:hAnsi="Times New Roman"/>
              <w:bCs/>
              <w:i w:val="0"/>
              <w:iCs w:val="0"/>
              <w:caps w:val="0"/>
              <w:smallCaps w:val="0"/>
              <w:strike w:val="0"/>
              <w:dstrike w:val="0"/>
              <w:vanish w:val="0"/>
              <w:spacing w:val="0"/>
              <w:position w:val="0"/>
              <w:szCs w:val="36"/>
              <w:vertAlign w:val="baseline"/>
              <w14:shadow w14:blurRad="0" w14:dist="0" w14:dir="0" w14:sx="0" w14:sy="0" w14:kx="0" w14:ky="0" w14:algn="none">
                <w14:srgbClr w14:val="000000"/>
              </w14:shadow>
            </w:rPr>
            <w:t xml:space="preserve">八、 </w:t>
          </w:r>
          <w:r>
            <w:rPr>
              <w:rFonts w:hint="eastAsia"/>
            </w:rPr>
            <w:t>加强海洋生态文明建设</w:t>
          </w:r>
          <w:r>
            <w:tab/>
          </w:r>
          <w:r>
            <w:fldChar w:fldCharType="begin"/>
          </w:r>
          <w:r>
            <w:instrText xml:space="preserve"> PAGEREF _Toc2127465934 </w:instrText>
          </w:r>
          <w:r>
            <w:fldChar w:fldCharType="separate"/>
          </w:r>
          <w:r>
            <w:t>34</w:t>
          </w:r>
          <w:r>
            <w:fldChar w:fldCharType="end"/>
          </w:r>
          <w:r>
            <w:fldChar w:fldCharType="end"/>
          </w:r>
        </w:p>
        <w:p>
          <w:pPr>
            <w:pStyle w:val="26"/>
            <w:tabs>
              <w:tab w:val="right" w:leader="dot" w:pos="8306"/>
              <w:tab w:val="clear" w:pos="1120"/>
              <w:tab w:val="clear" w:pos="8296"/>
            </w:tabs>
          </w:pPr>
          <w:r>
            <w:fldChar w:fldCharType="begin"/>
          </w:r>
          <w:r>
            <w:instrText xml:space="preserve"> HYPERLINK \l _Toc1084668732 </w:instrText>
          </w:r>
          <w:r>
            <w:fldChar w:fldCharType="separate"/>
          </w:r>
          <w:r>
            <w:rPr>
              <w:lang w:eastAsia="zh-CN" w:bidi="zh-CN"/>
            </w:rPr>
            <w:t xml:space="preserve">(一) </w:t>
          </w:r>
          <w:r>
            <w:rPr>
              <w:rFonts w:hint="eastAsia"/>
              <w:lang w:eastAsia="zh-CN"/>
            </w:rPr>
            <w:t>推进</w:t>
          </w:r>
          <w:r>
            <w:rPr>
              <w:rFonts w:hint="eastAsia"/>
            </w:rPr>
            <w:t>海洋</w:t>
          </w:r>
          <w:r>
            <w:rPr>
              <w:rFonts w:hint="eastAsia"/>
              <w:lang w:eastAsia="zh-CN"/>
            </w:rPr>
            <w:t>生态保护与修复示范</w:t>
          </w:r>
          <w:r>
            <w:tab/>
          </w:r>
          <w:r>
            <w:fldChar w:fldCharType="begin"/>
          </w:r>
          <w:r>
            <w:instrText xml:space="preserve"> PAGEREF _Toc1084668732 </w:instrText>
          </w:r>
          <w:r>
            <w:fldChar w:fldCharType="separate"/>
          </w:r>
          <w:r>
            <w:t>34</w:t>
          </w:r>
          <w:r>
            <w:fldChar w:fldCharType="end"/>
          </w:r>
          <w:r>
            <w:fldChar w:fldCharType="end"/>
          </w:r>
        </w:p>
        <w:p>
          <w:pPr>
            <w:pStyle w:val="26"/>
            <w:tabs>
              <w:tab w:val="right" w:leader="dot" w:pos="8306"/>
              <w:tab w:val="clear" w:pos="1120"/>
              <w:tab w:val="clear" w:pos="8296"/>
            </w:tabs>
          </w:pPr>
          <w:r>
            <w:fldChar w:fldCharType="begin"/>
          </w:r>
          <w:r>
            <w:instrText xml:space="preserve"> HYPERLINK \l _Toc909654682 </w:instrText>
          </w:r>
          <w:r>
            <w:fldChar w:fldCharType="separate"/>
          </w:r>
          <w:r>
            <w:rPr>
              <w:lang w:bidi="zh-CN"/>
            </w:rPr>
            <w:t xml:space="preserve">(二) </w:t>
          </w:r>
          <w:r>
            <w:rPr>
              <w:rFonts w:hint="eastAsia"/>
            </w:rPr>
            <w:t>加强蓝碳研究和探索</w:t>
          </w:r>
          <w:r>
            <w:tab/>
          </w:r>
          <w:r>
            <w:fldChar w:fldCharType="begin"/>
          </w:r>
          <w:r>
            <w:instrText xml:space="preserve"> PAGEREF _Toc909654682 </w:instrText>
          </w:r>
          <w:r>
            <w:fldChar w:fldCharType="separate"/>
          </w:r>
          <w:r>
            <w:t>35</w:t>
          </w:r>
          <w:r>
            <w:fldChar w:fldCharType="end"/>
          </w:r>
          <w:r>
            <w:fldChar w:fldCharType="end"/>
          </w:r>
        </w:p>
        <w:p>
          <w:pPr>
            <w:pStyle w:val="26"/>
            <w:tabs>
              <w:tab w:val="right" w:leader="dot" w:pos="8306"/>
              <w:tab w:val="clear" w:pos="1120"/>
              <w:tab w:val="clear" w:pos="8296"/>
            </w:tabs>
          </w:pPr>
          <w:r>
            <w:fldChar w:fldCharType="begin"/>
          </w:r>
          <w:r>
            <w:instrText xml:space="preserve"> HYPERLINK \l _Toc1088552128 </w:instrText>
          </w:r>
          <w:r>
            <w:fldChar w:fldCharType="separate"/>
          </w:r>
          <w:r>
            <w:rPr>
              <w:lang w:bidi="zh-CN"/>
            </w:rPr>
            <w:t xml:space="preserve">(三) </w:t>
          </w:r>
          <w:r>
            <w:rPr>
              <w:rFonts w:hint="eastAsia"/>
            </w:rPr>
            <w:t>提升海洋</w:t>
          </w:r>
          <w:r>
            <w:rPr>
              <w:rFonts w:hint="eastAsia"/>
              <w:lang w:eastAsia="zh-CN"/>
            </w:rPr>
            <w:t>安全与公共服务</w:t>
          </w:r>
          <w:r>
            <w:rPr>
              <w:rFonts w:hint="eastAsia"/>
            </w:rPr>
            <w:t>能力</w:t>
          </w:r>
          <w:r>
            <w:tab/>
          </w:r>
          <w:r>
            <w:fldChar w:fldCharType="begin"/>
          </w:r>
          <w:r>
            <w:instrText xml:space="preserve"> PAGEREF _Toc1088552128 </w:instrText>
          </w:r>
          <w:r>
            <w:fldChar w:fldCharType="separate"/>
          </w:r>
          <w:r>
            <w:t>36</w:t>
          </w:r>
          <w:r>
            <w:fldChar w:fldCharType="end"/>
          </w:r>
          <w:r>
            <w:fldChar w:fldCharType="end"/>
          </w:r>
        </w:p>
        <w:p>
          <w:pPr>
            <w:pStyle w:val="21"/>
            <w:tabs>
              <w:tab w:val="right" w:leader="dot" w:pos="8306"/>
              <w:tab w:val="clear" w:pos="840"/>
              <w:tab w:val="clear" w:pos="8296"/>
            </w:tabs>
          </w:pPr>
          <w:r>
            <w:fldChar w:fldCharType="begin"/>
          </w:r>
          <w:r>
            <w:instrText xml:space="preserve"> HYPERLINK \l _Toc1071254074 </w:instrText>
          </w:r>
          <w:r>
            <w:fldChar w:fldCharType="separate"/>
          </w:r>
          <w:r>
            <w:rPr>
              <w:rFonts w:ascii="Times New Roman" w:hAnsi="Times New Roman"/>
              <w:bCs/>
              <w:i w:val="0"/>
              <w:iCs w:val="0"/>
              <w:caps w:val="0"/>
              <w:smallCaps w:val="0"/>
              <w:strike w:val="0"/>
              <w:dstrike w:val="0"/>
              <w:vanish w:val="0"/>
              <w:spacing w:val="0"/>
              <w:position w:val="0"/>
              <w:szCs w:val="36"/>
              <w:vertAlign w:val="baseline"/>
              <w14:shadow w14:blurRad="0" w14:dist="0" w14:dir="0" w14:sx="0" w14:sy="0" w14:kx="0" w14:ky="0" w14:algn="none">
                <w14:srgbClr w14:val="000000"/>
              </w14:shadow>
            </w:rPr>
            <w:t xml:space="preserve">九、 </w:t>
          </w:r>
          <w:r>
            <w:rPr>
              <w:rFonts w:hint="eastAsia"/>
            </w:rPr>
            <w:t>提升开放合作与全球海洋治理能力</w:t>
          </w:r>
          <w:r>
            <w:tab/>
          </w:r>
          <w:r>
            <w:fldChar w:fldCharType="begin"/>
          </w:r>
          <w:r>
            <w:instrText xml:space="preserve"> PAGEREF _Toc1071254074 </w:instrText>
          </w:r>
          <w:r>
            <w:fldChar w:fldCharType="separate"/>
          </w:r>
          <w:r>
            <w:t>38</w:t>
          </w:r>
          <w:r>
            <w:fldChar w:fldCharType="end"/>
          </w:r>
          <w:r>
            <w:fldChar w:fldCharType="end"/>
          </w:r>
        </w:p>
        <w:p>
          <w:pPr>
            <w:pStyle w:val="26"/>
            <w:tabs>
              <w:tab w:val="right" w:leader="dot" w:pos="8306"/>
              <w:tab w:val="clear" w:pos="1120"/>
              <w:tab w:val="clear" w:pos="8296"/>
            </w:tabs>
          </w:pPr>
          <w:r>
            <w:fldChar w:fldCharType="begin"/>
          </w:r>
          <w:r>
            <w:instrText xml:space="preserve"> HYPERLINK \l _Toc1298582776 </w:instrText>
          </w:r>
          <w:r>
            <w:fldChar w:fldCharType="separate"/>
          </w:r>
          <w:r>
            <w:rPr>
              <w:rFonts w:ascii="仿宋" w:hAnsi="仿宋" w:cs="仿宋_GB2312"/>
              <w:szCs w:val="28"/>
              <w:lang w:bidi="zh-CN"/>
            </w:rPr>
            <w:t xml:space="preserve">(一) </w:t>
          </w:r>
          <w:r>
            <w:rPr>
              <w:rFonts w:hint="eastAsia"/>
            </w:rPr>
            <w:t>聚合湾区海洋发展动能</w:t>
          </w:r>
          <w:r>
            <w:tab/>
          </w:r>
          <w:r>
            <w:fldChar w:fldCharType="begin"/>
          </w:r>
          <w:r>
            <w:instrText xml:space="preserve"> PAGEREF _Toc1298582776 </w:instrText>
          </w:r>
          <w:r>
            <w:fldChar w:fldCharType="separate"/>
          </w:r>
          <w:r>
            <w:t>38</w:t>
          </w:r>
          <w:r>
            <w:fldChar w:fldCharType="end"/>
          </w:r>
          <w:r>
            <w:fldChar w:fldCharType="end"/>
          </w:r>
        </w:p>
        <w:p>
          <w:pPr>
            <w:pStyle w:val="26"/>
            <w:tabs>
              <w:tab w:val="right" w:leader="dot" w:pos="8306"/>
              <w:tab w:val="clear" w:pos="1120"/>
              <w:tab w:val="clear" w:pos="8296"/>
            </w:tabs>
          </w:pPr>
          <w:r>
            <w:fldChar w:fldCharType="begin"/>
          </w:r>
          <w:r>
            <w:instrText xml:space="preserve"> HYPERLINK \l _Toc1182010890 </w:instrText>
          </w:r>
          <w:r>
            <w:fldChar w:fldCharType="separate"/>
          </w:r>
          <w:r>
            <w:rPr>
              <w:lang w:bidi="zh-CN"/>
            </w:rPr>
            <w:t xml:space="preserve">(二) </w:t>
          </w:r>
          <w:r>
            <w:rPr>
              <w:rFonts w:hint="eastAsia"/>
            </w:rPr>
            <w:t>全方位多层次开展国内海洋合作</w:t>
          </w:r>
          <w:r>
            <w:tab/>
          </w:r>
          <w:r>
            <w:fldChar w:fldCharType="begin"/>
          </w:r>
          <w:r>
            <w:instrText xml:space="preserve"> PAGEREF _Toc1182010890 </w:instrText>
          </w:r>
          <w:r>
            <w:fldChar w:fldCharType="separate"/>
          </w:r>
          <w:r>
            <w:t>39</w:t>
          </w:r>
          <w:r>
            <w:fldChar w:fldCharType="end"/>
          </w:r>
          <w:r>
            <w:fldChar w:fldCharType="end"/>
          </w:r>
        </w:p>
        <w:p>
          <w:pPr>
            <w:pStyle w:val="26"/>
            <w:tabs>
              <w:tab w:val="right" w:leader="dot" w:pos="8306"/>
              <w:tab w:val="clear" w:pos="1120"/>
              <w:tab w:val="clear" w:pos="8296"/>
            </w:tabs>
          </w:pPr>
          <w:r>
            <w:fldChar w:fldCharType="begin"/>
          </w:r>
          <w:r>
            <w:instrText xml:space="preserve"> HYPERLINK \l _Toc240905190 </w:instrText>
          </w:r>
          <w:r>
            <w:fldChar w:fldCharType="separate"/>
          </w:r>
          <w:r>
            <w:rPr>
              <w:lang w:bidi="zh-CN"/>
            </w:rPr>
            <w:t xml:space="preserve">(三) </w:t>
          </w:r>
          <w:r>
            <w:rPr>
              <w:rFonts w:hint="eastAsia"/>
            </w:rPr>
            <w:t>提升资源配置能力、参与</w:t>
          </w:r>
          <w:r>
            <w:rPr>
              <w:rFonts w:hint="eastAsia"/>
              <w:lang w:eastAsia="zh-CN"/>
            </w:rPr>
            <w:t>全球</w:t>
          </w:r>
          <w:r>
            <w:rPr>
              <w:rFonts w:hint="eastAsia"/>
            </w:rPr>
            <w:t>海洋治理</w:t>
          </w:r>
          <w:r>
            <w:tab/>
          </w:r>
          <w:r>
            <w:fldChar w:fldCharType="begin"/>
          </w:r>
          <w:r>
            <w:instrText xml:space="preserve"> PAGEREF _Toc240905190 </w:instrText>
          </w:r>
          <w:r>
            <w:fldChar w:fldCharType="separate"/>
          </w:r>
          <w:r>
            <w:t>40</w:t>
          </w:r>
          <w:r>
            <w:fldChar w:fldCharType="end"/>
          </w:r>
          <w:r>
            <w:fldChar w:fldCharType="end"/>
          </w:r>
        </w:p>
        <w:p>
          <w:pPr>
            <w:pStyle w:val="21"/>
            <w:tabs>
              <w:tab w:val="right" w:leader="dot" w:pos="8306"/>
              <w:tab w:val="clear" w:pos="840"/>
              <w:tab w:val="clear" w:pos="8296"/>
            </w:tabs>
          </w:pPr>
          <w:r>
            <w:fldChar w:fldCharType="begin"/>
          </w:r>
          <w:r>
            <w:instrText xml:space="preserve"> HYPERLINK \l _Toc1172851650 </w:instrText>
          </w:r>
          <w:r>
            <w:fldChar w:fldCharType="separate"/>
          </w:r>
          <w:r>
            <w:rPr>
              <w:rFonts w:ascii="Times New Roman" w:hAnsi="Times New Roman"/>
              <w:bCs/>
              <w:i w:val="0"/>
              <w:iCs w:val="0"/>
              <w:caps w:val="0"/>
              <w:smallCaps w:val="0"/>
              <w:strike w:val="0"/>
              <w:dstrike w:val="0"/>
              <w:vanish w:val="0"/>
              <w:spacing w:val="0"/>
              <w:position w:val="0"/>
              <w:szCs w:val="36"/>
              <w:vertAlign w:val="baseline"/>
              <w14:shadow w14:blurRad="0" w14:dist="0" w14:dir="0" w14:sx="0" w14:sy="0" w14:kx="0" w14:ky="0" w14:algn="none">
                <w14:srgbClr w14:val="000000"/>
              </w14:shadow>
            </w:rPr>
            <w:t xml:space="preserve">十、 </w:t>
          </w:r>
          <w:r>
            <w:rPr>
              <w:rFonts w:hint="eastAsia"/>
            </w:rPr>
            <w:t>保障措施</w:t>
          </w:r>
          <w:r>
            <w:tab/>
          </w:r>
          <w:r>
            <w:fldChar w:fldCharType="begin"/>
          </w:r>
          <w:r>
            <w:instrText xml:space="preserve"> PAGEREF _Toc1172851650 </w:instrText>
          </w:r>
          <w:r>
            <w:fldChar w:fldCharType="separate"/>
          </w:r>
          <w:r>
            <w:t>41</w:t>
          </w:r>
          <w:r>
            <w:fldChar w:fldCharType="end"/>
          </w:r>
          <w:r>
            <w:fldChar w:fldCharType="end"/>
          </w:r>
        </w:p>
        <w:p>
          <w:bookmarkStart w:id="1147" w:name="_GoBack"/>
          <w:bookmarkEnd w:id="1147"/>
          <w:r>
            <w:fldChar w:fldCharType="end"/>
          </w:r>
        </w:p>
      </w:sdtContent>
    </w:sdt>
    <w:p>
      <w:pPr>
        <w:widowControl/>
        <w:jc w:val="left"/>
      </w:pPr>
    </w:p>
    <w:p>
      <w:pPr>
        <w:widowControl/>
        <w:jc w:val="left"/>
      </w:pPr>
    </w:p>
    <w:p>
      <w:pPr>
        <w:pStyle w:val="50"/>
      </w:pPr>
      <w:r>
        <w:br w:type="page"/>
      </w:r>
    </w:p>
    <w:p>
      <w:pPr>
        <w:pStyle w:val="50"/>
        <w:sectPr>
          <w:pgSz w:w="11906" w:h="16838"/>
          <w:pgMar w:top="1440" w:right="1800" w:bottom="1440" w:left="1800" w:header="851" w:footer="992" w:gutter="0"/>
          <w:pgNumType w:start="1"/>
          <w:cols w:space="425" w:num="1"/>
          <w:docGrid w:type="lines" w:linePitch="381" w:charSpace="0"/>
        </w:sectPr>
      </w:pPr>
    </w:p>
    <w:p>
      <w:pPr>
        <w:pStyle w:val="2"/>
        <w:numPr>
          <w:ilvl w:val="0"/>
          <w:numId w:val="8"/>
        </w:numPr>
        <w:spacing w:before="190"/>
        <w:sectPr>
          <w:footerReference r:id="rId6" w:type="default"/>
          <w:type w:val="continuous"/>
          <w:pgSz w:w="11906" w:h="16838"/>
          <w:pgMar w:top="1440" w:right="1701" w:bottom="1440" w:left="1701" w:header="851" w:footer="992" w:gutter="0"/>
          <w:pgNumType w:start="1"/>
          <w:cols w:space="425" w:num="1"/>
          <w:docGrid w:type="lines" w:linePitch="381" w:charSpace="0"/>
        </w:sectPr>
      </w:pPr>
      <w:bookmarkStart w:id="1" w:name="_Toc87531535"/>
      <w:bookmarkEnd w:id="1"/>
      <w:bookmarkStart w:id="2" w:name="_Toc87531537"/>
      <w:bookmarkEnd w:id="2"/>
      <w:bookmarkStart w:id="3" w:name="_Toc87530923"/>
      <w:bookmarkEnd w:id="3"/>
      <w:bookmarkStart w:id="4" w:name="_Toc87530779"/>
      <w:bookmarkEnd w:id="4"/>
      <w:bookmarkStart w:id="5" w:name="_Toc87531209"/>
      <w:bookmarkEnd w:id="5"/>
      <w:bookmarkStart w:id="6" w:name="_Toc87531536"/>
      <w:bookmarkEnd w:id="6"/>
      <w:bookmarkStart w:id="7" w:name="_Toc87531066"/>
      <w:bookmarkEnd w:id="7"/>
      <w:bookmarkStart w:id="8" w:name="_Toc87530625"/>
      <w:bookmarkEnd w:id="8"/>
      <w:bookmarkStart w:id="9" w:name="_Toc88503881"/>
      <w:bookmarkStart w:id="10" w:name="_Toc87462043"/>
      <w:bookmarkStart w:id="11" w:name="_Toc88504453"/>
      <w:bookmarkStart w:id="12" w:name="_Toc80114656"/>
    </w:p>
    <w:p>
      <w:pPr>
        <w:pStyle w:val="2"/>
        <w:numPr>
          <w:ilvl w:val="0"/>
          <w:numId w:val="8"/>
        </w:numPr>
        <w:spacing w:before="190"/>
      </w:pPr>
      <w:bookmarkStart w:id="13" w:name="_Toc1091760753"/>
      <w:r>
        <w:rPr>
          <w:rFonts w:hint="eastAsia"/>
        </w:rPr>
        <w:t>发展基础与面临形势</w:t>
      </w:r>
      <w:bookmarkEnd w:id="9"/>
      <w:bookmarkEnd w:id="10"/>
      <w:bookmarkEnd w:id="11"/>
      <w:bookmarkEnd w:id="13"/>
    </w:p>
    <w:p>
      <w:pPr>
        <w:pStyle w:val="3"/>
        <w:spacing w:before="190" w:after="76"/>
      </w:pPr>
      <w:bookmarkStart w:id="14" w:name="_Toc88503882"/>
      <w:bookmarkStart w:id="15" w:name="_Toc88504454"/>
      <w:bookmarkStart w:id="16" w:name="_Toc1839492556"/>
      <w:bookmarkStart w:id="17" w:name="_Toc87462044"/>
      <w:r>
        <w:rPr>
          <w:rFonts w:hint="eastAsia"/>
        </w:rPr>
        <w:t>发展回顾</w:t>
      </w:r>
      <w:bookmarkEnd w:id="14"/>
      <w:bookmarkEnd w:id="15"/>
      <w:bookmarkEnd w:id="16"/>
      <w:bookmarkEnd w:id="17"/>
    </w:p>
    <w:p>
      <w:pPr>
        <w:pStyle w:val="50"/>
        <w:rPr>
          <w:bCs/>
        </w:rPr>
      </w:pPr>
      <w:r>
        <w:rPr>
          <w:rFonts w:hint="eastAsia"/>
        </w:rPr>
        <w:t xml:space="preserve"> “十三五”</w:t>
      </w:r>
      <w:r>
        <w:rPr>
          <w:rFonts w:hint="eastAsia"/>
          <w:lang w:val="en-US" w:eastAsia="zh-CN"/>
        </w:rPr>
        <w:t>时期</w:t>
      </w:r>
      <w:r>
        <w:t>，深圳市围绕加强海洋经济总协调、构建现代海洋产业体系、增强海洋科技创新能力等方面</w:t>
      </w:r>
      <w:r>
        <w:rPr>
          <w:rFonts w:hint="eastAsia"/>
        </w:rPr>
        <w:t>，</w:t>
      </w:r>
      <w:r>
        <w:t>大力推动海洋经济创新发展，取得了阶段性成效</w:t>
      </w:r>
      <w:r>
        <w:rPr>
          <w:rFonts w:hint="eastAsia"/>
        </w:rPr>
        <w:t>。</w:t>
      </w:r>
    </w:p>
    <w:p>
      <w:pPr>
        <w:pStyle w:val="50"/>
      </w:pPr>
      <w:bookmarkStart w:id="18" w:name="_Toc88504026"/>
      <w:bookmarkEnd w:id="18"/>
      <w:bookmarkStart w:id="19" w:name="_Toc88504312"/>
      <w:bookmarkEnd w:id="19"/>
      <w:bookmarkStart w:id="20" w:name="_Toc88504873"/>
      <w:bookmarkEnd w:id="20"/>
      <w:bookmarkStart w:id="21" w:name="_Toc88504729"/>
      <w:bookmarkEnd w:id="21"/>
      <w:bookmarkStart w:id="22" w:name="_Toc88504169"/>
      <w:bookmarkEnd w:id="22"/>
      <w:r>
        <w:rPr>
          <w:rFonts w:hint="eastAsia"/>
          <w:b/>
          <w:bCs/>
        </w:rPr>
        <w:t>海洋经济综合实力不断提升。</w:t>
      </w:r>
      <w:r>
        <w:rPr>
          <w:rFonts w:hint="eastAsia"/>
          <w:lang w:val="en-US" w:eastAsia="zh-CN"/>
        </w:rPr>
        <w:t>五年来</w:t>
      </w:r>
      <w:r>
        <w:rPr>
          <w:rFonts w:hint="eastAsia"/>
        </w:rPr>
        <w:t>，深圳市海洋经济继续保持平稳发展态势，海洋生产总值从2015年的1873.2亿元增长到2020年的2596.4亿元。</w:t>
      </w:r>
      <w:r>
        <w:rPr>
          <w:rFonts w:hint="eastAsia"/>
          <w:b/>
          <w:bCs/>
        </w:rPr>
        <w:t>一是海洋传统产业不断增强。</w:t>
      </w:r>
      <w:r>
        <w:rPr>
          <w:rFonts w:hint="eastAsia"/>
        </w:rPr>
        <w:t>海洋交通运输业、滨海旅游业、海洋油气业、海洋渔业等海洋传统产业占海洋产业比重超过</w:t>
      </w:r>
      <w:r>
        <w:t>50%</w:t>
      </w:r>
      <w:r>
        <w:rPr>
          <w:rFonts w:hint="eastAsia"/>
        </w:rPr>
        <w:t>；深圳港口集装箱枢纽港地位不断巩固，</w:t>
      </w:r>
      <w:r>
        <w:t>2020</w:t>
      </w:r>
      <w:r>
        <w:rPr>
          <w:rFonts w:hint="eastAsia"/>
        </w:rPr>
        <w:t>年深圳港口集装箱吞吐量达</w:t>
      </w:r>
      <w:r>
        <w:t>2655</w:t>
      </w:r>
      <w:r>
        <w:rPr>
          <w:rFonts w:hint="eastAsia"/>
        </w:rPr>
        <w:t>万标箱，位居世界第四，港口智慧化和绿色化水平不断提高；海洋油气自主开发能力显著增强，全面建成我国海域首个自营深水油田群；获批建设深圳国家远洋渔业基地；旅游业竞争力不断提升，成功入围全球十大旅游城市，太子湾邮轮母港建成并投入运营，旅游景区升级改造稳步推进。</w:t>
      </w:r>
      <w:r>
        <w:rPr>
          <w:rFonts w:hint="eastAsia"/>
          <w:b/>
          <w:bCs/>
        </w:rPr>
        <w:t>二是海洋新兴产业快速发展。</w:t>
      </w:r>
      <w:r>
        <w:rPr>
          <w:rFonts w:hint="eastAsia"/>
        </w:rPr>
        <w:t>以海洋工程和装备业、海洋电子信息业、海洋生物医药业、海洋新能源等海洋新兴产业增加值合计占海洋生产总值比重超过2</w:t>
      </w:r>
      <w:r>
        <w:t>3</w:t>
      </w:r>
      <w:r>
        <w:rPr>
          <w:rFonts w:hint="eastAsia"/>
        </w:rPr>
        <w:t>%。</w:t>
      </w:r>
      <w:bookmarkStart w:id="23" w:name="_Hlk87527472"/>
      <w:r>
        <w:rPr>
          <w:rFonts w:hint="eastAsia"/>
        </w:rPr>
        <w:t>蓝</w:t>
      </w:r>
      <w:r>
        <w:rPr>
          <w:rFonts w:hint="eastAsia" w:hAnsi="仿宋_GB2312"/>
        </w:rPr>
        <w:t>鲸系列超深水半潜式钻井平台成功开展南海可燃冰试采</w:t>
      </w:r>
      <w:bookmarkEnd w:id="23"/>
      <w:r>
        <w:rPr>
          <w:rFonts w:hint="eastAsia" w:hAnsi="仿宋_GB2312"/>
        </w:rPr>
        <w:t>；变频器设备打破国外垄断，在我国钻井平台上成功应用；海洋通信、定位、导航设备实现了自主生产。</w:t>
      </w:r>
      <w:r>
        <w:rPr>
          <w:rFonts w:hint="eastAsia"/>
          <w:b/>
          <w:bCs/>
        </w:rPr>
        <w:t>三是产业空间载体不断完善。</w:t>
      </w:r>
      <w:r>
        <w:rPr>
          <w:rFonts w:hint="eastAsia"/>
        </w:rPr>
        <w:t>海洋新城、蛇口国际海洋城、坝光国际生物谷、深汕海洋智慧港等重点片区加快建设，形成以高新技术园区为基地、以骨干企业为主体的发展态势。拥有涉海企业约19000家，集聚了中集集团、招商重工（深圳）、中海油（深圳）、招商港口、盐田港集团、中兴通讯、研祥智能等一批涉海龙头企业。</w:t>
      </w:r>
    </w:p>
    <w:p>
      <w:pPr>
        <w:pStyle w:val="50"/>
      </w:pPr>
      <w:r>
        <w:rPr>
          <w:rFonts w:hint="eastAsia"/>
          <w:b/>
        </w:rPr>
        <w:t>海洋科技支撑能力不断攀升。一是海洋创新载体初具规模。</w:t>
      </w:r>
      <w:r>
        <w:rPr>
          <w:rFonts w:hint="eastAsia"/>
        </w:rPr>
        <w:t>截至2</w:t>
      </w:r>
      <w:r>
        <w:t>020</w:t>
      </w:r>
      <w:r>
        <w:rPr>
          <w:rFonts w:hint="eastAsia"/>
        </w:rPr>
        <w:t>年底，已建设涉海创新载体共</w:t>
      </w:r>
      <w:r>
        <w:t>61</w:t>
      </w:r>
      <w:r>
        <w:rPr>
          <w:rFonts w:hint="eastAsia"/>
        </w:rPr>
        <w:t>个，其中国家级载体</w:t>
      </w:r>
      <w:r>
        <w:t>3</w:t>
      </w:r>
      <w:r>
        <w:rPr>
          <w:rFonts w:hint="eastAsia"/>
        </w:rPr>
        <w:t>个、省级载体1</w:t>
      </w:r>
      <w:r>
        <w:t>7</w:t>
      </w:r>
      <w:r>
        <w:rPr>
          <w:rFonts w:hint="eastAsia"/>
        </w:rPr>
        <w:t>个</w:t>
      </w:r>
      <w:r>
        <w:t>、</w:t>
      </w:r>
      <w:r>
        <w:rPr>
          <w:rFonts w:hint="eastAsia"/>
        </w:rPr>
        <w:t>市级载体</w:t>
      </w:r>
      <w:r>
        <w:t>41</w:t>
      </w:r>
      <w:r>
        <w:rPr>
          <w:rFonts w:hint="eastAsia"/>
        </w:rPr>
        <w:t>个，集聚了近千名海洋领域高级研究人员，</w:t>
      </w:r>
      <w:r>
        <w:rPr>
          <w:rFonts w:hint="eastAsia" w:hAnsi="仿宋_GB2312"/>
        </w:rPr>
        <w:t>获批建设省级智能海工制造业创新中心。</w:t>
      </w:r>
      <w:r>
        <w:rPr>
          <w:rFonts w:hint="eastAsia"/>
          <w:b/>
        </w:rPr>
        <w:t>二是科技关键技术取得较大突破。</w:t>
      </w:r>
      <w:r>
        <w:t>2020</w:t>
      </w:r>
      <w:r>
        <w:rPr>
          <w:rFonts w:hint="eastAsia"/>
        </w:rPr>
        <w:t>年，深圳国内专利申请量</w:t>
      </w:r>
      <w:r>
        <w:t>27.6</w:t>
      </w:r>
      <w:r>
        <w:rPr>
          <w:rFonts w:hint="eastAsia"/>
        </w:rPr>
        <w:t>万多件，占全国专利申请总量的</w:t>
      </w:r>
      <w:r>
        <w:t>12.49%</w:t>
      </w:r>
      <w:r>
        <w:rPr>
          <w:rFonts w:hint="eastAsia"/>
        </w:rPr>
        <w:t>；</w:t>
      </w:r>
      <w:r>
        <w:t>PCT</w:t>
      </w:r>
      <w:r>
        <w:rPr>
          <w:rFonts w:hint="eastAsia"/>
        </w:rPr>
        <w:t>专利申请量</w:t>
      </w:r>
      <w:r>
        <w:t>2.02</w:t>
      </w:r>
      <w:r>
        <w:rPr>
          <w:rFonts w:hint="eastAsia"/>
        </w:rPr>
        <w:t>万件，占全国总量的</w:t>
      </w:r>
      <w:r>
        <w:t>29.4%</w:t>
      </w:r>
      <w:r>
        <w:rPr>
          <w:rFonts w:hint="eastAsia"/>
        </w:rPr>
        <w:t>，连续</w:t>
      </w:r>
      <w:r>
        <w:t>17</w:t>
      </w:r>
      <w:r>
        <w:rPr>
          <w:rFonts w:hint="eastAsia"/>
        </w:rPr>
        <w:t>年居全国大中城市第一；突破深水海洋油气水下生产设施安装技术，相关成果在流花、陵水等大型油气田中成功应用。</w:t>
      </w:r>
      <w:r>
        <w:rPr>
          <w:rFonts w:hint="eastAsia"/>
          <w:b/>
        </w:rPr>
        <w:t>三是海洋人才教育和学科建设初具成效。</w:t>
      </w:r>
      <w:r>
        <w:rPr>
          <w:rFonts w:hint="eastAsia"/>
        </w:rPr>
        <w:t>海洋大学按程序加快推进，深圳大学成立了海洋信息系统研究中心、启动共建大鹏新区海洋研究院；南方科技大学新增海洋工程本科专业；清华大学国际研究生院获批南安普顿大学双学位项目等。</w:t>
      </w:r>
    </w:p>
    <w:p>
      <w:pPr>
        <w:pStyle w:val="50"/>
      </w:pPr>
      <w:r>
        <w:rPr>
          <w:rFonts w:hint="eastAsia"/>
          <w:b/>
          <w:bCs/>
        </w:rPr>
        <w:t>海洋生态文明建设全面推进。一是海洋生态建设成果突出。</w:t>
      </w:r>
      <w:r>
        <w:rPr>
          <w:rFonts w:hint="eastAsia"/>
        </w:rPr>
        <w:t>完成深圳市海洋生态保护红线试划工作；在全国率先编制完成《深圳市海洋环境保护规划（2</w:t>
      </w:r>
      <w:r>
        <w:t>018-2035</w:t>
      </w:r>
      <w:r>
        <w:rPr>
          <w:rFonts w:hint="eastAsia"/>
        </w:rPr>
        <w:t>年）》，探索建立了“海域-流域-陆域”海洋环境保护体系，确立了海洋生态保护整体格局。推进实施河流及近岸海域的综合治理，推进落实“河长制”。</w:t>
      </w:r>
      <w:r>
        <w:rPr>
          <w:rFonts w:hint="eastAsia"/>
          <w:b/>
          <w:bCs/>
        </w:rPr>
        <w:t>二是海岸带活力提升。</w:t>
      </w:r>
      <w:r>
        <w:rPr>
          <w:rFonts w:hint="eastAsia"/>
        </w:rPr>
        <w:t>通过海岸贯通、岸线激活、生态强化和防灾、服务提升，打造世界级海岸带。东部大鹏滨海绿道西涌段建设完工，受“山竹”台风损坏的盐田滨海栈道修复完成；西部深圳湾15公里滨海休闲带全线建设完工并向市民开放，并完成前海-宝中段滨海公园和慢行系统建设，包括前海石公园、宝安滨海文化公园一期等。</w:t>
      </w:r>
    </w:p>
    <w:p>
      <w:pPr>
        <w:pStyle w:val="50"/>
      </w:pPr>
      <w:r>
        <w:rPr>
          <w:rFonts w:hint="eastAsia"/>
          <w:b/>
          <w:bCs/>
        </w:rPr>
        <w:t>海洋综合管理体制机制日趋完善。</w:t>
      </w:r>
      <w:r>
        <w:t>2016年，深圳市获批全国首个海洋综合管理示范区，</w:t>
      </w:r>
      <w:r>
        <w:rPr>
          <w:rFonts w:hint="eastAsia"/>
        </w:rPr>
        <w:t>充分践行“</w:t>
      </w:r>
      <w:r>
        <w:t>陆海统筹</w:t>
      </w:r>
      <w:r>
        <w:rPr>
          <w:rFonts w:hint="eastAsia"/>
        </w:rPr>
        <w:t>”</w:t>
      </w:r>
      <w:r>
        <w:t>等管海、用海理念，为全国</w:t>
      </w:r>
      <w:r>
        <w:rPr>
          <w:rFonts w:hint="eastAsia"/>
        </w:rPr>
        <w:t>陆海统筹</w:t>
      </w:r>
      <w:r>
        <w:t>发展提供了样板经验；市委市政府印发《</w:t>
      </w:r>
      <w:r>
        <w:rPr>
          <w:rFonts w:hint="eastAsia"/>
        </w:rPr>
        <w:t>关于勇当海洋强国尖兵 加快建设全球海洋中心城市的决定</w:t>
      </w:r>
      <w:r>
        <w:t>》与配套实施方案；2020</w:t>
      </w:r>
      <w:r>
        <w:rPr>
          <w:rFonts w:hint="eastAsia"/>
        </w:rPr>
        <w:t>年，国际船舶登记制度纳入“先行示范区综合改革试点实施方案”首批授权事项清单。《深圳经济特区海域使用管理条例》通过并实施，落实海域使用规划、海岸线保护管理、海域使用管理等相关要求。</w:t>
      </w:r>
    </w:p>
    <w:p>
      <w:pPr>
        <w:pStyle w:val="50"/>
      </w:pPr>
      <w:r>
        <w:rPr>
          <w:rFonts w:hint="eastAsia"/>
          <w:b/>
          <w:bCs/>
        </w:rPr>
        <w:t>海洋国际交流合作持续深化。</w:t>
      </w:r>
      <w:r>
        <w:rPr>
          <w:rFonts w:hint="eastAsia"/>
        </w:rPr>
        <w:t>中国海洋经济博览会在深圳市成功举办，习近平主席致贺信。国际渔业交易活动顺利开展，国际港口城市海事管理合作交流机制工作按计划推进。</w:t>
      </w:r>
    </w:p>
    <w:p>
      <w:pPr>
        <w:pStyle w:val="3"/>
        <w:spacing w:before="190" w:after="76"/>
      </w:pPr>
      <w:bookmarkStart w:id="24" w:name="_Toc88505288"/>
      <w:bookmarkEnd w:id="24"/>
      <w:bookmarkStart w:id="25" w:name="_Toc88507397"/>
      <w:bookmarkEnd w:id="25"/>
      <w:bookmarkStart w:id="26" w:name="_Toc88508152"/>
      <w:bookmarkEnd w:id="26"/>
      <w:bookmarkStart w:id="27" w:name="_Toc88507536"/>
      <w:bookmarkEnd w:id="27"/>
      <w:bookmarkStart w:id="28" w:name="_Toc1108569842"/>
      <w:bookmarkStart w:id="29" w:name="_Toc88504455"/>
      <w:bookmarkStart w:id="30" w:name="_Toc88503883"/>
      <w:bookmarkStart w:id="31" w:name="_Toc87462045"/>
      <w:r>
        <w:rPr>
          <w:rFonts w:hint="eastAsia"/>
          <w:lang w:eastAsia="zh-CN"/>
        </w:rPr>
        <w:t>存在</w:t>
      </w:r>
      <w:r>
        <w:rPr>
          <w:rFonts w:hint="eastAsia"/>
        </w:rPr>
        <w:t>问题</w:t>
      </w:r>
      <w:bookmarkEnd w:id="28"/>
      <w:bookmarkEnd w:id="29"/>
      <w:bookmarkEnd w:id="30"/>
      <w:bookmarkEnd w:id="31"/>
    </w:p>
    <w:p>
      <w:pPr>
        <w:pStyle w:val="50"/>
      </w:pPr>
      <w:r>
        <w:rPr>
          <w:rFonts w:hint="eastAsia"/>
          <w:b/>
          <w:bCs/>
        </w:rPr>
        <w:t>海洋产业结构有待优化调整。一是海洋传统产业发展质量有待提升。</w:t>
      </w:r>
      <w:r>
        <w:rPr>
          <w:rFonts w:hint="eastAsia"/>
        </w:rPr>
        <w:t>渔业发展方式亟需向远洋和智慧转型升级；滨海旅游业发展受海洋文旅设施不齐全、产业融合度不高、产品类型老化等问题制约；深水油气田自主开发实力较为薄弱，设备和零部件进口依赖度仍较高。</w:t>
      </w:r>
      <w:r>
        <w:rPr>
          <w:rFonts w:hint="eastAsia"/>
          <w:b/>
          <w:bCs/>
        </w:rPr>
        <w:t>二是海洋战略新兴产业占比较低、优势产业下海难。</w:t>
      </w:r>
      <w:r>
        <w:rPr>
          <w:rFonts w:hint="eastAsia"/>
        </w:rPr>
        <w:t>海洋电子信息技术应用场景有待挖掘，企业下海渠道尚未畅通；海洋工程装备产业关键配套设备生产依赖进口，产业链整合能力有待提升；海洋生物医药产业处于初期培育阶段，产业化水平有待提升。</w:t>
      </w:r>
      <w:r>
        <w:rPr>
          <w:rFonts w:hint="eastAsia"/>
          <w:b/>
          <w:bCs/>
        </w:rPr>
        <w:t>三是海洋现代服务业规模有限</w:t>
      </w:r>
      <w:r>
        <w:rPr>
          <w:rFonts w:hint="eastAsia"/>
        </w:rPr>
        <w:t>。涉海金融服务业增加值占比较低，航运金融、航运保险、船舶经纪、海事仲裁等航运服务配套有待完善。</w:t>
      </w:r>
    </w:p>
    <w:p>
      <w:pPr>
        <w:pStyle w:val="50"/>
      </w:pPr>
      <w:r>
        <w:rPr>
          <w:rFonts w:hint="eastAsia"/>
          <w:b/>
          <w:bCs/>
        </w:rPr>
        <w:t>海洋科技源头创新和成果转化能力不足。</w:t>
      </w:r>
      <w:r>
        <w:rPr>
          <w:rFonts w:hint="eastAsia"/>
        </w:rPr>
        <w:t>高水平海洋研究机构缺乏，海洋学科体系尚未健全，海洋科技基础设施亟需完善；海洋创新载体产学研用、协同创新作用有待进一步发挥，科技成果转化有待加强；海洋人才梯队建设有待强化，海洋人才环境吸引力有待提升。</w:t>
      </w:r>
    </w:p>
    <w:p>
      <w:pPr>
        <w:pStyle w:val="50"/>
      </w:pPr>
      <w:r>
        <w:rPr>
          <w:rFonts w:hint="eastAsia"/>
          <w:b/>
          <w:bCs/>
        </w:rPr>
        <w:t>海洋领域对外合作有待加强。</w:t>
      </w:r>
      <w:r>
        <w:rPr>
          <w:rFonts w:hint="eastAsia"/>
        </w:rPr>
        <w:t>深圳与国内其他城市在海洋领域的合作不充分，参与海洋国际事务不够深入，国际交流合作层次低、缺少合作机制。在粤港澳大湾区内，应对珠江流域污染治理、港口同质化竞争等关键问题，统筹与合作机制仍有待完善。</w:t>
      </w:r>
    </w:p>
    <w:p>
      <w:pPr>
        <w:pStyle w:val="3"/>
        <w:spacing w:before="190" w:after="76"/>
      </w:pPr>
      <w:bookmarkStart w:id="32" w:name="_Toc88503884"/>
      <w:bookmarkStart w:id="33" w:name="_Toc87462046"/>
      <w:bookmarkStart w:id="34" w:name="_Toc88504456"/>
      <w:bookmarkStart w:id="35" w:name="_Toc2134068990"/>
      <w:r>
        <w:rPr>
          <w:rFonts w:hint="eastAsia"/>
          <w:lang w:eastAsia="zh-CN"/>
        </w:rPr>
        <w:t>面临</w:t>
      </w:r>
      <w:r>
        <w:rPr>
          <w:rFonts w:hint="eastAsia"/>
        </w:rPr>
        <w:t>形势</w:t>
      </w:r>
      <w:bookmarkEnd w:id="32"/>
      <w:bookmarkEnd w:id="33"/>
      <w:bookmarkEnd w:id="34"/>
      <w:bookmarkEnd w:id="35"/>
    </w:p>
    <w:bookmarkEnd w:id="12"/>
    <w:p>
      <w:pPr>
        <w:pStyle w:val="50"/>
        <w:rPr>
          <w:rFonts w:hint="eastAsia" w:ascii="仿宋" w:hAnsi="仿宋" w:eastAsia="仿宋" w:cs="仿宋"/>
          <w:sz w:val="30"/>
          <w:szCs w:val="30"/>
          <w:highlight w:val="none"/>
          <w:lang w:val="en-US" w:eastAsia="zh-CN"/>
        </w:rPr>
      </w:pPr>
      <w:bookmarkStart w:id="36" w:name="_Toc88682664"/>
      <w:bookmarkEnd w:id="36"/>
      <w:bookmarkStart w:id="37" w:name="_Toc86393605"/>
      <w:bookmarkEnd w:id="37"/>
      <w:bookmarkStart w:id="38" w:name="_Toc89354266"/>
      <w:bookmarkEnd w:id="38"/>
      <w:bookmarkStart w:id="39" w:name="_Toc86589819"/>
      <w:bookmarkEnd w:id="39"/>
      <w:bookmarkStart w:id="40" w:name="_Toc86859314"/>
      <w:bookmarkEnd w:id="40"/>
      <w:bookmarkStart w:id="41" w:name="_Toc89701273"/>
      <w:bookmarkEnd w:id="41"/>
      <w:bookmarkStart w:id="42" w:name="_Toc89354364"/>
      <w:bookmarkEnd w:id="42"/>
      <w:bookmarkStart w:id="43" w:name="_Toc89698304"/>
      <w:bookmarkEnd w:id="43"/>
      <w:bookmarkStart w:id="44" w:name="_Toc85731679"/>
      <w:bookmarkEnd w:id="44"/>
      <w:bookmarkStart w:id="45" w:name="_Toc88742291"/>
      <w:bookmarkEnd w:id="45"/>
      <w:bookmarkStart w:id="46" w:name="_Toc88756723"/>
      <w:bookmarkEnd w:id="46"/>
      <w:bookmarkStart w:id="47" w:name="_Toc85732110"/>
      <w:bookmarkEnd w:id="47"/>
      <w:bookmarkStart w:id="48" w:name="_Toc86589731"/>
      <w:bookmarkEnd w:id="48"/>
      <w:bookmarkStart w:id="49" w:name="_Toc87531542"/>
      <w:bookmarkEnd w:id="49"/>
      <w:bookmarkStart w:id="50" w:name="_Toc89691942"/>
      <w:bookmarkEnd w:id="50"/>
      <w:bookmarkStart w:id="51" w:name="_Toc88676475"/>
      <w:bookmarkEnd w:id="51"/>
      <w:bookmarkStart w:id="52" w:name="_Toc89693135"/>
      <w:bookmarkEnd w:id="52"/>
      <w:bookmarkStart w:id="53" w:name="_Toc85731852"/>
      <w:bookmarkEnd w:id="53"/>
      <w:bookmarkStart w:id="54" w:name="_Toc86910622"/>
      <w:bookmarkEnd w:id="54"/>
      <w:bookmarkStart w:id="55" w:name="_Toc85731939"/>
      <w:bookmarkEnd w:id="55"/>
      <w:bookmarkStart w:id="56" w:name="_Toc86685764"/>
      <w:bookmarkEnd w:id="56"/>
      <w:bookmarkStart w:id="57" w:name="_Toc86589470"/>
      <w:bookmarkEnd w:id="57"/>
      <w:bookmarkStart w:id="58" w:name="_Toc87530784"/>
      <w:bookmarkEnd w:id="58"/>
      <w:bookmarkStart w:id="59" w:name="_Toc88642821"/>
      <w:bookmarkEnd w:id="59"/>
      <w:bookmarkStart w:id="60" w:name="_Toc86589557"/>
      <w:bookmarkEnd w:id="60"/>
      <w:bookmarkStart w:id="61" w:name="_Toc87531071"/>
      <w:bookmarkEnd w:id="61"/>
      <w:bookmarkStart w:id="62" w:name="_Toc86589361"/>
      <w:bookmarkEnd w:id="62"/>
      <w:bookmarkStart w:id="63" w:name="_Toc87531214"/>
      <w:bookmarkEnd w:id="63"/>
      <w:bookmarkStart w:id="64" w:name="_Toc85731765"/>
      <w:bookmarkEnd w:id="64"/>
      <w:bookmarkStart w:id="65" w:name="_Toc88642623"/>
      <w:bookmarkEnd w:id="65"/>
      <w:bookmarkStart w:id="66" w:name="_Toc89694279"/>
      <w:bookmarkEnd w:id="66"/>
      <w:bookmarkStart w:id="67" w:name="_Toc88676725"/>
      <w:bookmarkEnd w:id="67"/>
      <w:bookmarkStart w:id="68" w:name="_Toc89693092"/>
      <w:bookmarkEnd w:id="68"/>
      <w:bookmarkStart w:id="69" w:name="_Toc89356583"/>
      <w:bookmarkEnd w:id="69"/>
      <w:bookmarkStart w:id="70" w:name="_Toc86918532"/>
      <w:bookmarkEnd w:id="70"/>
      <w:bookmarkStart w:id="71" w:name="_Toc87530928"/>
      <w:bookmarkEnd w:id="71"/>
      <w:bookmarkStart w:id="72" w:name="_Toc86919156"/>
      <w:bookmarkEnd w:id="72"/>
      <w:bookmarkStart w:id="73" w:name="_Toc86589644"/>
      <w:bookmarkEnd w:id="73"/>
      <w:bookmarkStart w:id="74" w:name="_Toc87530630"/>
      <w:bookmarkEnd w:id="74"/>
      <w:bookmarkStart w:id="75" w:name="_Toc88503885"/>
      <w:bookmarkStart w:id="76" w:name="_Toc88504457"/>
      <w:bookmarkStart w:id="77" w:name="_Toc80114659"/>
      <w:r>
        <w:rPr>
          <w:rFonts w:hint="eastAsia" w:ascii="仿宋" w:hAnsi="仿宋" w:eastAsia="仿宋" w:cs="仿宋"/>
          <w:sz w:val="30"/>
          <w:szCs w:val="30"/>
          <w:highlight w:val="none"/>
        </w:rPr>
        <w:t>“十四五”时期</w:t>
      </w:r>
      <w:r>
        <w:rPr>
          <w:rFonts w:hint="eastAsia" w:ascii="仿宋" w:hAnsi="仿宋" w:eastAsia="仿宋" w:cs="仿宋"/>
          <w:sz w:val="30"/>
          <w:szCs w:val="30"/>
          <w:highlight w:val="none"/>
          <w:lang w:eastAsia="zh-CN"/>
        </w:rPr>
        <w:t>，</w:t>
      </w:r>
      <w:r>
        <w:rPr>
          <w:rFonts w:hint="eastAsia" w:ascii="仿宋" w:hAnsi="仿宋" w:cs="仿宋"/>
          <w:sz w:val="30"/>
          <w:szCs w:val="30"/>
          <w:highlight w:val="none"/>
          <w:lang w:val="en-US" w:eastAsia="zh-CN"/>
        </w:rPr>
        <w:t>在</w:t>
      </w:r>
      <w:r>
        <w:rPr>
          <w:rFonts w:hint="eastAsia" w:ascii="仿宋" w:hAnsi="仿宋" w:eastAsia="仿宋" w:cs="仿宋"/>
          <w:sz w:val="30"/>
          <w:szCs w:val="30"/>
          <w:highlight w:val="none"/>
          <w:lang w:val="en-US" w:eastAsia="zh-CN"/>
        </w:rPr>
        <w:t>国际上</w:t>
      </w:r>
      <w:r>
        <w:rPr>
          <w:rFonts w:hint="eastAsia" w:ascii="仿宋" w:hAnsi="仿宋" w:cs="仿宋"/>
          <w:sz w:val="30"/>
          <w:szCs w:val="30"/>
          <w:highlight w:val="none"/>
          <w:lang w:val="en-US" w:eastAsia="zh-CN"/>
        </w:rPr>
        <w:t>，</w:t>
      </w:r>
      <w:r>
        <w:rPr>
          <w:rFonts w:hint="eastAsia" w:ascii="仿宋" w:hAnsi="仿宋" w:eastAsia="仿宋" w:cs="仿宋"/>
          <w:sz w:val="30"/>
          <w:szCs w:val="30"/>
          <w:highlight w:val="none"/>
          <w:lang w:val="en-US" w:eastAsia="zh-CN"/>
        </w:rPr>
        <w:t>蓝色经济成为新的全球经济增长点，</w:t>
      </w:r>
      <w:r>
        <w:rPr>
          <w:rFonts w:hint="eastAsia" w:ascii="仿宋" w:hAnsi="仿宋" w:eastAsia="仿宋" w:cs="仿宋"/>
          <w:sz w:val="30"/>
          <w:szCs w:val="30"/>
          <w:highlight w:val="none"/>
        </w:rPr>
        <w:t>世界主要海洋大国加速向海洋价值链高端布局，</w:t>
      </w:r>
      <w:r>
        <w:rPr>
          <w:rFonts w:hint="eastAsia" w:ascii="仿宋" w:hAnsi="仿宋" w:eastAsia="仿宋" w:cs="仿宋"/>
          <w:sz w:val="30"/>
          <w:szCs w:val="30"/>
          <w:highlight w:val="none"/>
          <w:lang w:val="en-US" w:eastAsia="zh-CN"/>
        </w:rPr>
        <w:t>“一带一路”建设海上合作不断深化，</w:t>
      </w:r>
      <w:r>
        <w:rPr>
          <w:rFonts w:hint="eastAsia" w:ascii="仿宋" w:hAnsi="仿宋" w:eastAsia="仿宋" w:cs="仿宋"/>
          <w:sz w:val="30"/>
          <w:szCs w:val="30"/>
          <w:highlight w:val="none"/>
        </w:rPr>
        <w:t>海洋产业亟需与电子信息、高端研发制造、生物医药、新能源等技术群渗透融合，积极迈进深水、绿色、安全等海洋战略新领域，推动海洋产业向深海化、高端化、国际化方向发展。</w:t>
      </w:r>
      <w:r>
        <w:rPr>
          <w:rFonts w:hint="eastAsia" w:ascii="仿宋" w:hAnsi="仿宋" w:eastAsia="仿宋" w:cs="仿宋"/>
          <w:sz w:val="30"/>
          <w:szCs w:val="30"/>
          <w:highlight w:val="none"/>
          <w:lang w:val="en-US" w:eastAsia="zh-CN"/>
        </w:rPr>
        <w:t>同时，新冠肺炎疫情影响广泛深远，世界经济陷入低迷，海洋资源环境约束日益增强，新一轮的科技竞争与全球海洋发展仍面临复杂变数。</w:t>
      </w:r>
    </w:p>
    <w:p>
      <w:pPr>
        <w:pStyle w:val="5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从国内看，我国经济长期向好，市场空间广阔，发展韧性强劲，陆海联通高效，海洋经济发展空间有望持续拓展。同时，我国海洋可持续发展禀赋不强，资源与生态环境约束不断加大，绿色低碳转型面临更高要求，</w:t>
      </w:r>
      <w:r>
        <w:rPr>
          <w:rFonts w:hint="eastAsia" w:ascii="仿宋" w:hAnsi="仿宋" w:eastAsia="仿宋" w:cs="仿宋"/>
          <w:sz w:val="30"/>
          <w:szCs w:val="30"/>
          <w:highlight w:val="none"/>
        </w:rPr>
        <w:t>迫切需要增强海洋科技自主创新能力，</w:t>
      </w:r>
      <w:r>
        <w:rPr>
          <w:rFonts w:hint="eastAsia" w:ascii="仿宋" w:hAnsi="仿宋" w:eastAsia="仿宋" w:cs="仿宋"/>
          <w:sz w:val="30"/>
          <w:szCs w:val="30"/>
          <w:highlight w:val="none"/>
          <w:lang w:val="en-US" w:eastAsia="zh-CN"/>
        </w:rPr>
        <w:t>优化产业结构，推动海洋经济高质量发展。</w:t>
      </w:r>
    </w:p>
    <w:p>
      <w:pPr>
        <w:pStyle w:val="50"/>
        <w:rPr>
          <w:highlight w:val="none"/>
        </w:rPr>
      </w:pPr>
      <w:r>
        <w:rPr>
          <w:rFonts w:hint="eastAsia" w:ascii="仿宋" w:hAnsi="仿宋" w:eastAsia="仿宋" w:cs="仿宋"/>
          <w:sz w:val="30"/>
          <w:szCs w:val="30"/>
          <w:highlight w:val="none"/>
        </w:rPr>
        <w:t xml:space="preserve"> “十四五”时期是深圳实现海洋强市目标的重要战略机遇期，也是克服挑战、突破瓶颈的关键期。深圳应充分发挥中国特色社会主义先行示范区的制度创新优势，不断强化海洋功能和特色，</w:t>
      </w:r>
      <w:r>
        <w:rPr>
          <w:rFonts w:hint="eastAsia" w:ascii="仿宋" w:hAnsi="仿宋" w:eastAsia="仿宋" w:cs="仿宋"/>
          <w:sz w:val="30"/>
          <w:szCs w:val="30"/>
          <w:highlight w:val="none"/>
          <w:lang w:val="en-US" w:eastAsia="zh-CN"/>
        </w:rPr>
        <w:t>为推动高质量发展先行先试，</w:t>
      </w:r>
      <w:r>
        <w:rPr>
          <w:rFonts w:hint="eastAsia" w:ascii="仿宋" w:hAnsi="仿宋" w:eastAsia="仿宋" w:cs="仿宋"/>
          <w:sz w:val="30"/>
          <w:szCs w:val="30"/>
          <w:highlight w:val="none"/>
        </w:rPr>
        <w:t>不断提升国际影响力和竞争力。</w:t>
      </w:r>
    </w:p>
    <w:p>
      <w:pPr>
        <w:pStyle w:val="2"/>
        <w:spacing w:before="190"/>
      </w:pPr>
      <w:bookmarkStart w:id="78" w:name="_Toc388928094"/>
      <w:r>
        <w:rPr>
          <w:rFonts w:hint="eastAsia"/>
        </w:rPr>
        <w:t>总体要求</w:t>
      </w:r>
      <w:bookmarkEnd w:id="75"/>
      <w:bookmarkEnd w:id="76"/>
      <w:bookmarkEnd w:id="77"/>
      <w:bookmarkEnd w:id="78"/>
    </w:p>
    <w:p>
      <w:pPr>
        <w:pStyle w:val="3"/>
        <w:numPr>
          <w:ilvl w:val="0"/>
          <w:numId w:val="9"/>
        </w:numPr>
        <w:spacing w:before="190" w:after="76"/>
      </w:pPr>
      <w:bookmarkStart w:id="79" w:name="_Toc88503886"/>
      <w:bookmarkStart w:id="80" w:name="_Toc93458762"/>
      <w:bookmarkStart w:id="81" w:name="_Toc80114660"/>
      <w:bookmarkStart w:id="82" w:name="_Toc88504458"/>
      <w:r>
        <w:rPr>
          <w:rFonts w:hint="eastAsia"/>
        </w:rPr>
        <w:t>指导思想</w:t>
      </w:r>
      <w:bookmarkEnd w:id="79"/>
      <w:bookmarkEnd w:id="80"/>
      <w:bookmarkEnd w:id="81"/>
      <w:bookmarkEnd w:id="82"/>
    </w:p>
    <w:p>
      <w:pPr>
        <w:pStyle w:val="50"/>
        <w:bidi w:val="0"/>
      </w:pPr>
      <w:bookmarkStart w:id="83" w:name="_Toc91164597"/>
      <w:bookmarkEnd w:id="83"/>
      <w:bookmarkStart w:id="84" w:name="_Toc88504459"/>
      <w:bookmarkStart w:id="85" w:name="_Toc88503887"/>
      <w:bookmarkStart w:id="86" w:name="_Toc80114661"/>
      <w:r>
        <w:rPr>
          <w:rFonts w:hint="eastAsia"/>
        </w:rPr>
        <w:t>以习近平新时代中国特色社会主义思想为指导，深入贯彻党的十九</w:t>
      </w:r>
      <w:r>
        <w:rPr>
          <w:rFonts w:hint="eastAsia"/>
          <w:lang w:val="zh-CN"/>
        </w:rPr>
        <w:t>大和十九届历次全会精神，认真落实习近平总书记</w:t>
      </w:r>
      <w:r>
        <w:rPr>
          <w:rFonts w:hint="eastAsia"/>
        </w:rPr>
        <w:t>关于海洋强国战略的</w:t>
      </w:r>
      <w:r>
        <w:rPr>
          <w:rFonts w:hint="eastAsia"/>
          <w:lang w:val="zh-CN"/>
        </w:rPr>
        <w:t>重要</w:t>
      </w:r>
      <w:r>
        <w:rPr>
          <w:rFonts w:hint="eastAsia"/>
        </w:rPr>
        <w:t>论述</w:t>
      </w:r>
      <w:r>
        <w:rPr>
          <w:rFonts w:hint="eastAsia"/>
          <w:lang w:val="zh-CN"/>
        </w:rPr>
        <w:t>精神，以建设“全球海洋中心城市”为总目标，立足新发展阶段，贯彻新发展理念，构建统筹海洋经济</w:t>
      </w:r>
      <w:r>
        <w:rPr>
          <w:rFonts w:hint="eastAsia"/>
          <w:lang w:val="en-US" w:eastAsia="zh-CN"/>
        </w:rPr>
        <w:t>发展格局</w:t>
      </w:r>
      <w:r>
        <w:rPr>
          <w:rFonts w:hint="eastAsia"/>
          <w:lang w:val="zh-CN"/>
        </w:rPr>
        <w:t>，</w:t>
      </w:r>
      <w:r>
        <w:rPr>
          <w:rFonts w:hint="eastAsia"/>
          <w:lang w:val="en-US" w:eastAsia="zh-CN"/>
        </w:rPr>
        <w:t>推动高质量发展，增进民生福祉，</w:t>
      </w:r>
      <w:r>
        <w:rPr>
          <w:rFonts w:hint="eastAsia"/>
        </w:rPr>
        <w:t>抢抓</w:t>
      </w:r>
      <w:r>
        <w:rPr>
          <w:rFonts w:hint="eastAsia"/>
          <w:lang w:val="zh-CN"/>
        </w:rPr>
        <w:t>海洋强国、粤港澳大湾区、</w:t>
      </w:r>
      <w:r>
        <w:rPr>
          <w:rFonts w:hint="eastAsia"/>
        </w:rPr>
        <w:t>中国特色</w:t>
      </w:r>
      <w:r>
        <w:rPr>
          <w:rFonts w:hint="eastAsia"/>
          <w:lang w:val="zh-CN"/>
        </w:rPr>
        <w:t>社会主义</w:t>
      </w:r>
      <w:r>
        <w:rPr>
          <w:rFonts w:hint="eastAsia"/>
        </w:rPr>
        <w:t>先行</w:t>
      </w:r>
      <w:r>
        <w:rPr>
          <w:rFonts w:hint="eastAsia"/>
          <w:lang w:val="zh-CN"/>
        </w:rPr>
        <w:t>示范区等国家战略机遇，全面深化改革开放，</w:t>
      </w:r>
      <w:r>
        <w:rPr>
          <w:rFonts w:hint="eastAsia"/>
        </w:rPr>
        <w:t>加快</w:t>
      </w:r>
      <w:r>
        <w:rPr>
          <w:rFonts w:hint="eastAsia"/>
          <w:lang w:val="zh-CN"/>
        </w:rPr>
        <w:t>向海发展</w:t>
      </w:r>
      <w:r>
        <w:rPr>
          <w:rFonts w:hint="eastAsia"/>
        </w:rPr>
        <w:t>步伐</w:t>
      </w:r>
      <w:r>
        <w:rPr>
          <w:rFonts w:hint="eastAsia"/>
          <w:lang w:val="zh-CN"/>
        </w:rPr>
        <w:t>打造国内国际双循环战略支点，</w:t>
      </w:r>
      <w:r>
        <w:rPr>
          <w:rFonts w:hint="eastAsia"/>
          <w:lang w:val="en-US" w:eastAsia="zh-CN"/>
        </w:rPr>
        <w:t>打造全国海洋经济高质量发展引领区，全球海洋科技创新高地，</w:t>
      </w:r>
      <w:r>
        <w:rPr>
          <w:rFonts w:hint="eastAsia"/>
          <w:lang w:val="zh-CN"/>
        </w:rPr>
        <w:t>努力创建竞争力、创新力、影响力卓越的全球海洋中心城市、社会主义海洋强国战略的城市范例。</w:t>
      </w:r>
    </w:p>
    <w:p>
      <w:pPr>
        <w:pStyle w:val="3"/>
        <w:spacing w:before="190" w:after="76"/>
      </w:pPr>
      <w:bookmarkStart w:id="87" w:name="_Toc1317134764"/>
      <w:r>
        <w:rPr>
          <w:rFonts w:hint="eastAsia"/>
        </w:rPr>
        <w:t>基本原则</w:t>
      </w:r>
      <w:bookmarkEnd w:id="84"/>
      <w:bookmarkEnd w:id="85"/>
      <w:bookmarkEnd w:id="86"/>
      <w:bookmarkEnd w:id="87"/>
    </w:p>
    <w:p>
      <w:pPr>
        <w:pStyle w:val="50"/>
      </w:pPr>
      <w:r>
        <w:rPr>
          <w:rFonts w:hint="eastAsia"/>
          <w:b/>
          <w:bCs/>
          <w:highlight w:val="none"/>
        </w:rPr>
        <w:t>先行示范、创新发展。</w:t>
      </w:r>
      <w:r>
        <w:rPr>
          <w:rFonts w:hint="eastAsia" w:ascii="仿宋" w:hAnsi="仿宋" w:eastAsia="仿宋" w:cs="仿宋"/>
          <w:highlight w:val="none"/>
          <w:lang w:val="en-US" w:eastAsia="zh-CN"/>
        </w:rPr>
        <w:t>增强自立自强的海洋科技创新能力</w:t>
      </w:r>
      <w:r>
        <w:rPr>
          <w:rFonts w:hint="eastAsia" w:ascii="仿宋" w:hAnsi="仿宋" w:cs="仿宋"/>
          <w:highlight w:val="none"/>
          <w:lang w:val="en-US" w:eastAsia="zh-CN"/>
        </w:rPr>
        <w:t>，</w:t>
      </w:r>
      <w:r>
        <w:rPr>
          <w:rFonts w:hint="eastAsia"/>
          <w:highlight w:val="none"/>
        </w:rPr>
        <w:t>充分</w:t>
      </w:r>
      <w:r>
        <w:rPr>
          <w:rFonts w:hint="eastAsia"/>
        </w:rPr>
        <w:t>发挥科技创新的支撑引领作用，率先突破一批海洋领域关键技术，积极促进数字技术与海洋经济深度融合，抢占世界海洋科技创新制高点。不断提升海洋科技成果转化能力，优化产学研用协同攻关模式，促进创新链、产业链与资金链的协同创新。</w:t>
      </w:r>
    </w:p>
    <w:p>
      <w:pPr>
        <w:pStyle w:val="50"/>
      </w:pPr>
      <w:r>
        <w:rPr>
          <w:rFonts w:hint="eastAsia"/>
          <w:b/>
          <w:bCs/>
        </w:rPr>
        <w:t>陆海统筹、集聚发展。</w:t>
      </w:r>
      <w:r>
        <w:rPr>
          <w:rFonts w:hint="eastAsia"/>
        </w:rPr>
        <w:t>坚持陆海统筹和区域联动，提高海洋经济辐射带动力。促进陆海在空间布局、产业发展、基础设施、资源开发、生态保护等领域的协同发展，形成两廊引领、四区支撑的空间格局，构建陆海统筹、城海互动的协调发展新格局。</w:t>
      </w:r>
    </w:p>
    <w:p>
      <w:pPr>
        <w:pStyle w:val="50"/>
      </w:pPr>
      <w:r>
        <w:rPr>
          <w:rFonts w:hint="eastAsia"/>
          <w:b/>
          <w:bCs/>
        </w:rPr>
        <w:t>生态优先、绿色发展。</w:t>
      </w:r>
      <w:r>
        <w:rPr>
          <w:rFonts w:hint="eastAsia"/>
        </w:rPr>
        <w:t>以碳达峰、碳中和为目标，坚持尊重自然、顺应自然、保护自然，牢固树立发展与保护相统一的理</w:t>
      </w:r>
      <w:r>
        <w:rPr>
          <w:rFonts w:hint="eastAsia"/>
          <w:highlight w:val="none"/>
        </w:rPr>
        <w:t>念，</w:t>
      </w:r>
      <w:r>
        <w:rPr>
          <w:rFonts w:hint="eastAsia" w:ascii="仿宋" w:hAnsi="仿宋" w:eastAsia="仿宋" w:cs="仿宋"/>
          <w:highlight w:val="none"/>
          <w:lang w:val="en-US" w:eastAsia="zh-CN"/>
        </w:rPr>
        <w:t>打造绿色可持续的海洋生态环境</w:t>
      </w:r>
      <w:r>
        <w:rPr>
          <w:rFonts w:hint="eastAsia"/>
          <w:highlight w:val="none"/>
        </w:rPr>
        <w:t>，加</w:t>
      </w:r>
      <w:r>
        <w:rPr>
          <w:rFonts w:hint="eastAsia"/>
        </w:rPr>
        <w:t>强海洋环境污染防治，保护海域生态环境和海洋生物多样性，有序开发利用海洋资源，促进海洋生态产品价值实现。</w:t>
      </w:r>
    </w:p>
    <w:p>
      <w:pPr>
        <w:pStyle w:val="50"/>
      </w:pPr>
      <w:r>
        <w:rPr>
          <w:rFonts w:hint="eastAsia"/>
          <w:b/>
          <w:bCs/>
        </w:rPr>
        <w:t>开放共赢、协同发展。</w:t>
      </w:r>
      <w:r>
        <w:rPr>
          <w:rFonts w:hint="eastAsia"/>
        </w:rPr>
        <w:t>秉承开放包容、互利共赢的理念，加快培育海洋经济开放合作新优势，积极参与全球海洋治理，推动构建海洋命运共同体。推进粤港澳大湾区海洋经济产业链、海事管理机制、生态环境治理、防灾减灾等合作，抓紧《区域全面经济伙伴关系协定》（R</w:t>
      </w:r>
      <w:r>
        <w:t>CEP</w:t>
      </w:r>
      <w:r>
        <w:rPr>
          <w:rFonts w:hint="eastAsia"/>
        </w:rPr>
        <w:t>）生效实施下的对外贸易和技术合作机遇，加大南海综合保障服务力度，深度融入“21世纪海上丝绸之路”建设。</w:t>
      </w:r>
    </w:p>
    <w:p>
      <w:pPr>
        <w:pStyle w:val="3"/>
        <w:spacing w:before="190" w:after="76"/>
      </w:pPr>
      <w:bookmarkStart w:id="88" w:name="_Toc88503888"/>
      <w:bookmarkStart w:id="89" w:name="_Toc80114662"/>
      <w:bookmarkStart w:id="90" w:name="_Toc88504460"/>
      <w:bookmarkStart w:id="91" w:name="_Toc2021752522"/>
      <w:r>
        <w:rPr>
          <w:rFonts w:hint="eastAsia"/>
        </w:rPr>
        <w:t>发展目标</w:t>
      </w:r>
      <w:bookmarkEnd w:id="88"/>
      <w:bookmarkEnd w:id="89"/>
      <w:bookmarkEnd w:id="90"/>
      <w:bookmarkEnd w:id="91"/>
    </w:p>
    <w:p>
      <w:pPr>
        <w:pStyle w:val="5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至</w:t>
      </w:r>
      <w:r>
        <w:rPr>
          <w:rFonts w:hint="eastAsia"/>
          <w:highlight w:val="none"/>
          <w:lang w:val="en-US" w:eastAsia="zh-CN"/>
        </w:rPr>
        <w:t>2025</w:t>
      </w:r>
      <w:r>
        <w:rPr>
          <w:rFonts w:hint="eastAsia" w:ascii="仿宋" w:hAnsi="仿宋" w:eastAsia="仿宋" w:cs="仿宋"/>
          <w:sz w:val="32"/>
          <w:szCs w:val="32"/>
          <w:highlight w:val="none"/>
          <w:lang w:val="en-US" w:eastAsia="zh-CN"/>
        </w:rPr>
        <w:t>年，深圳</w:t>
      </w:r>
      <w:r>
        <w:rPr>
          <w:rFonts w:hint="eastAsia" w:ascii="仿宋" w:hAnsi="仿宋" w:eastAsia="仿宋" w:cs="仿宋"/>
          <w:sz w:val="32"/>
          <w:szCs w:val="32"/>
          <w:highlight w:val="none"/>
        </w:rPr>
        <w:t>海洋经济发展取得新成效，海洋空间品质提至新水平，海洋科技创新实现新突破，海洋生态文明迈向新台阶，海洋开放合作取得新进展，</w:t>
      </w:r>
      <w:r>
        <w:rPr>
          <w:rFonts w:hint="eastAsia" w:ascii="仿宋" w:hAnsi="仿宋" w:eastAsia="仿宋" w:cs="仿宋"/>
          <w:sz w:val="32"/>
          <w:szCs w:val="32"/>
          <w:highlight w:val="none"/>
          <w:lang w:val="en-US" w:eastAsia="zh-CN"/>
        </w:rPr>
        <w:t>强化深圳海洋功能和特色，</w:t>
      </w:r>
      <w:r>
        <w:rPr>
          <w:rFonts w:hint="eastAsia" w:ascii="仿宋" w:hAnsi="仿宋" w:eastAsia="仿宋" w:cs="仿宋"/>
          <w:sz w:val="32"/>
          <w:szCs w:val="32"/>
          <w:highlight w:val="none"/>
        </w:rPr>
        <w:t>奠定建设全球海洋中心城市的坚实基础。</w:t>
      </w:r>
    </w:p>
    <w:p>
      <w:pPr>
        <w:pStyle w:val="50"/>
      </w:pPr>
      <w:r>
        <w:rPr>
          <w:rFonts w:hint="eastAsia"/>
          <w:b/>
          <w:bCs/>
        </w:rPr>
        <w:t>海洋经济发展取得新成效。</w:t>
      </w:r>
      <w:r>
        <w:rPr>
          <w:rFonts w:hint="eastAsia"/>
        </w:rPr>
        <w:t>到</w:t>
      </w:r>
      <w:r>
        <w:t>2025年，</w:t>
      </w:r>
      <w:r>
        <w:rPr>
          <w:rFonts w:hint="eastAsia"/>
        </w:rPr>
        <w:t>全市海洋生产总值达</w:t>
      </w:r>
      <w:r>
        <w:t>4000</w:t>
      </w:r>
      <w:r>
        <w:rPr>
          <w:rFonts w:hint="eastAsia"/>
        </w:rPr>
        <w:t>亿元</w:t>
      </w:r>
      <w:r>
        <w:t>，</w:t>
      </w:r>
      <w:r>
        <w:rPr>
          <w:rFonts w:hint="eastAsia"/>
        </w:rPr>
        <w:t>占全市G</w:t>
      </w:r>
      <w:r>
        <w:t>DP</w:t>
      </w:r>
      <w:r>
        <w:rPr>
          <w:rFonts w:hint="eastAsia"/>
        </w:rPr>
        <w:t>约</w:t>
      </w:r>
      <w:r>
        <w:t>10%</w:t>
      </w:r>
      <w:r>
        <w:rPr>
          <w:rFonts w:hint="eastAsia"/>
        </w:rPr>
        <w:t>，年均增长高于全市</w:t>
      </w:r>
      <w:r>
        <w:t>GDP</w:t>
      </w:r>
      <w:r>
        <w:rPr>
          <w:rFonts w:hint="eastAsia"/>
        </w:rPr>
        <w:t>增速</w:t>
      </w:r>
      <w:r>
        <w:t>。</w:t>
      </w:r>
      <w:r>
        <w:rPr>
          <w:rFonts w:hint="eastAsia"/>
        </w:rPr>
        <w:t>海洋产业结构不断优化，特色的现代海洋产业体系初步成型，海洋传统产业高端化、绿色化、智能化水平显著提升，海洋新兴产业和现代服务业不断发展壮大。</w:t>
      </w:r>
      <w:r>
        <w:t>高端航运要素不断集聚，智能数字航运中心逐步成型；</w:t>
      </w:r>
      <w:r>
        <w:rPr>
          <w:rFonts w:hint="eastAsia"/>
        </w:rPr>
        <w:t>海洋能源利用结构进一步优化，海洋油气产量和海洋清洁能源产量持续上升。</w:t>
      </w:r>
    </w:p>
    <w:p>
      <w:pPr>
        <w:pStyle w:val="50"/>
        <w:rPr>
          <w:b/>
          <w:bCs/>
        </w:rPr>
      </w:pPr>
      <w:bookmarkStart w:id="92" w:name="_Hlk93851744"/>
      <w:r>
        <w:rPr>
          <w:rFonts w:hint="eastAsia"/>
          <w:b/>
          <w:bCs/>
        </w:rPr>
        <w:t>海洋空间品质提至新水平。</w:t>
      </w:r>
      <w:r>
        <w:rPr>
          <w:rFonts w:hint="eastAsia"/>
        </w:rPr>
        <w:t>统筹全市陆海空间资源，优化要素配置，为海洋产业经济、科技创新提供空间保障。推动海岸带和海洋文体旅游基础设施建设，打造高品质滨海公共空间。</w:t>
      </w:r>
    </w:p>
    <w:bookmarkEnd w:id="92"/>
    <w:p>
      <w:pPr>
        <w:pStyle w:val="50"/>
      </w:pPr>
      <w:r>
        <w:rPr>
          <w:rFonts w:hint="eastAsia"/>
          <w:b/>
          <w:bCs/>
        </w:rPr>
        <w:t>海洋科技创新实现新突破。</w:t>
      </w:r>
      <w:r>
        <w:rPr>
          <w:rFonts w:hint="eastAsia"/>
        </w:rPr>
        <w:t>海洋科技创新体系基本形成，基础研究和创新能力进一步凝聚提升。增强海洋科技创新基础设施和平台建设，海洋科技创新平台（国家级/省级）总数达到3</w:t>
      </w:r>
      <w:r>
        <w:t>0</w:t>
      </w:r>
      <w:r>
        <w:rPr>
          <w:rFonts w:hint="eastAsia"/>
        </w:rPr>
        <w:t>个，建成若干</w:t>
      </w:r>
      <w:r>
        <w:t>海洋</w:t>
      </w:r>
      <w:r>
        <w:rPr>
          <w:rFonts w:hint="eastAsia"/>
        </w:rPr>
        <w:t>综合</w:t>
      </w:r>
      <w:r>
        <w:t>试验场</w:t>
      </w:r>
      <w:r>
        <w:rPr>
          <w:rFonts w:hint="eastAsia"/>
        </w:rPr>
        <w:t>；增强海洋科技投入与产出，</w:t>
      </w:r>
      <w:r>
        <w:t>海洋领域发明专利拥有量年均增速达8%</w:t>
      </w:r>
      <w:r>
        <w:rPr>
          <w:rFonts w:hint="eastAsia"/>
        </w:rPr>
        <w:t>；</w:t>
      </w:r>
      <w:r>
        <w:t>建设一批有影响力的高水平海洋科研机构</w:t>
      </w:r>
      <w:r>
        <w:rPr>
          <w:rFonts w:hint="eastAsia"/>
        </w:rPr>
        <w:t>，聚集</w:t>
      </w:r>
      <w:r>
        <w:t>海洋类</w:t>
      </w:r>
      <w:r>
        <w:rPr>
          <w:rFonts w:hint="eastAsia"/>
        </w:rPr>
        <w:t>高端科研团队3</w:t>
      </w:r>
      <w:r>
        <w:t>0</w:t>
      </w:r>
      <w:r>
        <w:rPr>
          <w:rFonts w:hint="eastAsia"/>
        </w:rPr>
        <w:t>个，</w:t>
      </w:r>
      <w:r>
        <w:t>海洋高端人才教育取得突破，海洋教育体系初具雏形。</w:t>
      </w:r>
    </w:p>
    <w:p>
      <w:pPr>
        <w:pStyle w:val="50"/>
      </w:pPr>
      <w:r>
        <w:rPr>
          <w:rFonts w:hint="eastAsia"/>
          <w:b/>
          <w:bCs/>
        </w:rPr>
        <w:t>海洋生态文明迈向新台阶。</w:t>
      </w:r>
      <w:r>
        <w:rPr>
          <w:rFonts w:hint="eastAsia"/>
        </w:rPr>
        <w:t>海洋生态环境质量明显改善，近岸海域水质优良面积比例达到上级考核目标要求，大陆自然岸线保有率不低于40%，岸线整治修复长度不少于</w:t>
      </w:r>
      <w:r>
        <w:t>2</w:t>
      </w:r>
      <w:r>
        <w:rPr>
          <w:rFonts w:hint="eastAsia"/>
        </w:rPr>
        <w:t>公里。建成海洋类博物馆/展览馆不少于6个。海洋综合管理和服务实现创新发展，海洋公共服务体系进一步完善</w:t>
      </w:r>
      <w:r>
        <w:t>。</w:t>
      </w:r>
    </w:p>
    <w:p>
      <w:pPr>
        <w:pStyle w:val="50"/>
      </w:pPr>
      <w:r>
        <w:rPr>
          <w:rFonts w:hint="eastAsia"/>
          <w:b/>
          <w:bCs/>
        </w:rPr>
        <w:t>海洋开放合作取得新进展。</w:t>
      </w:r>
      <w:r>
        <w:rPr>
          <w:rFonts w:hint="eastAsia"/>
        </w:rPr>
        <w:t>推动与“2</w:t>
      </w:r>
      <w:r>
        <w:t>1</w:t>
      </w:r>
      <w:r>
        <w:rPr>
          <w:rFonts w:hint="eastAsia"/>
        </w:rPr>
        <w:t>世纪海上丝绸之路”沿线国家和地区在海洋产业、科技、生态等方面合作取得突破性成果；</w:t>
      </w:r>
      <w:r>
        <w:t>举办国际海洋高端展会</w:t>
      </w:r>
      <w:r>
        <w:rPr>
          <w:rFonts w:hint="eastAsia"/>
        </w:rPr>
        <w:t>不少于</w:t>
      </w:r>
      <w:r>
        <w:t>10次，</w:t>
      </w:r>
      <w:r>
        <w:rPr>
          <w:rFonts w:hint="eastAsia"/>
        </w:rPr>
        <w:t>新建国际合作平台数量不少于</w:t>
      </w:r>
      <w:r>
        <w:t>10</w:t>
      </w:r>
      <w:r>
        <w:rPr>
          <w:rFonts w:hint="eastAsia"/>
        </w:rPr>
        <w:t>个。</w:t>
      </w:r>
    </w:p>
    <w:p>
      <w:pPr>
        <w:spacing w:line="360" w:lineRule="auto"/>
        <w:jc w:val="center"/>
      </w:pPr>
      <w:r>
        <w:rPr>
          <w:rFonts w:hint="eastAsia"/>
          <w:b/>
          <w:bCs/>
        </w:rPr>
        <w:t>附表1</w:t>
      </w:r>
      <w:r>
        <w:rPr>
          <w:b/>
          <w:bCs/>
        </w:rPr>
        <w:t xml:space="preserve"> </w:t>
      </w:r>
      <w:r>
        <w:rPr>
          <w:rFonts w:hint="eastAsia"/>
          <w:b/>
          <w:bCs/>
        </w:rPr>
        <w:t>深圳“十四五”海洋经济发展主要指标</w:t>
      </w:r>
      <w:r>
        <w:rPr>
          <w:rStyle w:val="41"/>
        </w:rPr>
        <w:footnoteReference w:id="0" w:customMarkFollows="1"/>
        <w:sym w:font="Wingdings 2" w:char="F06A"/>
      </w:r>
    </w:p>
    <w:tbl>
      <w:tblPr>
        <w:tblStyle w:val="32"/>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574"/>
        <w:gridCol w:w="5350"/>
        <w:gridCol w:w="101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13" w:type="dxa"/>
            <w:vAlign w:val="center"/>
          </w:tcPr>
          <w:p>
            <w:pPr>
              <w:pStyle w:val="28"/>
              <w:keepNext w:val="0"/>
              <w:keepLines w:val="0"/>
              <w:suppressLineNumbers w:val="0"/>
              <w:spacing w:line="276" w:lineRule="auto"/>
              <w:ind w:left="0" w:right="0"/>
              <w:jc w:val="center"/>
              <w:rPr>
                <w:rFonts w:hint="eastAsia" w:ascii="仿宋" w:hAnsi="仿宋" w:cs="微软雅黑"/>
                <w:b/>
                <w:bCs/>
              </w:rPr>
            </w:pPr>
            <w:r>
              <w:rPr>
                <w:rFonts w:hint="eastAsia" w:ascii="仿宋" w:hAnsi="仿宋" w:cs="微软雅黑"/>
                <w:b/>
                <w:bCs/>
              </w:rPr>
              <w:t>目标类型</w:t>
            </w:r>
          </w:p>
        </w:tc>
        <w:tc>
          <w:tcPr>
            <w:tcW w:w="574" w:type="dxa"/>
            <w:vAlign w:val="center"/>
          </w:tcPr>
          <w:p>
            <w:pPr>
              <w:pStyle w:val="28"/>
              <w:keepNext w:val="0"/>
              <w:keepLines w:val="0"/>
              <w:suppressLineNumbers w:val="0"/>
              <w:spacing w:line="276" w:lineRule="auto"/>
              <w:ind w:left="0" w:right="0"/>
              <w:jc w:val="center"/>
              <w:rPr>
                <w:rFonts w:hint="eastAsia" w:ascii="仿宋" w:hAnsi="仿宋"/>
                <w:b/>
                <w:bCs/>
              </w:rPr>
            </w:pPr>
            <w:r>
              <w:rPr>
                <w:rFonts w:hint="eastAsia" w:ascii="仿宋" w:hAnsi="仿宋" w:cs="微软雅黑"/>
                <w:b/>
                <w:bCs/>
              </w:rPr>
              <w:t>序号</w:t>
            </w:r>
          </w:p>
        </w:tc>
        <w:tc>
          <w:tcPr>
            <w:tcW w:w="5350" w:type="dxa"/>
            <w:vAlign w:val="center"/>
          </w:tcPr>
          <w:p>
            <w:pPr>
              <w:pStyle w:val="28"/>
              <w:keepNext w:val="0"/>
              <w:keepLines w:val="0"/>
              <w:suppressLineNumbers w:val="0"/>
              <w:spacing w:line="276" w:lineRule="auto"/>
              <w:ind w:left="0" w:right="0"/>
              <w:jc w:val="center"/>
              <w:rPr>
                <w:rFonts w:hint="eastAsia" w:ascii="仿宋" w:hAnsi="仿宋"/>
                <w:b/>
                <w:bCs/>
              </w:rPr>
            </w:pPr>
            <w:r>
              <w:rPr>
                <w:rFonts w:hint="eastAsia" w:ascii="仿宋" w:hAnsi="仿宋" w:cs="微软雅黑"/>
                <w:b/>
                <w:bCs/>
              </w:rPr>
              <w:t>指标</w:t>
            </w:r>
          </w:p>
        </w:tc>
        <w:tc>
          <w:tcPr>
            <w:tcW w:w="1013" w:type="dxa"/>
            <w:vAlign w:val="center"/>
          </w:tcPr>
          <w:p>
            <w:pPr>
              <w:pStyle w:val="28"/>
              <w:keepNext w:val="0"/>
              <w:keepLines w:val="0"/>
              <w:suppressLineNumbers w:val="0"/>
              <w:spacing w:line="276" w:lineRule="auto"/>
              <w:ind w:left="0" w:right="0"/>
              <w:jc w:val="center"/>
              <w:rPr>
                <w:rFonts w:hint="eastAsia" w:ascii="仿宋" w:hAnsi="仿宋"/>
                <w:b/>
                <w:bCs/>
              </w:rPr>
            </w:pPr>
            <w:r>
              <w:rPr>
                <w:rFonts w:hint="eastAsia" w:ascii="仿宋" w:hAnsi="仿宋" w:cs="微软雅黑"/>
                <w:b/>
                <w:bCs/>
                <w:lang w:val="en-US" w:eastAsia="zh-CN"/>
              </w:rPr>
              <w:t>2025年</w:t>
            </w:r>
            <w:r>
              <w:rPr>
                <w:rFonts w:hint="eastAsia" w:ascii="仿宋" w:hAnsi="仿宋" w:cs="微软雅黑"/>
                <w:b/>
                <w:bCs/>
              </w:rPr>
              <w:t>目标值</w:t>
            </w:r>
          </w:p>
        </w:tc>
        <w:tc>
          <w:tcPr>
            <w:tcW w:w="1276" w:type="dxa"/>
            <w:vAlign w:val="center"/>
          </w:tcPr>
          <w:p>
            <w:pPr>
              <w:pStyle w:val="28"/>
              <w:keepNext w:val="0"/>
              <w:keepLines w:val="0"/>
              <w:suppressLineNumbers w:val="0"/>
              <w:spacing w:line="276" w:lineRule="auto"/>
              <w:ind w:left="0" w:right="0"/>
              <w:jc w:val="center"/>
              <w:rPr>
                <w:rFonts w:hint="eastAsia" w:ascii="仿宋" w:hAnsi="仿宋" w:cs="微软雅黑"/>
                <w:b/>
                <w:bCs/>
              </w:rPr>
            </w:pPr>
            <w:r>
              <w:rPr>
                <w:rFonts w:hint="eastAsia" w:ascii="仿宋" w:hAnsi="仿宋" w:cs="微软雅黑"/>
                <w:b/>
                <w:bCs/>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13" w:type="dxa"/>
            <w:vMerge w:val="restart"/>
            <w:vAlign w:val="center"/>
          </w:tcPr>
          <w:p>
            <w:pPr>
              <w:pStyle w:val="28"/>
              <w:keepNext w:val="0"/>
              <w:keepLines w:val="0"/>
              <w:suppressLineNumbers w:val="0"/>
              <w:spacing w:line="276" w:lineRule="auto"/>
              <w:ind w:left="0" w:right="0"/>
              <w:jc w:val="center"/>
              <w:rPr>
                <w:rFonts w:hint="eastAsia" w:ascii="仿宋" w:hAnsi="仿宋" w:cs="微软雅黑"/>
                <w:b/>
                <w:bCs/>
              </w:rPr>
            </w:pPr>
            <w:r>
              <w:rPr>
                <w:rFonts w:hint="eastAsia" w:ascii="仿宋" w:hAnsi="仿宋" w:cs="微软雅黑"/>
                <w:b/>
                <w:bCs/>
              </w:rPr>
              <w:t>综合实力</w:t>
            </w:r>
          </w:p>
        </w:tc>
        <w:tc>
          <w:tcPr>
            <w:tcW w:w="574" w:type="dxa"/>
            <w:vAlign w:val="center"/>
          </w:tcPr>
          <w:p>
            <w:pPr>
              <w:pStyle w:val="28"/>
              <w:keepNext w:val="0"/>
              <w:keepLines w:val="0"/>
              <w:suppressLineNumbers w:val="0"/>
              <w:spacing w:line="276" w:lineRule="auto"/>
              <w:ind w:left="0" w:right="0"/>
              <w:jc w:val="center"/>
              <w:rPr>
                <w:rFonts w:hint="eastAsia" w:ascii="仿宋" w:hAnsi="仿宋" w:cs="微软雅黑"/>
              </w:rPr>
            </w:pPr>
            <w:r>
              <w:rPr>
                <w:rFonts w:hint="eastAsia" w:ascii="仿宋" w:hAnsi="仿宋" w:cs="微软雅黑"/>
              </w:rPr>
              <w:t>1</w:t>
            </w:r>
          </w:p>
        </w:tc>
        <w:tc>
          <w:tcPr>
            <w:tcW w:w="5350" w:type="dxa"/>
            <w:vAlign w:val="center"/>
          </w:tcPr>
          <w:p>
            <w:pPr>
              <w:pStyle w:val="28"/>
              <w:keepNext w:val="0"/>
              <w:keepLines w:val="0"/>
              <w:suppressLineNumbers w:val="0"/>
              <w:spacing w:line="276" w:lineRule="auto"/>
              <w:ind w:left="0" w:right="0"/>
              <w:rPr>
                <w:rFonts w:hint="eastAsia" w:ascii="仿宋" w:hAnsi="仿宋" w:cs="微软雅黑"/>
              </w:rPr>
            </w:pPr>
            <w:r>
              <w:rPr>
                <w:rFonts w:hint="eastAsia" w:ascii="仿宋" w:hAnsi="仿宋"/>
              </w:rPr>
              <w:t>占全市生产总值比重（%）</w:t>
            </w:r>
          </w:p>
        </w:tc>
        <w:tc>
          <w:tcPr>
            <w:tcW w:w="1013" w:type="dxa"/>
            <w:vAlign w:val="center"/>
          </w:tcPr>
          <w:p>
            <w:pPr>
              <w:pStyle w:val="28"/>
              <w:keepNext w:val="0"/>
              <w:keepLines w:val="0"/>
              <w:suppressLineNumbers w:val="0"/>
              <w:spacing w:line="276" w:lineRule="auto"/>
              <w:ind w:left="0" w:right="0"/>
              <w:jc w:val="center"/>
              <w:rPr>
                <w:rFonts w:hint="eastAsia" w:ascii="仿宋" w:hAnsi="仿宋" w:cs="微软雅黑"/>
              </w:rPr>
            </w:pPr>
            <w:r>
              <w:rPr>
                <w:rFonts w:hint="eastAsia" w:ascii="仿宋" w:hAnsi="仿宋" w:cs="微软雅黑"/>
              </w:rPr>
              <w:t>10</w:t>
            </w:r>
          </w:p>
        </w:tc>
        <w:tc>
          <w:tcPr>
            <w:tcW w:w="1276" w:type="dxa"/>
            <w:vAlign w:val="center"/>
          </w:tcPr>
          <w:p>
            <w:pPr>
              <w:pStyle w:val="28"/>
              <w:keepNext w:val="0"/>
              <w:keepLines w:val="0"/>
              <w:suppressLineNumbers w:val="0"/>
              <w:spacing w:line="276" w:lineRule="auto"/>
              <w:ind w:left="0" w:right="0"/>
              <w:jc w:val="center"/>
              <w:rPr>
                <w:rFonts w:hint="eastAsia" w:ascii="仿宋" w:hAnsi="仿宋" w:cs="微软雅黑"/>
              </w:rPr>
            </w:pPr>
            <w:r>
              <w:rPr>
                <w:rFonts w:hint="eastAsia" w:ascii="仿宋" w:hAnsi="仿宋" w:cs="微软雅黑"/>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13" w:type="dxa"/>
            <w:vMerge w:val="continue"/>
            <w:vAlign w:val="center"/>
          </w:tcPr>
          <w:p>
            <w:pPr>
              <w:pStyle w:val="28"/>
              <w:keepNext w:val="0"/>
              <w:keepLines w:val="0"/>
              <w:suppressLineNumbers w:val="0"/>
              <w:spacing w:line="276" w:lineRule="auto"/>
              <w:ind w:left="0" w:right="0"/>
              <w:jc w:val="center"/>
              <w:rPr>
                <w:rFonts w:hint="eastAsia" w:ascii="仿宋" w:hAnsi="仿宋" w:cs="微软雅黑"/>
                <w:b/>
                <w:bCs/>
              </w:rPr>
            </w:pPr>
          </w:p>
        </w:tc>
        <w:tc>
          <w:tcPr>
            <w:tcW w:w="574" w:type="dxa"/>
            <w:vAlign w:val="center"/>
          </w:tcPr>
          <w:p>
            <w:pPr>
              <w:pStyle w:val="28"/>
              <w:keepNext w:val="0"/>
              <w:keepLines w:val="0"/>
              <w:suppressLineNumbers w:val="0"/>
              <w:spacing w:line="276" w:lineRule="auto"/>
              <w:ind w:left="0" w:right="0"/>
              <w:jc w:val="center"/>
              <w:rPr>
                <w:rFonts w:hint="eastAsia" w:ascii="仿宋" w:hAnsi="仿宋" w:cs="微软雅黑"/>
              </w:rPr>
            </w:pPr>
            <w:r>
              <w:rPr>
                <w:rFonts w:hint="eastAsia" w:ascii="仿宋" w:hAnsi="仿宋" w:cs="微软雅黑"/>
              </w:rPr>
              <w:t>2</w:t>
            </w:r>
          </w:p>
        </w:tc>
        <w:tc>
          <w:tcPr>
            <w:tcW w:w="5350" w:type="dxa"/>
            <w:vAlign w:val="center"/>
          </w:tcPr>
          <w:p>
            <w:pPr>
              <w:pStyle w:val="28"/>
              <w:keepNext w:val="0"/>
              <w:keepLines w:val="0"/>
              <w:suppressLineNumbers w:val="0"/>
              <w:spacing w:line="276" w:lineRule="auto"/>
              <w:ind w:left="0" w:right="0"/>
              <w:rPr>
                <w:rFonts w:hint="eastAsia" w:ascii="仿宋" w:hAnsi="仿宋" w:cs="微软雅黑"/>
                <w:strike/>
              </w:rPr>
            </w:pPr>
            <w:r>
              <w:rPr>
                <w:rFonts w:hint="eastAsia" w:ascii="仿宋" w:hAnsi="仿宋"/>
              </w:rPr>
              <w:t>海洋生产总值（亿元）</w:t>
            </w:r>
          </w:p>
        </w:tc>
        <w:tc>
          <w:tcPr>
            <w:tcW w:w="1013" w:type="dxa"/>
            <w:vAlign w:val="center"/>
          </w:tcPr>
          <w:p>
            <w:pPr>
              <w:pStyle w:val="28"/>
              <w:keepNext w:val="0"/>
              <w:keepLines w:val="0"/>
              <w:suppressLineNumbers w:val="0"/>
              <w:spacing w:line="276" w:lineRule="auto"/>
              <w:ind w:left="0" w:right="0"/>
              <w:jc w:val="center"/>
              <w:rPr>
                <w:rFonts w:hint="eastAsia" w:ascii="仿宋" w:hAnsi="仿宋" w:cs="微软雅黑"/>
                <w:strike/>
              </w:rPr>
            </w:pPr>
            <w:r>
              <w:rPr>
                <w:rFonts w:hint="eastAsia" w:ascii="仿宋" w:hAnsi="仿宋" w:cs="微软雅黑"/>
              </w:rPr>
              <w:t>4000</w:t>
            </w:r>
          </w:p>
        </w:tc>
        <w:tc>
          <w:tcPr>
            <w:tcW w:w="1276" w:type="dxa"/>
            <w:vAlign w:val="center"/>
          </w:tcPr>
          <w:p>
            <w:pPr>
              <w:pStyle w:val="28"/>
              <w:keepNext w:val="0"/>
              <w:keepLines w:val="0"/>
              <w:suppressLineNumbers w:val="0"/>
              <w:spacing w:line="276" w:lineRule="auto"/>
              <w:ind w:left="0" w:right="0"/>
              <w:jc w:val="center"/>
              <w:rPr>
                <w:rFonts w:hint="eastAsia" w:ascii="仿宋" w:hAnsi="仿宋" w:cs="微软雅黑"/>
              </w:rPr>
            </w:pPr>
            <w:r>
              <w:rPr>
                <w:rFonts w:hint="eastAsia" w:ascii="仿宋" w:hAnsi="仿宋" w:cs="微软雅黑"/>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13" w:type="dxa"/>
            <w:vMerge w:val="continue"/>
            <w:vAlign w:val="center"/>
          </w:tcPr>
          <w:p>
            <w:pPr>
              <w:pStyle w:val="28"/>
              <w:keepNext w:val="0"/>
              <w:keepLines w:val="0"/>
              <w:suppressLineNumbers w:val="0"/>
              <w:spacing w:line="276" w:lineRule="auto"/>
              <w:ind w:left="0" w:right="0"/>
              <w:jc w:val="center"/>
              <w:rPr>
                <w:rFonts w:hint="eastAsia" w:ascii="仿宋" w:hAnsi="仿宋" w:cs="微软雅黑"/>
                <w:b/>
                <w:bCs/>
              </w:rPr>
            </w:pPr>
          </w:p>
        </w:tc>
        <w:tc>
          <w:tcPr>
            <w:tcW w:w="574" w:type="dxa"/>
            <w:vAlign w:val="center"/>
          </w:tcPr>
          <w:p>
            <w:pPr>
              <w:pStyle w:val="28"/>
              <w:keepNext w:val="0"/>
              <w:keepLines w:val="0"/>
              <w:suppressLineNumbers w:val="0"/>
              <w:spacing w:line="276" w:lineRule="auto"/>
              <w:ind w:left="0" w:right="0"/>
              <w:jc w:val="center"/>
              <w:rPr>
                <w:rFonts w:hint="eastAsia" w:ascii="仿宋" w:hAnsi="仿宋" w:cs="微软雅黑"/>
              </w:rPr>
            </w:pPr>
            <w:r>
              <w:rPr>
                <w:rFonts w:hint="eastAsia" w:ascii="仿宋" w:hAnsi="仿宋" w:cs="微软雅黑"/>
              </w:rPr>
              <w:t>3</w:t>
            </w:r>
          </w:p>
        </w:tc>
        <w:tc>
          <w:tcPr>
            <w:tcW w:w="5350" w:type="dxa"/>
            <w:vAlign w:val="center"/>
          </w:tcPr>
          <w:p>
            <w:pPr>
              <w:pStyle w:val="28"/>
              <w:keepNext w:val="0"/>
              <w:keepLines w:val="0"/>
              <w:suppressLineNumbers w:val="0"/>
              <w:spacing w:line="276" w:lineRule="auto"/>
              <w:ind w:left="0" w:right="0"/>
              <w:rPr>
                <w:rFonts w:hint="eastAsia" w:ascii="仿宋" w:hAnsi="仿宋"/>
              </w:rPr>
            </w:pPr>
            <w:r>
              <w:rPr>
                <w:rFonts w:hint="eastAsia" w:ascii="仿宋" w:hAnsi="仿宋"/>
              </w:rPr>
              <w:t xml:space="preserve">建成海洋功能园区（个） </w:t>
            </w:r>
          </w:p>
        </w:tc>
        <w:tc>
          <w:tcPr>
            <w:tcW w:w="1013" w:type="dxa"/>
            <w:vAlign w:val="center"/>
          </w:tcPr>
          <w:p>
            <w:pPr>
              <w:pStyle w:val="28"/>
              <w:keepNext w:val="0"/>
              <w:keepLines w:val="0"/>
              <w:suppressLineNumbers w:val="0"/>
              <w:spacing w:line="276" w:lineRule="auto"/>
              <w:ind w:left="0" w:right="0"/>
              <w:jc w:val="center"/>
              <w:rPr>
                <w:rFonts w:hint="eastAsia" w:ascii="仿宋" w:hAnsi="仿宋" w:cs="微软雅黑"/>
              </w:rPr>
            </w:pPr>
            <w:r>
              <w:rPr>
                <w:rFonts w:hint="eastAsia" w:ascii="仿宋" w:hAnsi="仿宋" w:cs="微软雅黑"/>
              </w:rPr>
              <w:t>10</w:t>
            </w:r>
          </w:p>
        </w:tc>
        <w:tc>
          <w:tcPr>
            <w:tcW w:w="1276" w:type="dxa"/>
            <w:vAlign w:val="center"/>
          </w:tcPr>
          <w:p>
            <w:pPr>
              <w:pStyle w:val="28"/>
              <w:keepNext w:val="0"/>
              <w:keepLines w:val="0"/>
              <w:suppressLineNumbers w:val="0"/>
              <w:spacing w:line="276" w:lineRule="auto"/>
              <w:ind w:left="0" w:right="0"/>
              <w:jc w:val="center"/>
              <w:rPr>
                <w:rFonts w:hint="eastAsia" w:ascii="仿宋" w:hAnsi="仿宋" w:cs="微软雅黑"/>
              </w:rPr>
            </w:pPr>
            <w:r>
              <w:rPr>
                <w:rFonts w:hint="eastAsia" w:ascii="仿宋" w:hAnsi="仿宋" w:cs="微软雅黑"/>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13" w:type="dxa"/>
            <w:vMerge w:val="continue"/>
            <w:vAlign w:val="center"/>
          </w:tcPr>
          <w:p>
            <w:pPr>
              <w:pStyle w:val="28"/>
              <w:keepNext w:val="0"/>
              <w:keepLines w:val="0"/>
              <w:suppressLineNumbers w:val="0"/>
              <w:spacing w:line="276" w:lineRule="auto"/>
              <w:ind w:left="0" w:right="0"/>
              <w:jc w:val="center"/>
              <w:rPr>
                <w:rFonts w:hint="eastAsia" w:ascii="仿宋" w:hAnsi="仿宋" w:cs="微软雅黑"/>
                <w:b/>
                <w:bCs/>
              </w:rPr>
            </w:pPr>
          </w:p>
        </w:tc>
        <w:tc>
          <w:tcPr>
            <w:tcW w:w="574" w:type="dxa"/>
            <w:vAlign w:val="center"/>
          </w:tcPr>
          <w:p>
            <w:pPr>
              <w:pStyle w:val="28"/>
              <w:keepNext w:val="0"/>
              <w:keepLines w:val="0"/>
              <w:suppressLineNumbers w:val="0"/>
              <w:spacing w:line="276" w:lineRule="auto"/>
              <w:ind w:left="0" w:right="0"/>
              <w:jc w:val="center"/>
              <w:rPr>
                <w:rFonts w:hint="eastAsia" w:ascii="仿宋" w:hAnsi="仿宋" w:cs="微软雅黑"/>
              </w:rPr>
            </w:pPr>
            <w:r>
              <w:rPr>
                <w:rFonts w:hint="eastAsia" w:ascii="仿宋" w:hAnsi="仿宋" w:cs="微软雅黑"/>
              </w:rPr>
              <w:t>4</w:t>
            </w:r>
          </w:p>
        </w:tc>
        <w:tc>
          <w:tcPr>
            <w:tcW w:w="5350" w:type="dxa"/>
            <w:vAlign w:val="center"/>
          </w:tcPr>
          <w:p>
            <w:pPr>
              <w:pStyle w:val="28"/>
              <w:keepNext w:val="0"/>
              <w:keepLines w:val="0"/>
              <w:suppressLineNumbers w:val="0"/>
              <w:spacing w:line="276" w:lineRule="auto"/>
              <w:ind w:left="0" w:right="0"/>
              <w:rPr>
                <w:rFonts w:hint="eastAsia" w:ascii="仿宋" w:hAnsi="仿宋"/>
              </w:rPr>
            </w:pPr>
            <w:r>
              <w:rPr>
                <w:rFonts w:hint="eastAsia" w:ascii="仿宋" w:hAnsi="仿宋"/>
              </w:rPr>
              <w:t>海洋领域发明专利拥有量年均增速（%）</w:t>
            </w:r>
          </w:p>
        </w:tc>
        <w:tc>
          <w:tcPr>
            <w:tcW w:w="1013" w:type="dxa"/>
            <w:vAlign w:val="center"/>
          </w:tcPr>
          <w:p>
            <w:pPr>
              <w:pStyle w:val="28"/>
              <w:keepNext w:val="0"/>
              <w:keepLines w:val="0"/>
              <w:suppressLineNumbers w:val="0"/>
              <w:spacing w:line="276" w:lineRule="auto"/>
              <w:ind w:left="0" w:right="0"/>
              <w:jc w:val="center"/>
              <w:rPr>
                <w:rFonts w:hint="eastAsia" w:ascii="仿宋" w:hAnsi="仿宋" w:cs="微软雅黑"/>
              </w:rPr>
            </w:pPr>
            <w:r>
              <w:rPr>
                <w:rFonts w:hint="eastAsia" w:ascii="仿宋" w:hAnsi="仿宋" w:cs="微软雅黑"/>
              </w:rPr>
              <w:t>8</w:t>
            </w:r>
          </w:p>
        </w:tc>
        <w:tc>
          <w:tcPr>
            <w:tcW w:w="1276" w:type="dxa"/>
            <w:vAlign w:val="center"/>
          </w:tcPr>
          <w:p>
            <w:pPr>
              <w:pStyle w:val="28"/>
              <w:keepNext w:val="0"/>
              <w:keepLines w:val="0"/>
              <w:suppressLineNumbers w:val="0"/>
              <w:spacing w:line="276" w:lineRule="auto"/>
              <w:ind w:left="0" w:right="0"/>
              <w:jc w:val="center"/>
              <w:rPr>
                <w:rFonts w:hint="eastAsia" w:ascii="仿宋" w:hAnsi="仿宋" w:cs="微软雅黑"/>
              </w:rPr>
            </w:pPr>
            <w:r>
              <w:rPr>
                <w:rFonts w:hint="eastAsia" w:ascii="仿宋" w:hAnsi="仿宋" w:cs="微软雅黑"/>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13" w:type="dxa"/>
            <w:vMerge w:val="continue"/>
            <w:vAlign w:val="center"/>
          </w:tcPr>
          <w:p>
            <w:pPr>
              <w:pStyle w:val="28"/>
              <w:keepNext w:val="0"/>
              <w:keepLines w:val="0"/>
              <w:suppressLineNumbers w:val="0"/>
              <w:spacing w:line="276" w:lineRule="auto"/>
              <w:ind w:left="0" w:right="0"/>
              <w:jc w:val="center"/>
              <w:rPr>
                <w:rFonts w:hint="eastAsia" w:ascii="仿宋" w:hAnsi="仿宋" w:cs="微软雅黑"/>
                <w:b/>
                <w:bCs/>
              </w:rPr>
            </w:pPr>
          </w:p>
        </w:tc>
        <w:tc>
          <w:tcPr>
            <w:tcW w:w="574" w:type="dxa"/>
            <w:vAlign w:val="center"/>
          </w:tcPr>
          <w:p>
            <w:pPr>
              <w:pStyle w:val="28"/>
              <w:keepNext w:val="0"/>
              <w:keepLines w:val="0"/>
              <w:suppressLineNumbers w:val="0"/>
              <w:spacing w:line="276" w:lineRule="auto"/>
              <w:ind w:left="0" w:right="0"/>
              <w:jc w:val="center"/>
              <w:rPr>
                <w:rFonts w:hint="eastAsia" w:ascii="仿宋" w:hAnsi="仿宋" w:cs="微软雅黑"/>
              </w:rPr>
            </w:pPr>
            <w:r>
              <w:rPr>
                <w:rFonts w:hint="eastAsia" w:ascii="仿宋" w:hAnsi="仿宋" w:cs="微软雅黑"/>
              </w:rPr>
              <w:t>5</w:t>
            </w:r>
          </w:p>
        </w:tc>
        <w:tc>
          <w:tcPr>
            <w:tcW w:w="5350" w:type="dxa"/>
            <w:vAlign w:val="center"/>
          </w:tcPr>
          <w:p>
            <w:pPr>
              <w:pStyle w:val="28"/>
              <w:keepNext w:val="0"/>
              <w:keepLines w:val="0"/>
              <w:suppressLineNumbers w:val="0"/>
              <w:spacing w:line="276" w:lineRule="auto"/>
              <w:ind w:left="0" w:right="0"/>
              <w:rPr>
                <w:rFonts w:hint="eastAsia" w:ascii="仿宋" w:hAnsi="仿宋"/>
              </w:rPr>
            </w:pPr>
            <w:r>
              <w:rPr>
                <w:rFonts w:hint="eastAsia" w:ascii="仿宋" w:hAnsi="仿宋"/>
              </w:rPr>
              <w:t>海洋新兴产业增加值占海洋生产总值比重（%）</w:t>
            </w:r>
          </w:p>
        </w:tc>
        <w:tc>
          <w:tcPr>
            <w:tcW w:w="1013" w:type="dxa"/>
            <w:vAlign w:val="center"/>
          </w:tcPr>
          <w:p>
            <w:pPr>
              <w:pStyle w:val="28"/>
              <w:keepNext w:val="0"/>
              <w:keepLines w:val="0"/>
              <w:suppressLineNumbers w:val="0"/>
              <w:spacing w:line="276" w:lineRule="auto"/>
              <w:ind w:left="0" w:right="0"/>
              <w:jc w:val="center"/>
              <w:rPr>
                <w:rFonts w:hint="eastAsia" w:ascii="仿宋" w:hAnsi="仿宋" w:cs="微软雅黑"/>
              </w:rPr>
            </w:pPr>
            <w:r>
              <w:rPr>
                <w:rFonts w:hint="eastAsia" w:ascii="仿宋" w:hAnsi="仿宋" w:cs="微软雅黑"/>
              </w:rPr>
              <w:t>25</w:t>
            </w:r>
          </w:p>
        </w:tc>
        <w:tc>
          <w:tcPr>
            <w:tcW w:w="1276" w:type="dxa"/>
            <w:vAlign w:val="center"/>
          </w:tcPr>
          <w:p>
            <w:pPr>
              <w:pStyle w:val="28"/>
              <w:keepNext w:val="0"/>
              <w:keepLines w:val="0"/>
              <w:suppressLineNumbers w:val="0"/>
              <w:spacing w:line="276" w:lineRule="auto"/>
              <w:ind w:left="0" w:right="0"/>
              <w:jc w:val="center"/>
              <w:rPr>
                <w:rFonts w:hint="eastAsia" w:ascii="仿宋" w:hAnsi="仿宋" w:cs="微软雅黑"/>
              </w:rPr>
            </w:pPr>
            <w:r>
              <w:rPr>
                <w:rFonts w:hint="eastAsia" w:ascii="仿宋" w:hAnsi="仿宋" w:cs="微软雅黑"/>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13" w:type="dxa"/>
            <w:vMerge w:val="restart"/>
            <w:vAlign w:val="center"/>
          </w:tcPr>
          <w:p>
            <w:pPr>
              <w:pStyle w:val="28"/>
              <w:keepNext w:val="0"/>
              <w:keepLines w:val="0"/>
              <w:suppressLineNumbers w:val="0"/>
              <w:spacing w:line="276" w:lineRule="auto"/>
              <w:ind w:left="0" w:right="0"/>
              <w:jc w:val="center"/>
              <w:rPr>
                <w:rFonts w:hint="eastAsia" w:ascii="仿宋" w:hAnsi="仿宋" w:cs="微软雅黑"/>
                <w:b/>
                <w:bCs/>
              </w:rPr>
            </w:pPr>
            <w:r>
              <w:rPr>
                <w:rFonts w:hint="eastAsia" w:ascii="仿宋" w:hAnsi="仿宋" w:cs="微软雅黑"/>
                <w:b/>
                <w:bCs/>
              </w:rPr>
              <w:t>科技创新</w:t>
            </w:r>
          </w:p>
        </w:tc>
        <w:tc>
          <w:tcPr>
            <w:tcW w:w="574" w:type="dxa"/>
            <w:vAlign w:val="center"/>
          </w:tcPr>
          <w:p>
            <w:pPr>
              <w:pStyle w:val="28"/>
              <w:keepNext w:val="0"/>
              <w:keepLines w:val="0"/>
              <w:suppressLineNumbers w:val="0"/>
              <w:spacing w:line="276" w:lineRule="auto"/>
              <w:ind w:left="0" w:right="0"/>
              <w:jc w:val="center"/>
              <w:rPr>
                <w:rFonts w:hint="eastAsia" w:ascii="仿宋" w:hAnsi="仿宋" w:cs="微软雅黑"/>
              </w:rPr>
            </w:pPr>
            <w:r>
              <w:rPr>
                <w:rFonts w:hint="eastAsia" w:ascii="仿宋" w:hAnsi="仿宋" w:cs="微软雅黑"/>
              </w:rPr>
              <w:t>6</w:t>
            </w:r>
          </w:p>
        </w:tc>
        <w:tc>
          <w:tcPr>
            <w:tcW w:w="5350" w:type="dxa"/>
            <w:vAlign w:val="center"/>
          </w:tcPr>
          <w:p>
            <w:pPr>
              <w:pStyle w:val="28"/>
              <w:keepNext w:val="0"/>
              <w:keepLines w:val="0"/>
              <w:suppressLineNumbers w:val="0"/>
              <w:spacing w:line="276" w:lineRule="auto"/>
              <w:ind w:left="0" w:right="0"/>
              <w:rPr>
                <w:rFonts w:hint="eastAsia" w:ascii="仿宋" w:hAnsi="仿宋" w:cs="微软雅黑"/>
              </w:rPr>
            </w:pPr>
            <w:r>
              <w:rPr>
                <w:rFonts w:hint="eastAsia" w:ascii="仿宋" w:hAnsi="仿宋"/>
              </w:rPr>
              <w:t>海洋科技创新平台/载体总数（个）（国家级/省级）</w:t>
            </w:r>
          </w:p>
        </w:tc>
        <w:tc>
          <w:tcPr>
            <w:tcW w:w="1013" w:type="dxa"/>
            <w:vAlign w:val="center"/>
          </w:tcPr>
          <w:p>
            <w:pPr>
              <w:pStyle w:val="28"/>
              <w:keepNext w:val="0"/>
              <w:keepLines w:val="0"/>
              <w:suppressLineNumbers w:val="0"/>
              <w:spacing w:line="276" w:lineRule="auto"/>
              <w:ind w:left="0" w:right="0"/>
              <w:jc w:val="center"/>
              <w:rPr>
                <w:rFonts w:hint="eastAsia" w:ascii="仿宋" w:hAnsi="仿宋" w:cs="微软雅黑"/>
              </w:rPr>
            </w:pPr>
            <w:r>
              <w:rPr>
                <w:rFonts w:hint="eastAsia" w:ascii="仿宋" w:hAnsi="仿宋" w:cs="微软雅黑"/>
              </w:rPr>
              <w:t>30</w:t>
            </w:r>
          </w:p>
        </w:tc>
        <w:tc>
          <w:tcPr>
            <w:tcW w:w="1276" w:type="dxa"/>
            <w:vAlign w:val="center"/>
          </w:tcPr>
          <w:p>
            <w:pPr>
              <w:pStyle w:val="28"/>
              <w:keepNext w:val="0"/>
              <w:keepLines w:val="0"/>
              <w:suppressLineNumbers w:val="0"/>
              <w:spacing w:line="276" w:lineRule="auto"/>
              <w:ind w:left="0" w:right="0"/>
              <w:jc w:val="center"/>
              <w:rPr>
                <w:rFonts w:hint="eastAsia" w:ascii="仿宋" w:hAnsi="仿宋" w:cs="微软雅黑"/>
              </w:rPr>
            </w:pPr>
            <w:r>
              <w:rPr>
                <w:rFonts w:hint="eastAsia" w:ascii="仿宋" w:hAnsi="仿宋" w:cs="微软雅黑"/>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13" w:type="dxa"/>
            <w:vMerge w:val="continue"/>
            <w:vAlign w:val="center"/>
          </w:tcPr>
          <w:p>
            <w:pPr>
              <w:pStyle w:val="28"/>
              <w:keepNext w:val="0"/>
              <w:keepLines w:val="0"/>
              <w:suppressLineNumbers w:val="0"/>
              <w:spacing w:line="276" w:lineRule="auto"/>
              <w:ind w:left="0" w:right="0"/>
              <w:jc w:val="center"/>
              <w:rPr>
                <w:rFonts w:hint="eastAsia" w:ascii="仿宋" w:hAnsi="仿宋" w:cs="微软雅黑"/>
                <w:b/>
                <w:bCs/>
              </w:rPr>
            </w:pPr>
          </w:p>
        </w:tc>
        <w:tc>
          <w:tcPr>
            <w:tcW w:w="574" w:type="dxa"/>
            <w:vAlign w:val="center"/>
          </w:tcPr>
          <w:p>
            <w:pPr>
              <w:pStyle w:val="28"/>
              <w:keepNext w:val="0"/>
              <w:keepLines w:val="0"/>
              <w:suppressLineNumbers w:val="0"/>
              <w:spacing w:line="276" w:lineRule="auto"/>
              <w:ind w:left="0" w:right="0"/>
              <w:jc w:val="center"/>
              <w:rPr>
                <w:rFonts w:hint="eastAsia" w:ascii="仿宋" w:hAnsi="仿宋" w:cs="微软雅黑"/>
              </w:rPr>
            </w:pPr>
            <w:r>
              <w:rPr>
                <w:rFonts w:hint="eastAsia" w:ascii="仿宋" w:hAnsi="仿宋" w:cs="微软雅黑"/>
              </w:rPr>
              <w:t>7</w:t>
            </w:r>
          </w:p>
        </w:tc>
        <w:tc>
          <w:tcPr>
            <w:tcW w:w="5350" w:type="dxa"/>
            <w:vAlign w:val="center"/>
          </w:tcPr>
          <w:p>
            <w:pPr>
              <w:pStyle w:val="28"/>
              <w:keepNext w:val="0"/>
              <w:keepLines w:val="0"/>
              <w:suppressLineNumbers w:val="0"/>
              <w:spacing w:line="276" w:lineRule="auto"/>
              <w:ind w:left="0" w:right="0"/>
              <w:rPr>
                <w:rFonts w:hint="eastAsia" w:ascii="仿宋" w:hAnsi="仿宋" w:cs="微软雅黑"/>
              </w:rPr>
            </w:pPr>
            <w:r>
              <w:rPr>
                <w:rFonts w:hint="eastAsia" w:ascii="仿宋" w:hAnsi="仿宋"/>
              </w:rPr>
              <w:t>国家级海洋综合试验场数量（个）</w:t>
            </w:r>
          </w:p>
        </w:tc>
        <w:tc>
          <w:tcPr>
            <w:tcW w:w="1013" w:type="dxa"/>
            <w:vAlign w:val="center"/>
          </w:tcPr>
          <w:p>
            <w:pPr>
              <w:pStyle w:val="28"/>
              <w:keepNext w:val="0"/>
              <w:keepLines w:val="0"/>
              <w:suppressLineNumbers w:val="0"/>
              <w:spacing w:line="276" w:lineRule="auto"/>
              <w:ind w:left="0" w:right="0"/>
              <w:jc w:val="center"/>
              <w:rPr>
                <w:rFonts w:hint="eastAsia" w:ascii="仿宋" w:hAnsi="仿宋" w:cs="微软雅黑"/>
              </w:rPr>
            </w:pPr>
            <w:r>
              <w:rPr>
                <w:rFonts w:hint="eastAsia" w:ascii="仿宋" w:hAnsi="仿宋" w:cs="微软雅黑"/>
              </w:rPr>
              <w:t>1</w:t>
            </w:r>
          </w:p>
        </w:tc>
        <w:tc>
          <w:tcPr>
            <w:tcW w:w="1276" w:type="dxa"/>
            <w:vAlign w:val="center"/>
          </w:tcPr>
          <w:p>
            <w:pPr>
              <w:pStyle w:val="28"/>
              <w:keepNext w:val="0"/>
              <w:keepLines w:val="0"/>
              <w:suppressLineNumbers w:val="0"/>
              <w:spacing w:line="276" w:lineRule="auto"/>
              <w:ind w:left="0" w:right="0"/>
              <w:jc w:val="center"/>
              <w:rPr>
                <w:rFonts w:hint="eastAsia" w:ascii="仿宋" w:hAnsi="仿宋" w:cs="微软雅黑"/>
              </w:rPr>
            </w:pPr>
            <w:r>
              <w:rPr>
                <w:rFonts w:hint="eastAsia" w:ascii="仿宋" w:hAnsi="仿宋" w:cs="微软雅黑"/>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13" w:type="dxa"/>
            <w:vMerge w:val="continue"/>
            <w:vAlign w:val="center"/>
          </w:tcPr>
          <w:p>
            <w:pPr>
              <w:pStyle w:val="28"/>
              <w:keepNext w:val="0"/>
              <w:keepLines w:val="0"/>
              <w:suppressLineNumbers w:val="0"/>
              <w:spacing w:line="276" w:lineRule="auto"/>
              <w:ind w:left="0" w:right="0"/>
              <w:jc w:val="center"/>
              <w:rPr>
                <w:rFonts w:hint="eastAsia" w:ascii="仿宋" w:hAnsi="仿宋" w:cs="微软雅黑"/>
                <w:b/>
                <w:bCs/>
              </w:rPr>
            </w:pPr>
          </w:p>
        </w:tc>
        <w:tc>
          <w:tcPr>
            <w:tcW w:w="574" w:type="dxa"/>
            <w:vAlign w:val="center"/>
          </w:tcPr>
          <w:p>
            <w:pPr>
              <w:pStyle w:val="28"/>
              <w:keepNext w:val="0"/>
              <w:keepLines w:val="0"/>
              <w:suppressLineNumbers w:val="0"/>
              <w:spacing w:line="276" w:lineRule="auto"/>
              <w:ind w:left="0" w:right="0"/>
              <w:jc w:val="center"/>
              <w:rPr>
                <w:rFonts w:hint="eastAsia" w:ascii="仿宋" w:hAnsi="仿宋" w:cs="微软雅黑"/>
              </w:rPr>
            </w:pPr>
            <w:r>
              <w:rPr>
                <w:rFonts w:hint="eastAsia" w:ascii="仿宋" w:hAnsi="仿宋" w:cs="微软雅黑"/>
              </w:rPr>
              <w:t>8</w:t>
            </w:r>
          </w:p>
        </w:tc>
        <w:tc>
          <w:tcPr>
            <w:tcW w:w="5350" w:type="dxa"/>
            <w:vAlign w:val="center"/>
          </w:tcPr>
          <w:p>
            <w:pPr>
              <w:pStyle w:val="28"/>
              <w:keepNext w:val="0"/>
              <w:keepLines w:val="0"/>
              <w:suppressLineNumbers w:val="0"/>
              <w:spacing w:line="276" w:lineRule="auto"/>
              <w:ind w:left="0" w:right="0"/>
              <w:rPr>
                <w:rFonts w:hint="eastAsia" w:ascii="仿宋" w:hAnsi="仿宋" w:cs="微软雅黑"/>
              </w:rPr>
            </w:pPr>
            <w:r>
              <w:rPr>
                <w:rFonts w:hint="eastAsia" w:ascii="仿宋" w:hAnsi="仿宋" w:cs="微软雅黑"/>
              </w:rPr>
              <w:t>海洋高端人才科研团队总数</w:t>
            </w:r>
            <w:r>
              <w:rPr>
                <w:rFonts w:hint="eastAsia" w:ascii="仿宋" w:hAnsi="仿宋"/>
              </w:rPr>
              <w:t>（个）</w:t>
            </w:r>
          </w:p>
        </w:tc>
        <w:tc>
          <w:tcPr>
            <w:tcW w:w="1013" w:type="dxa"/>
            <w:vAlign w:val="center"/>
          </w:tcPr>
          <w:p>
            <w:pPr>
              <w:pStyle w:val="28"/>
              <w:keepNext w:val="0"/>
              <w:keepLines w:val="0"/>
              <w:suppressLineNumbers w:val="0"/>
              <w:spacing w:line="276" w:lineRule="auto"/>
              <w:ind w:left="0" w:right="0"/>
              <w:jc w:val="center"/>
              <w:rPr>
                <w:rFonts w:hint="eastAsia" w:ascii="仿宋" w:hAnsi="仿宋" w:cs="微软雅黑"/>
              </w:rPr>
            </w:pPr>
            <w:r>
              <w:rPr>
                <w:rFonts w:hint="eastAsia" w:ascii="仿宋" w:hAnsi="仿宋" w:cs="微软雅黑"/>
              </w:rPr>
              <w:t>30</w:t>
            </w:r>
          </w:p>
        </w:tc>
        <w:tc>
          <w:tcPr>
            <w:tcW w:w="1276" w:type="dxa"/>
            <w:vAlign w:val="center"/>
          </w:tcPr>
          <w:p>
            <w:pPr>
              <w:pStyle w:val="28"/>
              <w:keepNext w:val="0"/>
              <w:keepLines w:val="0"/>
              <w:suppressLineNumbers w:val="0"/>
              <w:spacing w:line="276" w:lineRule="auto"/>
              <w:ind w:left="0" w:right="0"/>
              <w:jc w:val="center"/>
              <w:rPr>
                <w:rFonts w:hint="eastAsia" w:ascii="仿宋" w:hAnsi="仿宋" w:cs="微软雅黑"/>
              </w:rPr>
            </w:pPr>
            <w:r>
              <w:rPr>
                <w:rFonts w:hint="eastAsia" w:ascii="仿宋" w:hAnsi="仿宋" w:cs="微软雅黑"/>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13" w:type="dxa"/>
            <w:vMerge w:val="restart"/>
            <w:vAlign w:val="center"/>
          </w:tcPr>
          <w:p>
            <w:pPr>
              <w:pStyle w:val="28"/>
              <w:keepNext w:val="0"/>
              <w:keepLines w:val="0"/>
              <w:suppressLineNumbers w:val="0"/>
              <w:spacing w:line="276" w:lineRule="auto"/>
              <w:ind w:left="0" w:right="0"/>
              <w:jc w:val="center"/>
              <w:rPr>
                <w:rFonts w:hint="eastAsia" w:ascii="仿宋" w:hAnsi="仿宋" w:cs="微软雅黑"/>
                <w:b/>
                <w:bCs/>
              </w:rPr>
            </w:pPr>
            <w:r>
              <w:rPr>
                <w:rFonts w:hint="eastAsia" w:ascii="仿宋" w:hAnsi="仿宋" w:cs="微软雅黑"/>
                <w:b/>
                <w:bCs/>
              </w:rPr>
              <w:t>绿色发展</w:t>
            </w:r>
          </w:p>
        </w:tc>
        <w:tc>
          <w:tcPr>
            <w:tcW w:w="574" w:type="dxa"/>
            <w:vAlign w:val="center"/>
          </w:tcPr>
          <w:p>
            <w:pPr>
              <w:pStyle w:val="28"/>
              <w:keepNext w:val="0"/>
              <w:keepLines w:val="0"/>
              <w:suppressLineNumbers w:val="0"/>
              <w:spacing w:line="276" w:lineRule="auto"/>
              <w:ind w:left="0" w:right="0"/>
              <w:jc w:val="center"/>
              <w:rPr>
                <w:rFonts w:hint="eastAsia" w:ascii="仿宋" w:hAnsi="仿宋"/>
              </w:rPr>
            </w:pPr>
            <w:r>
              <w:rPr>
                <w:rFonts w:hint="eastAsia" w:ascii="仿宋" w:hAnsi="仿宋" w:cs="微软雅黑"/>
              </w:rPr>
              <w:t>9</w:t>
            </w:r>
          </w:p>
        </w:tc>
        <w:tc>
          <w:tcPr>
            <w:tcW w:w="5350" w:type="dxa"/>
            <w:vAlign w:val="center"/>
          </w:tcPr>
          <w:p>
            <w:pPr>
              <w:pStyle w:val="28"/>
              <w:keepNext w:val="0"/>
              <w:keepLines w:val="0"/>
              <w:suppressLineNumbers w:val="0"/>
              <w:spacing w:line="276" w:lineRule="auto"/>
              <w:ind w:left="0" w:right="0"/>
              <w:rPr>
                <w:rFonts w:hint="eastAsia" w:ascii="仿宋" w:hAnsi="仿宋"/>
                <w:strike/>
              </w:rPr>
            </w:pPr>
            <w:r>
              <w:rPr>
                <w:rFonts w:hint="eastAsia" w:ascii="仿宋" w:hAnsi="仿宋"/>
              </w:rPr>
              <w:t>大陆自然岸线保有率（%）</w:t>
            </w:r>
          </w:p>
        </w:tc>
        <w:tc>
          <w:tcPr>
            <w:tcW w:w="1013" w:type="dxa"/>
            <w:vAlign w:val="center"/>
          </w:tcPr>
          <w:p>
            <w:pPr>
              <w:pStyle w:val="28"/>
              <w:keepNext w:val="0"/>
              <w:keepLines w:val="0"/>
              <w:suppressLineNumbers w:val="0"/>
              <w:spacing w:line="276" w:lineRule="auto"/>
              <w:ind w:left="0" w:right="0"/>
              <w:jc w:val="center"/>
              <w:rPr>
                <w:rFonts w:hint="eastAsia" w:ascii="仿宋" w:hAnsi="仿宋"/>
                <w:strike/>
              </w:rPr>
            </w:pPr>
            <w:r>
              <w:rPr>
                <w:rFonts w:hint="eastAsia" w:ascii="仿宋" w:hAnsi="仿宋" w:cs="微软雅黑"/>
              </w:rPr>
              <w:t>40</w:t>
            </w:r>
          </w:p>
        </w:tc>
        <w:tc>
          <w:tcPr>
            <w:tcW w:w="1276" w:type="dxa"/>
            <w:vAlign w:val="center"/>
          </w:tcPr>
          <w:p>
            <w:pPr>
              <w:pStyle w:val="28"/>
              <w:keepNext w:val="0"/>
              <w:keepLines w:val="0"/>
              <w:suppressLineNumbers w:val="0"/>
              <w:spacing w:line="276" w:lineRule="auto"/>
              <w:ind w:left="0" w:right="0"/>
              <w:jc w:val="center"/>
              <w:rPr>
                <w:rFonts w:hint="eastAsia" w:ascii="仿宋" w:hAnsi="仿宋" w:cs="微软雅黑"/>
              </w:rPr>
            </w:pPr>
            <w:r>
              <w:rPr>
                <w:rFonts w:hint="eastAsia" w:ascii="仿宋" w:hAnsi="仿宋" w:cs="微软雅黑"/>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13" w:type="dxa"/>
            <w:vMerge w:val="continue"/>
            <w:vAlign w:val="center"/>
          </w:tcPr>
          <w:p>
            <w:pPr>
              <w:pStyle w:val="28"/>
              <w:keepNext w:val="0"/>
              <w:keepLines w:val="0"/>
              <w:suppressLineNumbers w:val="0"/>
              <w:spacing w:line="276" w:lineRule="auto"/>
              <w:ind w:left="0" w:right="0"/>
              <w:jc w:val="center"/>
              <w:rPr>
                <w:rFonts w:hint="eastAsia" w:ascii="仿宋" w:hAnsi="仿宋" w:cs="微软雅黑"/>
                <w:b/>
                <w:bCs/>
              </w:rPr>
            </w:pPr>
          </w:p>
        </w:tc>
        <w:tc>
          <w:tcPr>
            <w:tcW w:w="574" w:type="dxa"/>
            <w:vAlign w:val="center"/>
          </w:tcPr>
          <w:p>
            <w:pPr>
              <w:pStyle w:val="28"/>
              <w:keepNext w:val="0"/>
              <w:keepLines w:val="0"/>
              <w:suppressLineNumbers w:val="0"/>
              <w:spacing w:line="276" w:lineRule="auto"/>
              <w:ind w:left="0" w:right="0"/>
              <w:jc w:val="center"/>
              <w:rPr>
                <w:rFonts w:hint="eastAsia" w:ascii="仿宋" w:hAnsi="仿宋" w:cs="微软雅黑"/>
              </w:rPr>
            </w:pPr>
            <w:r>
              <w:rPr>
                <w:rFonts w:hint="eastAsia" w:ascii="仿宋" w:hAnsi="仿宋" w:cs="微软雅黑"/>
              </w:rPr>
              <w:t>10</w:t>
            </w:r>
          </w:p>
        </w:tc>
        <w:tc>
          <w:tcPr>
            <w:tcW w:w="5350" w:type="dxa"/>
            <w:vAlign w:val="center"/>
          </w:tcPr>
          <w:p>
            <w:pPr>
              <w:pStyle w:val="28"/>
              <w:keepNext w:val="0"/>
              <w:keepLines w:val="0"/>
              <w:suppressLineNumbers w:val="0"/>
              <w:spacing w:line="276" w:lineRule="auto"/>
              <w:ind w:left="0" w:right="0"/>
              <w:rPr>
                <w:rFonts w:hint="eastAsia" w:ascii="仿宋" w:hAnsi="仿宋"/>
              </w:rPr>
            </w:pPr>
            <w:r>
              <w:rPr>
                <w:rFonts w:hint="eastAsia" w:ascii="仿宋" w:hAnsi="仿宋"/>
              </w:rPr>
              <w:t>岸线整治修复长度（公里）</w:t>
            </w:r>
          </w:p>
        </w:tc>
        <w:tc>
          <w:tcPr>
            <w:tcW w:w="1013" w:type="dxa"/>
            <w:vAlign w:val="center"/>
          </w:tcPr>
          <w:p>
            <w:pPr>
              <w:pStyle w:val="28"/>
              <w:keepNext w:val="0"/>
              <w:keepLines w:val="0"/>
              <w:suppressLineNumbers w:val="0"/>
              <w:spacing w:line="276" w:lineRule="auto"/>
              <w:ind w:left="0" w:right="0"/>
              <w:jc w:val="center"/>
              <w:rPr>
                <w:rFonts w:hint="eastAsia" w:ascii="仿宋" w:hAnsi="仿宋" w:cs="微软雅黑"/>
              </w:rPr>
            </w:pPr>
            <w:r>
              <w:rPr>
                <w:rFonts w:hint="eastAsia" w:ascii="仿宋" w:hAnsi="仿宋"/>
              </w:rPr>
              <w:t>2</w:t>
            </w:r>
          </w:p>
        </w:tc>
        <w:tc>
          <w:tcPr>
            <w:tcW w:w="1276" w:type="dxa"/>
            <w:vAlign w:val="center"/>
          </w:tcPr>
          <w:p>
            <w:pPr>
              <w:pStyle w:val="28"/>
              <w:keepNext w:val="0"/>
              <w:keepLines w:val="0"/>
              <w:suppressLineNumbers w:val="0"/>
              <w:spacing w:line="276" w:lineRule="auto"/>
              <w:ind w:left="0" w:right="0"/>
              <w:jc w:val="center"/>
              <w:rPr>
                <w:rFonts w:hint="eastAsia" w:ascii="仿宋" w:hAnsi="仿宋" w:cs="微软雅黑"/>
              </w:rPr>
            </w:pPr>
            <w:r>
              <w:rPr>
                <w:rFonts w:hint="eastAsia" w:ascii="仿宋" w:hAnsi="仿宋" w:cs="微软雅黑"/>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13" w:type="dxa"/>
            <w:vMerge w:val="continue"/>
            <w:vAlign w:val="center"/>
          </w:tcPr>
          <w:p>
            <w:pPr>
              <w:pStyle w:val="28"/>
              <w:keepNext w:val="0"/>
              <w:keepLines w:val="0"/>
              <w:suppressLineNumbers w:val="0"/>
              <w:spacing w:line="276" w:lineRule="auto"/>
              <w:ind w:left="0" w:right="0"/>
              <w:jc w:val="center"/>
              <w:rPr>
                <w:rFonts w:hint="eastAsia" w:ascii="仿宋" w:hAnsi="仿宋" w:cs="微软雅黑"/>
                <w:b/>
                <w:bCs/>
              </w:rPr>
            </w:pPr>
          </w:p>
        </w:tc>
        <w:tc>
          <w:tcPr>
            <w:tcW w:w="574" w:type="dxa"/>
            <w:vAlign w:val="center"/>
          </w:tcPr>
          <w:p>
            <w:pPr>
              <w:pStyle w:val="28"/>
              <w:keepNext w:val="0"/>
              <w:keepLines w:val="0"/>
              <w:suppressLineNumbers w:val="0"/>
              <w:spacing w:line="276" w:lineRule="auto"/>
              <w:ind w:left="0" w:right="0"/>
              <w:jc w:val="center"/>
              <w:rPr>
                <w:rFonts w:hint="eastAsia" w:ascii="仿宋" w:hAnsi="仿宋" w:cs="微软雅黑"/>
              </w:rPr>
            </w:pPr>
            <w:r>
              <w:rPr>
                <w:rFonts w:hint="eastAsia" w:ascii="仿宋" w:hAnsi="仿宋" w:cs="微软雅黑"/>
              </w:rPr>
              <w:t>11</w:t>
            </w:r>
          </w:p>
        </w:tc>
        <w:tc>
          <w:tcPr>
            <w:tcW w:w="5350" w:type="dxa"/>
            <w:vAlign w:val="center"/>
          </w:tcPr>
          <w:p>
            <w:pPr>
              <w:pStyle w:val="28"/>
              <w:keepNext w:val="0"/>
              <w:keepLines w:val="0"/>
              <w:suppressLineNumbers w:val="0"/>
              <w:spacing w:line="276" w:lineRule="auto"/>
              <w:ind w:left="0" w:right="0"/>
              <w:rPr>
                <w:rFonts w:hint="eastAsia" w:ascii="仿宋" w:hAnsi="仿宋"/>
              </w:rPr>
            </w:pPr>
            <w:r>
              <w:rPr>
                <w:rFonts w:hint="eastAsia" w:ascii="仿宋" w:hAnsi="仿宋" w:cs="仿宋_GB2312"/>
                <w:lang w:bidi="ar"/>
              </w:rPr>
              <w:t>建成海洋类博物馆/展览馆（个）</w:t>
            </w:r>
          </w:p>
        </w:tc>
        <w:tc>
          <w:tcPr>
            <w:tcW w:w="1013" w:type="dxa"/>
            <w:vAlign w:val="center"/>
          </w:tcPr>
          <w:p>
            <w:pPr>
              <w:pStyle w:val="28"/>
              <w:keepNext w:val="0"/>
              <w:keepLines w:val="0"/>
              <w:suppressLineNumbers w:val="0"/>
              <w:spacing w:line="276" w:lineRule="auto"/>
              <w:ind w:left="0" w:right="0"/>
              <w:jc w:val="center"/>
              <w:rPr>
                <w:rFonts w:hint="eastAsia" w:ascii="仿宋" w:hAnsi="仿宋"/>
              </w:rPr>
            </w:pPr>
            <w:r>
              <w:rPr>
                <w:rFonts w:hint="eastAsia" w:ascii="仿宋" w:hAnsi="仿宋" w:cs="微软雅黑"/>
              </w:rPr>
              <w:t>6</w:t>
            </w:r>
          </w:p>
        </w:tc>
        <w:tc>
          <w:tcPr>
            <w:tcW w:w="1276" w:type="dxa"/>
            <w:vAlign w:val="center"/>
          </w:tcPr>
          <w:p>
            <w:pPr>
              <w:pStyle w:val="28"/>
              <w:keepNext w:val="0"/>
              <w:keepLines w:val="0"/>
              <w:suppressLineNumbers w:val="0"/>
              <w:spacing w:line="276" w:lineRule="auto"/>
              <w:ind w:left="0" w:right="0"/>
              <w:jc w:val="center"/>
              <w:rPr>
                <w:rFonts w:hint="eastAsia" w:ascii="仿宋" w:hAnsi="仿宋" w:cs="微软雅黑"/>
              </w:rPr>
            </w:pPr>
            <w:r>
              <w:rPr>
                <w:rFonts w:hint="eastAsia" w:ascii="仿宋" w:hAnsi="仿宋" w:cs="微软雅黑"/>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13" w:type="dxa"/>
            <w:vMerge w:val="restart"/>
            <w:vAlign w:val="center"/>
          </w:tcPr>
          <w:p>
            <w:pPr>
              <w:pStyle w:val="28"/>
              <w:keepNext w:val="0"/>
              <w:keepLines w:val="0"/>
              <w:suppressLineNumbers w:val="0"/>
              <w:spacing w:line="276" w:lineRule="auto"/>
              <w:ind w:left="0" w:right="0"/>
              <w:jc w:val="center"/>
              <w:rPr>
                <w:rFonts w:hint="eastAsia" w:ascii="仿宋" w:hAnsi="仿宋" w:cs="微软雅黑"/>
                <w:b/>
                <w:bCs/>
              </w:rPr>
            </w:pPr>
            <w:r>
              <w:rPr>
                <w:rFonts w:hint="eastAsia" w:ascii="仿宋" w:hAnsi="仿宋" w:cs="微软雅黑"/>
                <w:b/>
                <w:bCs/>
              </w:rPr>
              <w:t>开放合作</w:t>
            </w:r>
          </w:p>
        </w:tc>
        <w:tc>
          <w:tcPr>
            <w:tcW w:w="574" w:type="dxa"/>
            <w:vAlign w:val="center"/>
          </w:tcPr>
          <w:p>
            <w:pPr>
              <w:pStyle w:val="28"/>
              <w:keepNext w:val="0"/>
              <w:keepLines w:val="0"/>
              <w:suppressLineNumbers w:val="0"/>
              <w:spacing w:line="276" w:lineRule="auto"/>
              <w:ind w:left="0" w:right="0"/>
              <w:jc w:val="center"/>
              <w:rPr>
                <w:rFonts w:hint="eastAsia" w:ascii="仿宋" w:hAnsi="仿宋" w:cs="微软雅黑"/>
              </w:rPr>
            </w:pPr>
            <w:r>
              <w:rPr>
                <w:rFonts w:hint="eastAsia" w:ascii="仿宋" w:hAnsi="仿宋" w:cs="微软雅黑"/>
              </w:rPr>
              <w:t>12</w:t>
            </w:r>
          </w:p>
        </w:tc>
        <w:tc>
          <w:tcPr>
            <w:tcW w:w="5350" w:type="dxa"/>
            <w:vAlign w:val="center"/>
          </w:tcPr>
          <w:p>
            <w:pPr>
              <w:pStyle w:val="28"/>
              <w:keepNext w:val="0"/>
              <w:keepLines w:val="0"/>
              <w:suppressLineNumbers w:val="0"/>
              <w:spacing w:line="276" w:lineRule="auto"/>
              <w:ind w:left="0" w:right="0"/>
              <w:rPr>
                <w:rFonts w:hint="eastAsia" w:ascii="仿宋" w:hAnsi="仿宋" w:cs="微软雅黑"/>
              </w:rPr>
            </w:pPr>
            <w:r>
              <w:rPr>
                <w:rFonts w:hint="eastAsia" w:ascii="仿宋" w:hAnsi="仿宋" w:cs="微软雅黑"/>
              </w:rPr>
              <w:t>举办国际海洋高端展会次数（次）</w:t>
            </w:r>
          </w:p>
        </w:tc>
        <w:tc>
          <w:tcPr>
            <w:tcW w:w="1013" w:type="dxa"/>
            <w:vAlign w:val="center"/>
          </w:tcPr>
          <w:p>
            <w:pPr>
              <w:pStyle w:val="28"/>
              <w:keepNext w:val="0"/>
              <w:keepLines w:val="0"/>
              <w:suppressLineNumbers w:val="0"/>
              <w:spacing w:line="276" w:lineRule="auto"/>
              <w:ind w:left="0" w:right="0"/>
              <w:jc w:val="center"/>
              <w:rPr>
                <w:rFonts w:hint="eastAsia" w:ascii="仿宋" w:hAnsi="仿宋" w:cs="微软雅黑"/>
              </w:rPr>
            </w:pPr>
            <w:r>
              <w:rPr>
                <w:rFonts w:hint="eastAsia" w:ascii="仿宋" w:hAnsi="仿宋" w:cs="微软雅黑"/>
              </w:rPr>
              <w:t>10</w:t>
            </w:r>
          </w:p>
        </w:tc>
        <w:tc>
          <w:tcPr>
            <w:tcW w:w="1276" w:type="dxa"/>
            <w:vAlign w:val="center"/>
          </w:tcPr>
          <w:p>
            <w:pPr>
              <w:pStyle w:val="28"/>
              <w:keepNext w:val="0"/>
              <w:keepLines w:val="0"/>
              <w:suppressLineNumbers w:val="0"/>
              <w:spacing w:line="276" w:lineRule="auto"/>
              <w:ind w:left="0" w:right="0"/>
              <w:jc w:val="center"/>
              <w:rPr>
                <w:rFonts w:hint="eastAsia" w:ascii="仿宋" w:hAnsi="仿宋" w:cs="微软雅黑"/>
              </w:rPr>
            </w:pPr>
            <w:r>
              <w:rPr>
                <w:rFonts w:hint="eastAsia" w:ascii="仿宋" w:hAnsi="仿宋" w:cs="微软雅黑"/>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13" w:type="dxa"/>
            <w:vMerge w:val="continue"/>
            <w:vAlign w:val="center"/>
          </w:tcPr>
          <w:p>
            <w:pPr>
              <w:pStyle w:val="28"/>
              <w:keepNext w:val="0"/>
              <w:keepLines w:val="0"/>
              <w:suppressLineNumbers w:val="0"/>
              <w:spacing w:line="276" w:lineRule="auto"/>
              <w:ind w:left="0" w:right="0"/>
              <w:jc w:val="center"/>
              <w:rPr>
                <w:rFonts w:hint="eastAsia" w:ascii="仿宋" w:hAnsi="仿宋" w:cs="微软雅黑"/>
                <w:b/>
                <w:bCs/>
              </w:rPr>
            </w:pPr>
          </w:p>
        </w:tc>
        <w:tc>
          <w:tcPr>
            <w:tcW w:w="574" w:type="dxa"/>
            <w:vAlign w:val="center"/>
          </w:tcPr>
          <w:p>
            <w:pPr>
              <w:pStyle w:val="28"/>
              <w:keepNext w:val="0"/>
              <w:keepLines w:val="0"/>
              <w:suppressLineNumbers w:val="0"/>
              <w:spacing w:line="276" w:lineRule="auto"/>
              <w:ind w:left="0" w:right="0"/>
              <w:jc w:val="center"/>
              <w:rPr>
                <w:rFonts w:hint="eastAsia" w:ascii="仿宋" w:hAnsi="仿宋" w:cs="微软雅黑"/>
              </w:rPr>
            </w:pPr>
            <w:r>
              <w:rPr>
                <w:rFonts w:hint="eastAsia" w:ascii="仿宋" w:hAnsi="仿宋" w:cs="微软雅黑"/>
              </w:rPr>
              <w:t>13</w:t>
            </w:r>
          </w:p>
        </w:tc>
        <w:tc>
          <w:tcPr>
            <w:tcW w:w="5350" w:type="dxa"/>
            <w:vAlign w:val="center"/>
          </w:tcPr>
          <w:p>
            <w:pPr>
              <w:pStyle w:val="28"/>
              <w:keepNext w:val="0"/>
              <w:keepLines w:val="0"/>
              <w:suppressLineNumbers w:val="0"/>
              <w:spacing w:line="276" w:lineRule="auto"/>
              <w:ind w:left="0" w:right="0"/>
              <w:rPr>
                <w:rFonts w:hint="eastAsia" w:ascii="仿宋" w:hAnsi="仿宋" w:cs="微软雅黑"/>
              </w:rPr>
            </w:pPr>
            <w:r>
              <w:rPr>
                <w:rFonts w:hint="eastAsia" w:ascii="仿宋" w:hAnsi="仿宋" w:cs="微软雅黑"/>
              </w:rPr>
              <w:t>新建国际合作平台/机构数量（个）</w:t>
            </w:r>
          </w:p>
        </w:tc>
        <w:tc>
          <w:tcPr>
            <w:tcW w:w="1013" w:type="dxa"/>
            <w:vAlign w:val="center"/>
          </w:tcPr>
          <w:p>
            <w:pPr>
              <w:pStyle w:val="28"/>
              <w:keepNext w:val="0"/>
              <w:keepLines w:val="0"/>
              <w:suppressLineNumbers w:val="0"/>
              <w:spacing w:line="276" w:lineRule="auto"/>
              <w:ind w:left="0" w:right="0"/>
              <w:jc w:val="center"/>
              <w:rPr>
                <w:rFonts w:hint="eastAsia" w:ascii="仿宋" w:hAnsi="仿宋" w:cs="微软雅黑"/>
              </w:rPr>
            </w:pPr>
            <w:r>
              <w:rPr>
                <w:rFonts w:hint="eastAsia" w:ascii="仿宋" w:hAnsi="仿宋" w:cs="微软雅黑"/>
              </w:rPr>
              <w:t>10</w:t>
            </w:r>
          </w:p>
        </w:tc>
        <w:tc>
          <w:tcPr>
            <w:tcW w:w="1276" w:type="dxa"/>
            <w:vAlign w:val="center"/>
          </w:tcPr>
          <w:p>
            <w:pPr>
              <w:pStyle w:val="28"/>
              <w:keepNext w:val="0"/>
              <w:keepLines w:val="0"/>
              <w:suppressLineNumbers w:val="0"/>
              <w:spacing w:line="276" w:lineRule="auto"/>
              <w:ind w:left="0" w:right="0"/>
              <w:jc w:val="center"/>
              <w:rPr>
                <w:rFonts w:hint="eastAsia" w:ascii="仿宋" w:hAnsi="仿宋" w:cs="微软雅黑"/>
              </w:rPr>
            </w:pPr>
            <w:r>
              <w:rPr>
                <w:rFonts w:hint="eastAsia" w:ascii="仿宋" w:hAnsi="仿宋" w:cs="微软雅黑"/>
              </w:rPr>
              <w:t>预期性</w:t>
            </w:r>
          </w:p>
        </w:tc>
      </w:tr>
    </w:tbl>
    <w:p>
      <w:pPr>
        <w:pStyle w:val="50"/>
      </w:pPr>
      <w:r>
        <w:rPr>
          <w:rFonts w:hint="eastAsia"/>
        </w:rPr>
        <w:t>展望2</w:t>
      </w:r>
      <w:r>
        <w:t>035</w:t>
      </w:r>
      <w:r>
        <w:rPr>
          <w:rFonts w:hint="eastAsia"/>
        </w:rPr>
        <w:t>年及远期愿景，实现陆海融合发展、海洋经济发达、海洋科技领先、海洋生态优美、海洋文化繁荣，逐步建成具有国际吸引力、竞争力、影响力的全球海洋中心城市，发展成为彰显海洋综合实力和全球影响力的国际先锋。</w:t>
      </w:r>
    </w:p>
    <w:p>
      <w:pPr>
        <w:rPr>
          <w:sz w:val="22"/>
          <w:szCs w:val="32"/>
        </w:rPr>
      </w:pPr>
      <w:r>
        <w:rPr>
          <w:rFonts w:hint="eastAsia"/>
        </w:rPr>
        <w:br w:type="page"/>
      </w:r>
    </w:p>
    <w:p>
      <w:pPr>
        <w:pStyle w:val="2"/>
        <w:spacing w:before="190" w:afterAutospacing="0"/>
        <w:rPr>
          <w:sz w:val="22"/>
          <w:szCs w:val="32"/>
        </w:rPr>
      </w:pPr>
      <w:bookmarkStart w:id="93" w:name="_Toc639730543"/>
      <w:r>
        <w:rPr>
          <w:rFonts w:hint="eastAsia"/>
        </w:rPr>
        <w:t>统筹海洋经济发展空间格局</w:t>
      </w:r>
      <w:bookmarkEnd w:id="93"/>
    </w:p>
    <w:p>
      <w:pPr>
        <w:pStyle w:val="50"/>
        <w:spacing w:beforeAutospacing="0" w:after="120"/>
        <w:ind w:firstLine="560"/>
      </w:pPr>
      <w:r>
        <w:rPr>
          <w:rFonts w:hint="eastAsia"/>
        </w:rPr>
        <w:t>统筹全市陆海空间资源，优化要素配置，坚持陆海统筹、城海互动，综合各区域空间承载能力、海洋产业基础与发展潜力，突出创新引领、明确分工协同，加速产业转型升级和集聚发展，构建“两廊四区”的海洋经济发展空间格局。</w:t>
      </w:r>
    </w:p>
    <w:p>
      <w:pPr>
        <w:pStyle w:val="3"/>
        <w:numPr>
          <w:ilvl w:val="0"/>
          <w:numId w:val="10"/>
        </w:numPr>
        <w:spacing w:before="190" w:after="76"/>
      </w:pPr>
      <w:bookmarkStart w:id="94" w:name="_Toc768759838"/>
      <w:r>
        <w:rPr>
          <w:rFonts w:hint="eastAsia"/>
          <w:lang w:eastAsia="zh-CN"/>
        </w:rPr>
        <w:t>两廊引领</w:t>
      </w:r>
      <w:r>
        <w:rPr>
          <w:rFonts w:hint="eastAsia"/>
        </w:rPr>
        <w:t>、重点汇聚</w:t>
      </w:r>
      <w:bookmarkEnd w:id="94"/>
    </w:p>
    <w:p>
      <w:pPr>
        <w:pStyle w:val="50"/>
        <w:spacing w:after="120"/>
        <w:ind w:firstLine="562"/>
      </w:pPr>
      <w:r>
        <w:rPr>
          <w:rFonts w:hint="eastAsia"/>
          <w:b/>
          <w:bCs/>
        </w:rPr>
        <w:t>“广深港”海洋科技创新走廊：</w:t>
      </w:r>
      <w:r>
        <w:rPr>
          <w:rFonts w:hint="eastAsia"/>
        </w:rPr>
        <w:t>以前海深港现代服务业合作区扩区为契机，战略联动广州南沙、香港北部都会区，聚集湾区海洋创新要素，打造“广深港”海洋科技创新走廊。以海洋战略新兴产业、海洋现代服务业为核心发力点，引导科技创新资源、现代服务要素集聚，实现“创新链+产业链+资金链”高度融合。</w:t>
      </w:r>
    </w:p>
    <w:p>
      <w:pPr>
        <w:pStyle w:val="50"/>
        <w:spacing w:after="120"/>
        <w:ind w:firstLine="562"/>
      </w:pPr>
      <w:r>
        <w:rPr>
          <w:rFonts w:hint="eastAsia"/>
          <w:b/>
          <w:bCs/>
        </w:rPr>
        <w:t>“深惠汕”海洋产业发展走廊：</w:t>
      </w:r>
      <w:r>
        <w:rPr>
          <w:rFonts w:hint="eastAsia"/>
        </w:rPr>
        <w:t>整合盐田区、大鹏新区、深汕合作区山海空间资源，联动惠州滨海区域，统筹布局海洋特色产业与重点支撑要素，打造“深惠汕”海洋特色产业走廊。以海洋基础科研、高等教育、智慧港口为核心要素支撑，打造海洋生物医药、航运服务、滨海生态休闲文旅、海洋装备制造、远洋渔业、海上新能源等特色产业集群。</w:t>
      </w:r>
    </w:p>
    <w:p>
      <w:pPr>
        <w:pStyle w:val="50"/>
        <w:spacing w:before="190" w:after="120"/>
        <w:ind w:firstLine="0"/>
        <w:sectPr>
          <w:pgSz w:w="11906" w:h="16838"/>
          <w:pgMar w:top="1440" w:right="1701" w:bottom="1440" w:left="1701" w:header="851" w:footer="992" w:gutter="0"/>
          <w:pgNumType w:start="1"/>
          <w:cols w:space="425" w:num="1"/>
          <w:docGrid w:type="lines" w:linePitch="381" w:charSpace="0"/>
        </w:sectPr>
      </w:pPr>
    </w:p>
    <w:p>
      <w:pPr>
        <w:rPr>
          <w:rFonts w:hint="eastAsia"/>
          <w:b/>
          <w:bCs/>
        </w:rPr>
      </w:pPr>
    </w:p>
    <w:p>
      <w:pPr>
        <w:jc w:val="center"/>
      </w:pPr>
      <w:r>
        <w:drawing>
          <wp:inline distT="0" distB="0" distL="114300" distR="114300">
            <wp:extent cx="8856345" cy="4250055"/>
            <wp:effectExtent l="0" t="0" r="1905"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8856345" cy="4250055"/>
                    </a:xfrm>
                    <a:prstGeom prst="rect">
                      <a:avLst/>
                    </a:prstGeom>
                    <a:noFill/>
                    <a:ln>
                      <a:noFill/>
                    </a:ln>
                  </pic:spPr>
                </pic:pic>
              </a:graphicData>
            </a:graphic>
          </wp:inline>
        </w:drawing>
      </w:r>
      <w:r>
        <w:rPr>
          <w:rFonts w:hint="eastAsia"/>
          <w:b/>
          <w:bCs/>
        </w:rPr>
        <w:t>图1</w:t>
      </w:r>
      <w:r>
        <w:rPr>
          <w:b/>
          <w:bCs/>
        </w:rPr>
        <w:t xml:space="preserve"> </w:t>
      </w:r>
      <w:r>
        <w:rPr>
          <w:rFonts w:hint="eastAsia"/>
          <w:b/>
          <w:bCs/>
        </w:rPr>
        <w:t>两廊四区——深圳海洋经济发展空间结构示意图</w:t>
      </w:r>
    </w:p>
    <w:p>
      <w:pPr>
        <w:pStyle w:val="50"/>
        <w:spacing w:before="190" w:after="120"/>
        <w:ind w:firstLine="0"/>
        <w:sectPr>
          <w:pgSz w:w="16838" w:h="11906" w:orient="landscape"/>
          <w:pgMar w:top="1701" w:right="1440" w:bottom="1701" w:left="1440" w:header="851" w:footer="992" w:gutter="0"/>
          <w:cols w:space="425" w:num="1"/>
          <w:docGrid w:type="lines" w:linePitch="381" w:charSpace="0"/>
        </w:sectPr>
      </w:pPr>
    </w:p>
    <w:p>
      <w:pPr>
        <w:pStyle w:val="3"/>
        <w:numPr>
          <w:ilvl w:val="0"/>
          <w:numId w:val="10"/>
        </w:numPr>
        <w:spacing w:before="190" w:after="76"/>
        <w:rPr>
          <w:lang w:eastAsia="zh-CN"/>
        </w:rPr>
      </w:pPr>
      <w:bookmarkStart w:id="95" w:name="_Toc93680198"/>
      <w:bookmarkEnd w:id="95"/>
      <w:bookmarkStart w:id="96" w:name="_Toc93681406"/>
      <w:bookmarkEnd w:id="96"/>
      <w:bookmarkStart w:id="97" w:name="_Toc93681471"/>
      <w:bookmarkEnd w:id="97"/>
      <w:bookmarkStart w:id="98" w:name="_Toc93681405"/>
      <w:bookmarkEnd w:id="98"/>
      <w:bookmarkStart w:id="99" w:name="_Toc93681472"/>
      <w:bookmarkEnd w:id="99"/>
      <w:bookmarkStart w:id="100" w:name="_Toc93680199"/>
      <w:bookmarkEnd w:id="100"/>
      <w:bookmarkStart w:id="101" w:name="_Toc1474848867"/>
      <w:r>
        <w:rPr>
          <w:rFonts w:hint="eastAsia"/>
        </w:rPr>
        <w:t>四区</w:t>
      </w:r>
      <w:r>
        <w:rPr>
          <w:rFonts w:hint="eastAsia"/>
          <w:lang w:eastAsia="zh-CN"/>
        </w:rPr>
        <w:t>联动</w:t>
      </w:r>
      <w:r>
        <w:rPr>
          <w:rFonts w:hint="eastAsia"/>
        </w:rPr>
        <w:t>、</w:t>
      </w:r>
      <w:r>
        <w:rPr>
          <w:rFonts w:hint="eastAsia"/>
          <w:lang w:eastAsia="zh-CN"/>
        </w:rPr>
        <w:t>优势整合</w:t>
      </w:r>
      <w:bookmarkEnd w:id="101"/>
      <w:bookmarkStart w:id="102" w:name="_Hlk90479793"/>
    </w:p>
    <w:bookmarkEnd w:id="102"/>
    <w:p>
      <w:pPr>
        <w:pStyle w:val="50"/>
        <w:spacing w:after="120"/>
        <w:ind w:firstLine="562"/>
        <w:rPr>
          <w:b/>
          <w:bCs/>
        </w:rPr>
      </w:pPr>
      <w:r>
        <w:rPr>
          <w:rFonts w:hint="eastAsia"/>
          <w:b/>
          <w:bCs/>
        </w:rPr>
        <w:t>科技金融服务集聚区：</w:t>
      </w:r>
      <w:r>
        <w:rPr>
          <w:rFonts w:hint="eastAsia"/>
        </w:rPr>
        <w:t>以前海-蛇口自贸区为核心驱动，包含南山区、福田区。发挥创新资源、智力资本、高端配套高度集聚的优势，发展成为以海洋现代服务、海洋科技研发为主导的区域。规划打造蓝色金融、航运服务、海事法律服务、国际交往为代表的海洋现代服务业体系。同时以海洋总部经济引领，依托海洋科技平台孵化创新中小企业集群，提供海洋前沿科技研发服务。依托深圳西部港区，联动香港着力提升航运高端资源配置功能，强化港城融合发展，共建辐射全球的航运枢纽。其中前海中心片区（原合作区范围）重点发展蓝色金融、海洋总部经济、涉海法律服务、海洋协作交往功能。蛇口国际海洋城重点发展高端航运及海事、邮轮经济等海洋现代服务功能；依托重点企业及科技平台发展海洋高端装备、海洋数字经济和智慧科技等创新研发功能。深圳高新园、西丽湖国际科教城重点布局海洋科技创新平台，提供海洋电子信息、海洋生物医药等领域创新孵化与高端研发服务。福田中心区、香蜜湖片区作为蓝色金融发展重要支撑，探索中远期发展海洋金融中心。</w:t>
      </w:r>
    </w:p>
    <w:p>
      <w:pPr>
        <w:pStyle w:val="50"/>
        <w:spacing w:after="120"/>
        <w:ind w:firstLine="562"/>
      </w:pPr>
      <w:r>
        <w:rPr>
          <w:rFonts w:hint="eastAsia"/>
          <w:b/>
          <w:bCs/>
        </w:rPr>
        <w:t>新兴产业引领区：</w:t>
      </w:r>
      <w:r>
        <w:rPr>
          <w:rFonts w:hint="eastAsia"/>
        </w:rPr>
        <w:t>包含前海合作区北部片区、宝安区。围绕海洋科技成果转化，打造核心产业园区，重点布局海洋电子信息、海洋高端装备、海洋新能源等产业集群，聚焦关键智能设备制造，形成海洋新兴产业全过程创新生态链条。其中海洋新城（含中欧蓝色产业园）重点布局海洋电子信息产业、海洋智能设备与精密零部件制造、海洋新能源产业；大铲湾片区重点发展海洋科技服务、海洋装备检测、远洋渔业、绿色智慧港功能；依托国际会展城促进海洋新兴产业对外开放与展示交流；依托宝安区提供新兴产业配套支撑。</w:t>
      </w:r>
    </w:p>
    <w:p>
      <w:pPr>
        <w:pStyle w:val="50"/>
        <w:spacing w:after="120"/>
        <w:ind w:firstLine="562"/>
      </w:pPr>
      <w:r>
        <w:rPr>
          <w:rFonts w:hint="eastAsia"/>
          <w:b/>
          <w:bCs/>
          <w:lang w:val="en-US" w:eastAsia="zh-CN"/>
        </w:rPr>
        <w:t>科教产城融合</w:t>
      </w:r>
      <w:r>
        <w:rPr>
          <w:rFonts w:hint="eastAsia"/>
          <w:b/>
          <w:bCs/>
        </w:rPr>
        <w:t>示范区：</w:t>
      </w:r>
      <w:r>
        <w:rPr>
          <w:rFonts w:hint="eastAsia"/>
        </w:rPr>
        <w:t>包含盐田区、大鹏新区。重点布局海洋基础科研及高等教育功能，发展港口航运、海洋生物产业、滨海休闲旅游等特色产业。探索建设盐田全域国际海洋城，重点推进国际化绿色智能航运枢纽及离岸贸易中心建设，围绕港产城融合，着力发展高端航运服务、海洋科技研发核心功能，打造海洋交通运输、现代临港产业、海洋生物、滨海旅游等产业集群。探索建设大鹏海洋科学城，围绕深圳海洋大学与国家科考中心建设，重点引入海洋高校、科研院所、科技平台与基础设施，着力提升海洋领域原始创新、高端人才培养能力，大力培育海洋生命健康与生物医药创新产业链条。依托区域优良生态环境与山海资源，重点建设海洋文化设施、主题景区、旅游服务设施及海上交通体系，打造梅沙-大鹏半岛世界级滨海旅游度假区。</w:t>
      </w:r>
    </w:p>
    <w:p>
      <w:pPr>
        <w:pStyle w:val="50"/>
        <w:spacing w:after="120"/>
        <w:ind w:firstLine="562"/>
      </w:pPr>
      <w:r>
        <w:rPr>
          <w:rFonts w:hint="eastAsia"/>
          <w:b/>
          <w:bCs/>
        </w:rPr>
        <w:t>深汕产业拓展区：</w:t>
      </w:r>
      <w:r>
        <w:rPr>
          <w:rFonts w:hint="eastAsia"/>
        </w:rPr>
        <w:t>包含深汕合作区小漠、鲘门片区及江牡岛周边区域，重点引导海洋科技成果在深汕合作区实现产业化落地。以海洋科技成果转化、工程装备制造及测试、临港产业、远洋渔业、滨海旅游为重点，建设现代海洋产业基地和现代化养殖示范场。依托小漠物流港，建设临港产业园区，发展海洋高端装备集成制造，建设远洋渔业基地。依托海洋测试基础设施，实现中试测试、科学实验功能；重点促进海上风电等新能源产业落地应用；依托海岸带、海岛生态景观资源发展滨海休闲旅游。结合江牡岛及周边海域开展扇贝养殖，建立深汕现代化养殖示范区，试点探索深水抗风浪网箱、养殖工船等深远海养殖新模式，打造生态、智能、综合的现代化养殖示范场。</w:t>
      </w:r>
    </w:p>
    <w:p>
      <w:pPr>
        <w:pStyle w:val="3"/>
        <w:spacing w:before="190" w:after="76"/>
      </w:pPr>
      <w:bookmarkStart w:id="103" w:name="_Toc180107582"/>
      <w:r>
        <w:rPr>
          <w:rFonts w:hint="eastAsia"/>
        </w:rPr>
        <w:t>全域支撑、引陆下海</w:t>
      </w:r>
      <w:bookmarkEnd w:id="103"/>
    </w:p>
    <w:p>
      <w:pPr>
        <w:pStyle w:val="50"/>
        <w:spacing w:before="190" w:after="120"/>
        <w:ind w:firstLine="560"/>
      </w:pPr>
      <w:r>
        <w:rPr>
          <w:rFonts w:hint="eastAsia"/>
        </w:rPr>
        <w:t>依托光明科学城基础科研资源，提供基础科学研究领域的战略支撑。发挥罗湖区毗邻香港北部都会区的区位优势，促进口岸贸易与深港合作。充分发挥龙华区、龙岗区、坪山区先进制造业体系发达的优势，打造海洋产业配套支撑体系。</w:t>
      </w:r>
    </w:p>
    <w:p>
      <w:pPr>
        <w:pStyle w:val="2"/>
        <w:spacing w:before="190"/>
      </w:pPr>
      <w:bookmarkStart w:id="104" w:name="_Toc832298533"/>
      <w:r>
        <w:rPr>
          <w:rFonts w:hint="eastAsia"/>
        </w:rPr>
        <w:t>汇聚资源践行先行示范</w:t>
      </w:r>
      <w:bookmarkEnd w:id="104"/>
    </w:p>
    <w:p>
      <w:pPr>
        <w:pStyle w:val="50"/>
      </w:pPr>
      <w:r>
        <w:rPr>
          <w:rFonts w:hint="eastAsia"/>
        </w:rPr>
        <w:t>落实《中共中央国务院关于支持深圳建设中国特色社会主义先行示范区的意见》要求，加快建设全球海洋中心城市，按程序组建海洋大学和国家深海科考中心，探索设立国际海洋开发银行。</w:t>
      </w:r>
    </w:p>
    <w:p>
      <w:pPr>
        <w:pStyle w:val="3"/>
        <w:numPr>
          <w:ilvl w:val="0"/>
          <w:numId w:val="11"/>
        </w:numPr>
        <w:spacing w:before="190" w:after="76"/>
      </w:pPr>
      <w:bookmarkStart w:id="105" w:name="_Toc1670933795"/>
      <w:r>
        <w:rPr>
          <w:rFonts w:hint="eastAsia"/>
          <w:lang w:eastAsia="zh-CN"/>
        </w:rPr>
        <w:t>重点建设海洋大学，吸引全球高端复合人才集聚</w:t>
      </w:r>
      <w:bookmarkEnd w:id="105"/>
    </w:p>
    <w:p>
      <w:pPr>
        <w:pStyle w:val="50"/>
      </w:pPr>
      <w:r>
        <w:rPr>
          <w:rFonts w:hint="eastAsia"/>
          <w:b/>
          <w:bCs/>
        </w:rPr>
        <w:t>推进海洋大学</w:t>
      </w:r>
      <w:r>
        <w:rPr>
          <w:rFonts w:hint="eastAsia"/>
          <w:b/>
          <w:bCs/>
          <w:lang w:eastAsia="zh-Hans"/>
        </w:rPr>
        <w:t>高起点</w:t>
      </w:r>
      <w:r>
        <w:rPr>
          <w:b/>
          <w:bCs/>
          <w:lang w:eastAsia="zh-Hans"/>
        </w:rPr>
        <w:t>、</w:t>
      </w:r>
      <w:r>
        <w:rPr>
          <w:rFonts w:hint="eastAsia"/>
          <w:b/>
          <w:bCs/>
          <w:lang w:eastAsia="zh-Hans"/>
        </w:rPr>
        <w:t>高标准</w:t>
      </w:r>
      <w:r>
        <w:rPr>
          <w:b/>
          <w:bCs/>
          <w:lang w:eastAsia="zh-Hans"/>
        </w:rPr>
        <w:t>、</w:t>
      </w:r>
      <w:r>
        <w:rPr>
          <w:rFonts w:hint="eastAsia"/>
          <w:b/>
          <w:bCs/>
        </w:rPr>
        <w:t>高水平建设。</w:t>
      </w:r>
      <w:r>
        <w:rPr>
          <w:rFonts w:hint="eastAsia"/>
        </w:rPr>
        <w:t>建设国际化、高水平、研究型</w:t>
      </w:r>
      <w:r>
        <w:rPr>
          <w:rFonts w:hint="eastAsia"/>
          <w:lang w:eastAsia="zh-Hans"/>
        </w:rPr>
        <w:t>的</w:t>
      </w:r>
      <w:r>
        <w:rPr>
          <w:rFonts w:hint="eastAsia"/>
        </w:rPr>
        <w:t>世界顶尖海洋大学，构建“强交叉、大综合”的新型特色学科体系，培养海洋领域拔尖创新人才，</w:t>
      </w:r>
      <w:r>
        <w:rPr>
          <w:rFonts w:hint="eastAsia"/>
          <w:lang w:eastAsia="zh-Hans"/>
        </w:rPr>
        <w:t>打造</w:t>
      </w:r>
      <w:r>
        <w:rPr>
          <w:rFonts w:hint="eastAsia"/>
        </w:rPr>
        <w:t>全球高端海洋人才汇聚地。加强与国内外高校深度合作、共建共享，探索校企合作、产教融合模式。加快海洋大学校园工程建设。</w:t>
      </w:r>
    </w:p>
    <w:tbl>
      <w:tblPr>
        <w:tblStyle w:val="3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83"/>
              <w:keepNext w:val="0"/>
              <w:keepLines w:val="0"/>
              <w:suppressLineNumbers w:val="0"/>
              <w:spacing w:before="190" w:beforeAutospacing="0" w:after="190" w:afterAutospacing="0"/>
              <w:ind w:left="0" w:right="0"/>
              <w:rPr>
                <w:rFonts w:hint="eastAsia"/>
              </w:rPr>
            </w:pPr>
            <w:r>
              <w:rPr>
                <w:rFonts w:hint="eastAsia"/>
              </w:rPr>
              <w:t>专栏</w:t>
            </w:r>
            <w:r>
              <w:rPr>
                <w:rFonts w:hint="default"/>
                <w:lang w:val="en"/>
              </w:rPr>
              <w:t>1</w:t>
            </w:r>
            <w:r>
              <w:rPr>
                <w:rFonts w:hint="eastAsia"/>
              </w:rPr>
              <w:t>：海洋大学建设与人才集聚</w:t>
            </w:r>
          </w:p>
          <w:p>
            <w:pPr>
              <w:pStyle w:val="82"/>
              <w:keepNext w:val="0"/>
              <w:keepLines w:val="0"/>
              <w:suppressLineNumbers w:val="0"/>
              <w:spacing w:before="0" w:beforeAutospacing="0" w:afterAutospacing="0"/>
              <w:ind w:left="0" w:right="0"/>
              <w:rPr>
                <w:rFonts w:hint="eastAsia"/>
              </w:rPr>
            </w:pPr>
            <w:r>
              <w:rPr>
                <w:rFonts w:hint="eastAsia"/>
                <w:b/>
                <w:bCs/>
              </w:rPr>
              <w:t>高校共建共享机制</w:t>
            </w:r>
            <w:r>
              <w:rPr>
                <w:rFonts w:hint="eastAsia"/>
              </w:rPr>
              <w:t>：与国内院校学科规划深度融合，推进机构</w:t>
            </w:r>
            <w:r>
              <w:rPr>
                <w:rFonts w:hint="eastAsia" w:ascii="仿宋" w:hAnsi="仿宋"/>
              </w:rPr>
              <w:t>学历认证与学分互认，</w:t>
            </w:r>
            <w:r>
              <w:rPr>
                <w:rFonts w:hint="eastAsia"/>
              </w:rPr>
              <w:t>形成共建多元人才集聚载体；与境外院校建立互访制度并进行学术交流、人才联合培养、合作研究、共建实验室等，形成跨境协同的科研和拔尖人才培养新模式。</w:t>
            </w:r>
          </w:p>
          <w:p>
            <w:pPr>
              <w:pStyle w:val="82"/>
              <w:keepNext w:val="0"/>
              <w:keepLines w:val="0"/>
              <w:suppressLineNumbers w:val="0"/>
              <w:spacing w:before="0" w:beforeAutospacing="0" w:afterAutospacing="0"/>
              <w:ind w:left="0" w:right="0"/>
              <w:rPr>
                <w:rFonts w:hint="eastAsia"/>
              </w:rPr>
            </w:pPr>
            <w:r>
              <w:rPr>
                <w:rFonts w:hint="eastAsia"/>
                <w:b/>
                <w:bCs/>
              </w:rPr>
              <w:t>国际学术交流与合作机制：</w:t>
            </w:r>
            <w:r>
              <w:rPr>
                <w:rFonts w:hint="eastAsia"/>
              </w:rPr>
              <w:t>加强与世界一流大学和顶尖海洋研究机构精准深度合作，建立互访制度并进行学术交流、人才联合培养、合作研究、共建实验室等，包括美国麻省理工学院、美国伍兹霍尔海洋研究所、英国国家海洋中心、英国南安普顿大学、</w:t>
            </w:r>
            <w:r>
              <w:rPr>
                <w:rFonts w:hint="eastAsia"/>
                <w:lang w:eastAsia="zh-Hans"/>
              </w:rPr>
              <w:t>挪威科技大学</w:t>
            </w:r>
            <w:r>
              <w:rPr>
                <w:rFonts w:hint="eastAsia"/>
              </w:rPr>
              <w:t>等。</w:t>
            </w:r>
          </w:p>
          <w:p>
            <w:pPr>
              <w:pStyle w:val="82"/>
              <w:keepNext w:val="0"/>
              <w:keepLines w:val="0"/>
              <w:suppressLineNumbers w:val="0"/>
              <w:spacing w:before="0" w:beforeAutospacing="0" w:afterAutospacing="0"/>
              <w:ind w:left="0" w:right="0"/>
              <w:rPr>
                <w:rFonts w:hint="eastAsia"/>
              </w:rPr>
            </w:pPr>
            <w:r>
              <w:rPr>
                <w:rFonts w:hint="eastAsia"/>
                <w:b/>
                <w:bCs/>
              </w:rPr>
              <w:t>全球海洋智库：</w:t>
            </w:r>
            <w:r>
              <w:rPr>
                <w:rFonts w:hint="eastAsia"/>
              </w:rPr>
              <w:t>加强前海高端智库建设，探索依托海洋大学、国际海事可持续发展中心、国际海洋开发银行等，汇聚海洋智力资源，推动海洋产业发展，提升涉海战略研究水平。充分发挥智库国际传播作用，通过前海论坛、可持续发展论坛等，增强智库影响力。</w:t>
            </w:r>
          </w:p>
        </w:tc>
      </w:tr>
    </w:tbl>
    <w:p>
      <w:pPr>
        <w:pStyle w:val="50"/>
      </w:pPr>
      <w:r>
        <w:rPr>
          <w:rFonts w:hint="eastAsia"/>
          <w:b/>
          <w:bCs/>
        </w:rPr>
        <w:t>形成分层次、多元化的教育培养模式。</w:t>
      </w:r>
      <w:r>
        <w:rPr>
          <w:rFonts w:hint="eastAsia"/>
        </w:rPr>
        <w:t>加快设立中国海洋大学深圳研究院、哈尔滨工程大学深圳海洋研究院等机构；加快推动南方科技大学、深圳大学、清华大学深圳国际研究生院、哈尔滨工业大学（深圳）、北京大学深圳研究生院、深圳职业技术学院等高校建设优势特色海洋学科。</w:t>
      </w:r>
    </w:p>
    <w:p>
      <w:pPr>
        <w:pStyle w:val="50"/>
      </w:pPr>
      <w:r>
        <w:rPr>
          <w:rFonts w:hint="eastAsia"/>
          <w:b/>
        </w:rPr>
        <w:t>加强海洋高层次</w:t>
      </w:r>
      <w:r>
        <w:rPr>
          <w:b/>
        </w:rPr>
        <w:t>人才引进</w:t>
      </w:r>
      <w:r>
        <w:rPr>
          <w:rFonts w:hint="eastAsia"/>
          <w:b/>
        </w:rPr>
        <w:t>和全球海洋智库建设</w:t>
      </w:r>
      <w:r>
        <w:rPr>
          <w:rFonts w:hint="eastAsia"/>
        </w:rPr>
        <w:t>。建立海洋人才库、资源库，探索设立海洋</w:t>
      </w:r>
      <w:r>
        <w:t>专项人才计划</w:t>
      </w:r>
      <w:r>
        <w:rPr>
          <w:rFonts w:hint="eastAsia"/>
        </w:rPr>
        <w:t>。</w:t>
      </w:r>
      <w:r>
        <w:t>引进</w:t>
      </w:r>
      <w:r>
        <w:rPr>
          <w:rFonts w:hint="eastAsia"/>
        </w:rPr>
        <w:t>海洋科技产业、海洋治理、海洋城市发展等领域核心人才，建设海洋领域院士工作站和“人才驿站”。依托深圳人才大数据平台、粤港澳人才自由港等平台，</w:t>
      </w:r>
      <w:r>
        <w:t>实现</w:t>
      </w:r>
      <w:r>
        <w:rPr>
          <w:rFonts w:hint="eastAsia"/>
        </w:rPr>
        <w:t>海洋</w:t>
      </w:r>
      <w:r>
        <w:t>人才共享</w:t>
      </w:r>
      <w:r>
        <w:rPr>
          <w:rFonts w:hint="eastAsia"/>
        </w:rPr>
        <w:t>和全球借智。建立</w:t>
      </w:r>
      <w:r>
        <w:t>与</w:t>
      </w:r>
      <w:r>
        <w:rPr>
          <w:rFonts w:hint="eastAsia"/>
        </w:rPr>
        <w:t>国际</w:t>
      </w:r>
      <w:r>
        <w:t>接轨的高层次人才</w:t>
      </w:r>
      <w:r>
        <w:rPr>
          <w:rFonts w:hint="eastAsia"/>
        </w:rPr>
        <w:t>聘任</w:t>
      </w:r>
      <w:r>
        <w:t>、</w:t>
      </w:r>
      <w:r>
        <w:rPr>
          <w:rFonts w:hint="eastAsia"/>
        </w:rPr>
        <w:t>评价</w:t>
      </w:r>
      <w:r>
        <w:t>、科研资助和管理制度</w:t>
      </w:r>
      <w:r>
        <w:rPr>
          <w:rFonts w:hint="eastAsia"/>
        </w:rPr>
        <w:t>，推动研究深圳市海洋专业技术资格职称自主评审机制，完善相关奖励与激励机制、居留待遇政策。鼓励海洋大学和相关研究机构、国际海事可持续发展中心、国际海洋开发银行等机构参与全球海洋智库建设。</w:t>
      </w:r>
    </w:p>
    <w:p>
      <w:pPr>
        <w:pStyle w:val="3"/>
        <w:spacing w:before="190" w:after="76"/>
      </w:pPr>
      <w:bookmarkStart w:id="106" w:name="_Toc90991449"/>
      <w:bookmarkEnd w:id="106"/>
      <w:bookmarkStart w:id="107" w:name="_Toc91152002"/>
      <w:bookmarkEnd w:id="107"/>
      <w:bookmarkStart w:id="108" w:name="_Toc91164602"/>
      <w:bookmarkEnd w:id="108"/>
      <w:bookmarkStart w:id="109" w:name="_Toc90912618"/>
      <w:bookmarkEnd w:id="109"/>
      <w:bookmarkStart w:id="110" w:name="_Toc91151936"/>
      <w:bookmarkEnd w:id="110"/>
      <w:bookmarkStart w:id="111" w:name="_Toc90990609"/>
      <w:bookmarkEnd w:id="111"/>
      <w:bookmarkStart w:id="112" w:name="_Toc90990166"/>
      <w:bookmarkEnd w:id="112"/>
      <w:bookmarkStart w:id="113" w:name="_Toc1423838560"/>
      <w:r>
        <w:rPr>
          <w:rFonts w:hint="eastAsia"/>
          <w:lang w:eastAsia="zh-CN"/>
        </w:rPr>
        <w:t>加快组建深海科考中心，推动深海技术集成创新</w:t>
      </w:r>
      <w:bookmarkEnd w:id="113"/>
    </w:p>
    <w:p>
      <w:pPr>
        <w:pStyle w:val="50"/>
      </w:pPr>
      <w:r>
        <w:rPr>
          <w:rFonts w:hint="eastAsia"/>
          <w:b/>
          <w:bCs/>
        </w:rPr>
        <w:t>全面推进深圳深海科考中心建设。</w:t>
      </w:r>
      <w:r>
        <w:rPr>
          <w:rFonts w:hint="eastAsia"/>
        </w:rPr>
        <w:t>聚焦深海科学与前沿、深海能源、深海生物资源、深海矿产资源四个科学与技术研究方向。培育深海信息技术与工程应用、先进深海技术装备、深海生物资源开发利用三大关键核心技术产业。形成国家级深海科研能力，探索建设世界一流的深海公共研发平台。加快选址规划和工程建设。探索构建“深海科考中心+海洋大学”科教融合模式和行业共享机制。</w:t>
      </w:r>
    </w:p>
    <w:tbl>
      <w:tblPr>
        <w:tblStyle w:val="3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83"/>
              <w:keepNext w:val="0"/>
              <w:keepLines w:val="0"/>
              <w:suppressLineNumbers w:val="0"/>
              <w:spacing w:before="190" w:beforeAutospacing="0" w:after="190" w:afterAutospacing="0"/>
              <w:ind w:left="0" w:right="0"/>
              <w:rPr>
                <w:rFonts w:hint="eastAsia"/>
              </w:rPr>
            </w:pPr>
            <w:r>
              <w:rPr>
                <w:rFonts w:hint="eastAsia"/>
              </w:rPr>
              <w:t>专栏</w:t>
            </w:r>
            <w:r>
              <w:rPr>
                <w:rFonts w:hint="default"/>
                <w:lang w:val="en"/>
              </w:rPr>
              <w:t>2</w:t>
            </w:r>
            <w:r>
              <w:rPr>
                <w:rFonts w:hint="eastAsia"/>
              </w:rPr>
              <w:t>：深海科考中心研发平台建设</w:t>
            </w:r>
          </w:p>
          <w:p>
            <w:pPr>
              <w:pStyle w:val="82"/>
              <w:keepNext w:val="0"/>
              <w:keepLines w:val="0"/>
              <w:suppressLineNumbers w:val="0"/>
              <w:spacing w:before="0" w:beforeAutospacing="0" w:afterAutospacing="0"/>
              <w:ind w:left="0" w:right="0"/>
              <w:rPr>
                <w:rFonts w:hint="eastAsia"/>
              </w:rPr>
            </w:pPr>
            <w:r>
              <w:rPr>
                <w:rFonts w:hint="eastAsia"/>
                <w:b/>
                <w:bCs/>
              </w:rPr>
              <w:t>深海科考核心能力建设：</w:t>
            </w:r>
            <w:r>
              <w:rPr>
                <w:rFonts w:hint="eastAsia"/>
              </w:rPr>
              <w:t>建造科考保障母船及配套科考装备，支撑科学研究引领新一代技术与装备发展。建造大型深海仪器装备试验平台，支撑深海信息、深海能源、深海生物、深海矿产等领域关键装备深海海试和作业，通过装备试验、科考作业和应用，促进科学研究能力提升、关键核心技术进步和国产装备可靠性提高。</w:t>
            </w:r>
          </w:p>
          <w:p>
            <w:pPr>
              <w:pStyle w:val="82"/>
              <w:keepNext w:val="0"/>
              <w:keepLines w:val="0"/>
              <w:suppressLineNumbers w:val="0"/>
              <w:spacing w:before="0" w:beforeAutospacing="0" w:afterAutospacing="0"/>
              <w:ind w:left="0" w:right="0"/>
              <w:rPr>
                <w:rFonts w:hint="eastAsia"/>
              </w:rPr>
            </w:pPr>
            <w:r>
              <w:rPr>
                <w:rFonts w:hint="eastAsia"/>
                <w:b/>
                <w:bCs/>
              </w:rPr>
              <w:t>科教融合发展模式：</w:t>
            </w:r>
            <w:r>
              <w:rPr>
                <w:rFonts w:hint="eastAsia"/>
              </w:rPr>
              <w:t>以“深海科考中心+海洋大学”为载体，加强科教融合，探索建立人才双聘，码头、大型仪器设备、数据共享机制，联合开展技术研发等，合作打造深海科技中心。</w:t>
            </w:r>
          </w:p>
        </w:tc>
      </w:tr>
    </w:tbl>
    <w:p>
      <w:pPr>
        <w:pStyle w:val="50"/>
        <w:rPr>
          <w:bCs/>
        </w:rPr>
      </w:pPr>
      <w:r>
        <w:rPr>
          <w:rFonts w:hint="eastAsia"/>
          <w:b/>
          <w:bCs/>
        </w:rPr>
        <w:t>推动深海技术集成创新</w:t>
      </w:r>
      <w:r>
        <w:rPr>
          <w:rFonts w:hint="eastAsia"/>
          <w:b/>
        </w:rPr>
        <w:t>。</w:t>
      </w:r>
      <w:r>
        <w:rPr>
          <w:rFonts w:hint="eastAsia"/>
        </w:rPr>
        <w:t>发挥深海科技集成应用牵引作用，推动深海科技成果转化。推动深海领域公共研发平台向社会开放共享</w:t>
      </w:r>
      <w:r>
        <w:rPr>
          <w:rFonts w:hint="eastAsia"/>
          <w:bCs/>
        </w:rPr>
        <w:t>，引导陆地空天高新技术积极下海。</w:t>
      </w:r>
      <w:r>
        <w:rPr>
          <w:bCs/>
        </w:rPr>
        <w:t xml:space="preserve"> </w:t>
      </w:r>
    </w:p>
    <w:p>
      <w:pPr>
        <w:pStyle w:val="3"/>
        <w:spacing w:before="190" w:after="76"/>
      </w:pPr>
      <w:bookmarkStart w:id="114" w:name="_Toc979417156"/>
      <w:r>
        <w:rPr>
          <w:rFonts w:hint="eastAsia"/>
        </w:rPr>
        <w:t>探索设立国际海洋开发银行，推进高端金融服务提升</w:t>
      </w:r>
      <w:bookmarkEnd w:id="114"/>
      <w:bookmarkStart w:id="115" w:name="_Toc80114663"/>
    </w:p>
    <w:p>
      <w:pPr>
        <w:pStyle w:val="50"/>
      </w:pPr>
      <w:r>
        <w:rPr>
          <w:rFonts w:hint="eastAsia"/>
          <w:b/>
          <w:bCs/>
        </w:rPr>
        <w:t>探索设立国际海洋开发银行。</w:t>
      </w:r>
      <w:r>
        <w:rPr>
          <w:rFonts w:hint="eastAsia"/>
        </w:rPr>
        <w:t>积极践行“21世纪海上丝绸之路”倡议，大力开发国际海洋经济，以服务“海洋强国”战略和“海洋命运共同体”理念为核心，致力成为符合国际开发性金融共识和实践的金融机构。业务领域聚焦海洋资源开发、海洋科技发展，沿海沿江地区发展，以及国际海洋基础设施互联互通、国际海洋生态环境保护、“一带一路”沿海国家地区经济社会发展等。</w:t>
      </w:r>
    </w:p>
    <w:p>
      <w:pPr>
        <w:pStyle w:val="50"/>
      </w:pPr>
      <w:r>
        <w:rPr>
          <w:rFonts w:hint="eastAsia"/>
          <w:b/>
          <w:bCs/>
        </w:rPr>
        <w:t>推进高端金融服务提升。</w:t>
      </w:r>
      <w:r>
        <w:rPr>
          <w:rFonts w:hint="eastAsia"/>
        </w:rPr>
        <w:t>争取以前海为中心，积极创建蓝色金融改革试验区。加速构建涉海金融服务体系，探索形成以金融信贷、上市融资和票证融资为主体，以政府产业基金为特色，以创业投资和风险投资为补充，以海洋信用担保业和政策性保险体系为辅助的多元化融资模式。实现涉海企业、金融机构、海洋部门在投融资、政策、资讯等的信息交互与对接。发挥全市金融机构现有集聚优势，大力发展海洋创投、海洋信贷、海洋保险、海洋融资租赁等海洋金融服务业，加大对海洋特色金融机构的政策扶持。</w:t>
      </w:r>
    </w:p>
    <w:tbl>
      <w:tblPr>
        <w:tblStyle w:val="3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83"/>
              <w:keepNext w:val="0"/>
              <w:keepLines w:val="0"/>
              <w:suppressLineNumbers w:val="0"/>
              <w:spacing w:before="190" w:beforeAutospacing="0" w:after="190" w:afterAutospacing="0"/>
              <w:ind w:left="0" w:right="0"/>
              <w:rPr>
                <w:rFonts w:hint="eastAsia"/>
              </w:rPr>
            </w:pPr>
            <w:r>
              <w:rPr>
                <w:rFonts w:hint="eastAsia"/>
              </w:rPr>
              <w:t>专栏</w:t>
            </w:r>
            <w:r>
              <w:rPr>
                <w:rFonts w:hint="default"/>
                <w:lang w:val="en"/>
              </w:rPr>
              <w:t>3</w:t>
            </w:r>
            <w:r>
              <w:rPr>
                <w:rFonts w:hint="eastAsia"/>
              </w:rPr>
              <w:t>：推进金融与综合服务提升</w:t>
            </w:r>
          </w:p>
          <w:p>
            <w:pPr>
              <w:pStyle w:val="82"/>
              <w:keepNext w:val="0"/>
              <w:keepLines w:val="0"/>
              <w:suppressLineNumbers w:val="0"/>
              <w:spacing w:before="0" w:beforeAutospacing="0" w:afterAutospacing="0"/>
              <w:ind w:left="0" w:right="0"/>
              <w:rPr>
                <w:rFonts w:hint="eastAsia"/>
              </w:rPr>
            </w:pPr>
            <w:r>
              <w:rPr>
                <w:rFonts w:hint="eastAsia"/>
                <w:b/>
                <w:bCs/>
              </w:rPr>
              <w:t>国际海事可持续发展中心：</w:t>
            </w:r>
            <w:r>
              <w:rPr>
                <w:rFonts w:hint="eastAsia"/>
              </w:rPr>
              <w:t>引入顶级航运金融、船舶管理等机构和企业，壮大高端航运服务实力，积极培育航运保险、融资、经纪、法律等现代航运服务业。</w:t>
            </w:r>
          </w:p>
          <w:p>
            <w:pPr>
              <w:pStyle w:val="82"/>
              <w:keepNext w:val="0"/>
              <w:keepLines w:val="0"/>
              <w:suppressLineNumbers w:val="0"/>
              <w:spacing w:before="0" w:beforeAutospacing="0" w:afterAutospacing="0"/>
              <w:ind w:left="0" w:right="0"/>
              <w:rPr>
                <w:rFonts w:hint="eastAsia"/>
              </w:rPr>
            </w:pPr>
            <w:r>
              <w:rPr>
                <w:rFonts w:hint="eastAsia"/>
                <w:b/>
                <w:bCs/>
              </w:rPr>
              <w:t>前海中船智慧海洋产业基金：</w:t>
            </w:r>
            <w:r>
              <w:rPr>
                <w:rFonts w:hint="eastAsia"/>
              </w:rPr>
              <w:t>前海中船智慧海洋基金目标规模100亿元，一期募集规模50亿元。基金协助推动有关涉海龙头企业、海洋科研院所等机构在深圳落户，培育一批智慧海洋产业上市公司和“独角兽”企业，加速推动我市海洋产业创新发展。</w:t>
            </w:r>
          </w:p>
        </w:tc>
      </w:tr>
      <w:bookmarkEnd w:id="115"/>
    </w:tbl>
    <w:p>
      <w:pPr>
        <w:pStyle w:val="2"/>
        <w:spacing w:before="190"/>
      </w:pPr>
      <w:bookmarkStart w:id="116" w:name="_Toc667286357"/>
      <w:r>
        <w:rPr>
          <w:rFonts w:hint="eastAsia"/>
        </w:rPr>
        <w:t>完善海洋科技创新生态链</w:t>
      </w:r>
      <w:bookmarkEnd w:id="116"/>
    </w:p>
    <w:p>
      <w:pPr>
        <w:pStyle w:val="3"/>
        <w:numPr>
          <w:ilvl w:val="0"/>
          <w:numId w:val="12"/>
        </w:numPr>
        <w:spacing w:before="190" w:after="76"/>
      </w:pPr>
      <w:bookmarkStart w:id="117" w:name="_Toc88504477"/>
      <w:bookmarkStart w:id="118" w:name="_Toc707206055"/>
      <w:bookmarkStart w:id="119" w:name="_Toc88503905"/>
      <w:r>
        <w:rPr>
          <w:rFonts w:hint="eastAsia"/>
          <w:lang w:eastAsia="zh-CN"/>
        </w:rPr>
        <w:t>聚焦海洋</w:t>
      </w:r>
      <w:r>
        <w:rPr>
          <w:rFonts w:hint="eastAsia"/>
        </w:rPr>
        <w:t>关键技术攻坚</w:t>
      </w:r>
      <w:bookmarkEnd w:id="117"/>
      <w:bookmarkEnd w:id="118"/>
      <w:bookmarkEnd w:id="119"/>
    </w:p>
    <w:p>
      <w:pPr>
        <w:pStyle w:val="50"/>
      </w:pPr>
      <w:r>
        <w:rPr>
          <w:rFonts w:hint="eastAsia"/>
          <w:b/>
          <w:bCs/>
        </w:rPr>
        <w:t>聚焦海洋电子信息技术与工程应用。</w:t>
      </w:r>
      <w:r>
        <w:rPr>
          <w:rFonts w:hint="eastAsia"/>
        </w:rPr>
        <w:t>重点加强海洋遥感、卫星导航系统、水下无线通信等海洋信息技术，研发无人船、智能船、智能水下机器人、国产传感器；开展深海信息感知网络技术研究；开展深远海水下通讯技术研究、水下定位、导航、受时（PNT）关键技术研究；深海大数据挖掘技术研究；数字孪生关键技术研究等。</w:t>
      </w:r>
    </w:p>
    <w:p>
      <w:pPr>
        <w:pStyle w:val="50"/>
      </w:pPr>
      <w:r>
        <w:rPr>
          <w:rFonts w:hint="eastAsia"/>
          <w:b/>
          <w:bCs/>
        </w:rPr>
        <w:t>聚焦深海科学与海工前沿技术。</w:t>
      </w:r>
      <w:r>
        <w:rPr>
          <w:rFonts w:hint="eastAsia"/>
        </w:rPr>
        <w:t>开展深渊科学、大洋钻探科学、极区海域深潜等研究，引领相关探测、观测、水下平台、科考装备技术发展。聚焦新型、智能化深海传感器、探测设备、水下运载平台研发、设计、制造、评价、应用。</w:t>
      </w:r>
    </w:p>
    <w:p>
      <w:pPr>
        <w:pStyle w:val="50"/>
      </w:pPr>
      <w:r>
        <w:rPr>
          <w:rFonts w:hint="eastAsia"/>
          <w:b/>
          <w:bCs/>
        </w:rPr>
        <w:t>聚焦海洋资源与能源开发技术。</w:t>
      </w:r>
      <w:r>
        <w:rPr>
          <w:rFonts w:hint="eastAsia"/>
        </w:rPr>
        <w:t>聚焦天然气水合物以及深水油气资源智能开发技术；海洋新能源技术探索与工程示范，包括海上风电关键技术、海洋可再生能源开发技术、风-浪-流一体化能源系统、海水制氢及海上氢燃料存储技术等。</w:t>
      </w:r>
    </w:p>
    <w:p>
      <w:pPr>
        <w:pStyle w:val="50"/>
      </w:pPr>
      <w:r>
        <w:rPr>
          <w:rFonts w:hint="eastAsia"/>
          <w:b/>
          <w:bCs/>
        </w:rPr>
        <w:t>聚焦海洋生物资源利用技术。</w:t>
      </w:r>
      <w:r>
        <w:rPr>
          <w:rFonts w:hint="eastAsia"/>
        </w:rPr>
        <w:t>开展深海生物医药、深海生物基因、海洋生物酶技术、海洋生物综合修复技术等技术研发。开展全球深海生态系统观测及生物采样、深海生命综合数据处理与分析、时空科学规律研究、深海“蓝碳”的机理研究以及南海汇碳能力评估、海洋藻类资源利用与碳捕集技术等研究。</w:t>
      </w:r>
    </w:p>
    <w:p>
      <w:pPr>
        <w:pStyle w:val="3"/>
        <w:numPr>
          <w:ilvl w:val="0"/>
          <w:numId w:val="12"/>
        </w:numPr>
        <w:spacing w:before="190" w:after="76"/>
        <w:rPr>
          <w:lang w:eastAsia="zh-CN"/>
        </w:rPr>
      </w:pPr>
      <w:bookmarkStart w:id="120" w:name="_Toc355802041"/>
      <w:bookmarkStart w:id="121" w:name="_Toc88504478"/>
      <w:bookmarkStart w:id="122" w:name="_Toc88503906"/>
      <w:r>
        <w:rPr>
          <w:rFonts w:hint="eastAsia"/>
          <w:lang w:eastAsia="zh-CN"/>
        </w:rPr>
        <w:t>加强</w:t>
      </w:r>
      <w:r>
        <w:rPr>
          <w:rFonts w:hint="eastAsia"/>
        </w:rPr>
        <w:t>海洋科技</w:t>
      </w:r>
      <w:r>
        <w:rPr>
          <w:rFonts w:hint="eastAsia"/>
          <w:lang w:eastAsia="zh-CN"/>
        </w:rPr>
        <w:t>成果转化综合服务</w:t>
      </w:r>
      <w:bookmarkEnd w:id="120"/>
      <w:bookmarkEnd w:id="121"/>
      <w:bookmarkEnd w:id="122"/>
    </w:p>
    <w:p>
      <w:pPr>
        <w:pStyle w:val="50"/>
        <w:rPr>
          <w:szCs w:val="32"/>
        </w:rPr>
      </w:pPr>
      <w:r>
        <w:rPr>
          <w:rFonts w:hint="eastAsia"/>
          <w:b/>
          <w:bCs/>
          <w:szCs w:val="32"/>
        </w:rPr>
        <w:t>加强海洋科技成果转化和交易综合服务。</w:t>
      </w:r>
      <w:r>
        <w:rPr>
          <w:rFonts w:hint="eastAsia"/>
          <w:szCs w:val="32"/>
        </w:rPr>
        <w:t>以产业需求为导向，串联产业上下游关键技术环节，加速海洋科技成果转化和产业渗透，开展海洋先进技术应用性研究、试验性开发和商品化试制，重点解决海洋领域产业化中的重大共性技术难题。加强海洋科技成果转化与交易综合服务，积极引导促进多方参与海洋科技成果交易，形成海洋科技创新综合服务集群和全链条集成服务载体。</w:t>
      </w:r>
    </w:p>
    <w:p>
      <w:pPr>
        <w:pStyle w:val="50"/>
        <w:rPr>
          <w:lang w:val="zh-CN" w:eastAsia="zh-CN"/>
        </w:rPr>
      </w:pPr>
      <w:r>
        <w:rPr>
          <w:rFonts w:hint="eastAsia"/>
          <w:b/>
          <w:bCs/>
          <w:szCs w:val="32"/>
        </w:rPr>
        <w:t>鼓励多方主体开展自主创新。</w:t>
      </w:r>
      <w:r>
        <w:rPr>
          <w:rFonts w:hint="eastAsia"/>
          <w:szCs w:val="32"/>
        </w:rPr>
        <w:t>鼓励企业开展独立知识产权设计和国产化技术应用推广，以购买服务、以奖代补等方式支持海洋产业协会、高等院校、涉海龙头企业自主创新。鼓励开展国家科技成果国际专利研发和申请，提升知识产权保护标准，健全科技成果价值评估体系。重点扶持知识产权等智力资产评估机构、海洋高技术产业投资服务机构和中小企业担保中心等海洋科技中介服务企业。</w:t>
      </w:r>
    </w:p>
    <w:tbl>
      <w:tblPr>
        <w:tblStyle w:val="3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83"/>
              <w:keepNext w:val="0"/>
              <w:keepLines w:val="0"/>
              <w:suppressLineNumbers w:val="0"/>
              <w:spacing w:before="190" w:beforeAutospacing="0" w:after="190" w:afterAutospacing="0"/>
              <w:ind w:left="0" w:right="0"/>
              <w:rPr>
                <w:rFonts w:hint="eastAsia"/>
              </w:rPr>
            </w:pPr>
            <w:r>
              <w:rPr>
                <w:rFonts w:hint="eastAsia"/>
              </w:rPr>
              <w:t>专栏</w:t>
            </w:r>
            <w:r>
              <w:rPr>
                <w:rFonts w:hint="default"/>
                <w:lang w:val="en"/>
              </w:rPr>
              <w:t>4</w:t>
            </w:r>
            <w:r>
              <w:rPr>
                <w:rFonts w:hint="eastAsia"/>
              </w:rPr>
              <w:t>：海洋科技转化平台建设</w:t>
            </w:r>
          </w:p>
          <w:p>
            <w:pPr>
              <w:pStyle w:val="82"/>
              <w:keepNext w:val="0"/>
              <w:keepLines w:val="0"/>
              <w:suppressLineNumbers w:val="0"/>
              <w:spacing w:before="0" w:beforeAutospacing="0" w:afterAutospacing="0"/>
              <w:ind w:left="0" w:right="0"/>
              <w:rPr>
                <w:rFonts w:hint="eastAsia"/>
              </w:rPr>
            </w:pPr>
            <w:r>
              <w:rPr>
                <w:rFonts w:hint="eastAsia"/>
                <w:b/>
                <w:bCs/>
              </w:rPr>
              <w:t>粤港澳大湾区国际科技创新中心新兴产业技术创新载体：</w:t>
            </w:r>
            <w:r>
              <w:rPr>
                <w:rFonts w:hint="eastAsia"/>
              </w:rPr>
              <w:t>引进香港城市大学太赫兹及毫米波国家重点实验室、国家贵金属材料工程技术研究中心和海洋污染国家重点实验室等国家级实验平台的科研力量，在前海开展相关科技转化工作。</w:t>
            </w:r>
          </w:p>
          <w:p>
            <w:pPr>
              <w:pStyle w:val="82"/>
              <w:keepNext w:val="0"/>
              <w:keepLines w:val="0"/>
              <w:suppressLineNumbers w:val="0"/>
              <w:spacing w:before="0" w:beforeAutospacing="0" w:afterAutospacing="0"/>
              <w:ind w:left="0" w:right="0"/>
              <w:rPr>
                <w:rFonts w:hint="eastAsia"/>
              </w:rPr>
            </w:pPr>
            <w:r>
              <w:rPr>
                <w:rFonts w:hint="eastAsia"/>
                <w:b/>
                <w:bCs/>
              </w:rPr>
              <w:t>赤湾海洋科技产业园：</w:t>
            </w:r>
            <w:r>
              <w:rPr>
                <w:rFonts w:hint="eastAsia"/>
              </w:rPr>
              <w:t>包括深圳海洋工程技术研究院、海洋科技创新基地、海洋科技成果转化推广基地、海洋现代服务基地。探索建立“园区+基金”专业运营机制，培育孵化一批海洋创新型企业。</w:t>
            </w:r>
          </w:p>
        </w:tc>
      </w:tr>
    </w:tbl>
    <w:p>
      <w:pPr>
        <w:pStyle w:val="3"/>
        <w:spacing w:before="190" w:after="76"/>
      </w:pPr>
      <w:bookmarkStart w:id="123" w:name="_Toc1040893963"/>
      <w:bookmarkStart w:id="124" w:name="_Toc88503907"/>
      <w:bookmarkStart w:id="125" w:name="_Toc88504479"/>
      <w:r>
        <w:rPr>
          <w:rFonts w:hint="eastAsia"/>
        </w:rPr>
        <w:t>完善科技创新</w:t>
      </w:r>
      <w:r>
        <w:rPr>
          <w:rFonts w:hint="eastAsia"/>
          <w:lang w:eastAsia="zh-CN"/>
        </w:rPr>
        <w:t>重大基础设施</w:t>
      </w:r>
      <w:bookmarkEnd w:id="123"/>
      <w:bookmarkEnd w:id="124"/>
      <w:bookmarkEnd w:id="125"/>
    </w:p>
    <w:p>
      <w:pPr>
        <w:pStyle w:val="50"/>
      </w:pPr>
      <w:r>
        <w:rPr>
          <w:rFonts w:hint="eastAsia"/>
          <w:b/>
          <w:bCs/>
        </w:rPr>
        <w:t>推进海洋综合试验场规划建设。</w:t>
      </w:r>
      <w:r>
        <w:rPr>
          <w:rFonts w:hint="eastAsia"/>
          <w:b w:val="0"/>
          <w:bCs w:val="0"/>
          <w:lang w:eastAsia="zh-CN"/>
        </w:rPr>
        <w:t>研究</w:t>
      </w:r>
      <w:r>
        <w:rPr>
          <w:rFonts w:hint="eastAsia"/>
        </w:rPr>
        <w:t>在深汕、大鹏、南山等海域建设国际一流的海洋综合试验场，开展海洋多学科交叉实验、海洋工程与高新技术研发等科研活动，推动深圳海洋工程装备配套试验，加快海洋技术装备研制进度和产品化进程。完善市场机制，引进多方主体投融资，实现试验场基础设施的共建共享共用。</w:t>
      </w:r>
    </w:p>
    <w:p>
      <w:pPr>
        <w:pStyle w:val="50"/>
      </w:pPr>
      <w:r>
        <w:rPr>
          <w:rFonts w:hint="eastAsia"/>
          <w:b/>
          <w:bCs/>
        </w:rPr>
        <w:t>打造国际一流的特色创新载体。</w:t>
      </w:r>
      <w:r>
        <w:rPr>
          <w:rFonts w:hint="eastAsia"/>
        </w:rPr>
        <w:t>支持企业承担国家重大科技项目，打造国家级和省级重点实验室、工程研究中心、技术中心等，深化产学研结合。针对海洋工程发展前沿和重要科技方向，建设三维一体的可移动无人设备协同集群作业、海洋智能监测网络、智能数字化水池、专用海洋卫星和深海资源开采等海洋大型装备的科技创新载体、重点实验室和大型综合科考船。聚焦海洋智能化高端装备、海洋电子信息、海洋生物医药、海洋新能源等领域，支撑开展海洋多学科交叉实验、海洋工程与高新技术研发等科研活动。探索建设全球海洋大数据中心，打造海洋大数据公共服务平台。</w:t>
      </w:r>
    </w:p>
    <w:tbl>
      <w:tblPr>
        <w:tblStyle w:val="32"/>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4" w:type="dxa"/>
          </w:tcPr>
          <w:p>
            <w:pPr>
              <w:pStyle w:val="83"/>
              <w:keepNext w:val="0"/>
              <w:keepLines w:val="0"/>
              <w:suppressLineNumbers w:val="0"/>
              <w:spacing w:before="190" w:beforeAutospacing="0" w:after="190" w:afterAutospacing="0"/>
              <w:ind w:left="0" w:right="0"/>
              <w:rPr>
                <w:rFonts w:hint="eastAsia"/>
              </w:rPr>
            </w:pPr>
            <w:r>
              <w:rPr>
                <w:rFonts w:hint="eastAsia"/>
              </w:rPr>
              <w:t>专栏</w:t>
            </w:r>
            <w:r>
              <w:rPr>
                <w:rFonts w:hint="default"/>
                <w:lang w:val="en"/>
              </w:rPr>
              <w:t>5</w:t>
            </w:r>
            <w:r>
              <w:rPr>
                <w:rFonts w:hint="eastAsia"/>
              </w:rPr>
              <w:t>：海洋科技创新基础设施建设</w:t>
            </w:r>
          </w:p>
          <w:p>
            <w:pPr>
              <w:pStyle w:val="82"/>
              <w:keepNext w:val="0"/>
              <w:keepLines w:val="0"/>
              <w:suppressLineNumbers w:val="0"/>
              <w:spacing w:before="0" w:beforeAutospacing="0" w:afterAutospacing="0"/>
              <w:ind w:left="0" w:right="0"/>
              <w:rPr>
                <w:rFonts w:hint="eastAsia"/>
              </w:rPr>
            </w:pPr>
            <w:r>
              <w:rPr>
                <w:rFonts w:hint="eastAsia"/>
                <w:b/>
                <w:bCs/>
              </w:rPr>
              <w:t>海洋综合试验场：</w:t>
            </w:r>
            <w:r>
              <w:rPr>
                <w:rFonts w:hint="eastAsia"/>
              </w:rPr>
              <w:t>建设功能完备、设施齐全的海洋综合试验场，推动深圳海洋工程装备配套试验，承担国家深海（深圳）产业成果转化/育成，集海上综合性能测试评估、施工建设和运行维护能力评估、海洋仪器设备合格检验与认证等功能于一体，解决创新装备由样机到产品“最后一公里”存在的测试能力严重不足的问题，加快海洋技术装备研制进度和产品化进程，提升我国海工装备重要配套设备的国产化程度和科技水平。完善市场机制，面向全国，引进多方主体投融资，实现试验场基础设施的共建共享共用。</w:t>
            </w:r>
          </w:p>
          <w:p>
            <w:pPr>
              <w:pStyle w:val="82"/>
              <w:keepNext w:val="0"/>
              <w:keepLines w:val="0"/>
              <w:suppressLineNumbers w:val="0"/>
              <w:spacing w:before="0" w:beforeAutospacing="0" w:afterAutospacing="0"/>
              <w:ind w:left="0" w:right="0"/>
              <w:rPr>
                <w:rFonts w:hint="eastAsia"/>
              </w:rPr>
            </w:pPr>
            <w:r>
              <w:rPr>
                <w:rFonts w:hint="eastAsia"/>
                <w:b/>
                <w:bCs/>
              </w:rPr>
              <w:t>全球海洋大数据中心：</w:t>
            </w:r>
            <w:r>
              <w:rPr>
                <w:rFonts w:hint="eastAsia"/>
              </w:rPr>
              <w:t>联合收集国内外海洋数据与科技发展信息，追踪国外先进技术及产业发展现状，推动信息数据共享与产品开发、海洋信息化领域的标准制定、海洋信息技术在海洋监测预报领域应用，提供全球涉海创新信息资源供给，汇聚重大共性技术难题和解决方案。打造集数据获取、存储、加工、产品推送等于一体的海洋大数据共享服务平台，大力发展海洋大数据产业。</w:t>
            </w:r>
          </w:p>
        </w:tc>
      </w:tr>
    </w:tbl>
    <w:p/>
    <w:p>
      <w:pPr>
        <w:pStyle w:val="83"/>
        <w:spacing w:before="190" w:after="190"/>
        <w:sectPr>
          <w:pgSz w:w="11906" w:h="16838"/>
          <w:pgMar w:top="1440" w:right="1701" w:bottom="1440" w:left="1701" w:header="851" w:footer="992" w:gutter="0"/>
          <w:cols w:space="425" w:num="1"/>
          <w:docGrid w:type="lines" w:linePitch="381" w:charSpace="0"/>
        </w:sectPr>
      </w:pPr>
    </w:p>
    <w:p>
      <w:pPr>
        <w:pStyle w:val="2"/>
        <w:spacing w:before="190"/>
      </w:pPr>
      <w:bookmarkStart w:id="126" w:name="_Toc87887226"/>
      <w:bookmarkEnd w:id="126"/>
      <w:bookmarkStart w:id="127" w:name="_Toc87530648"/>
      <w:bookmarkEnd w:id="127"/>
      <w:bookmarkStart w:id="128" w:name="_Toc91164635"/>
      <w:bookmarkEnd w:id="128"/>
      <w:bookmarkStart w:id="129" w:name="_Toc88161789"/>
      <w:bookmarkEnd w:id="129"/>
      <w:bookmarkStart w:id="130" w:name="_Toc90990199"/>
      <w:bookmarkEnd w:id="130"/>
      <w:bookmarkStart w:id="131" w:name="_Toc90912651"/>
      <w:bookmarkEnd w:id="131"/>
      <w:bookmarkStart w:id="132" w:name="_Toc87530802"/>
      <w:bookmarkEnd w:id="132"/>
      <w:bookmarkStart w:id="133" w:name="_Toc91152035"/>
      <w:bookmarkEnd w:id="133"/>
      <w:bookmarkStart w:id="134" w:name="_Toc87530646"/>
      <w:bookmarkEnd w:id="134"/>
      <w:bookmarkStart w:id="135" w:name="_Toc87887515"/>
      <w:bookmarkEnd w:id="135"/>
      <w:bookmarkStart w:id="136" w:name="_Toc88064692"/>
      <w:bookmarkEnd w:id="136"/>
      <w:bookmarkStart w:id="137" w:name="_Toc88161786"/>
      <w:bookmarkEnd w:id="137"/>
      <w:bookmarkStart w:id="138" w:name="_Toc87531558"/>
      <w:bookmarkEnd w:id="138"/>
      <w:bookmarkStart w:id="139" w:name="_Toc87531230"/>
      <w:bookmarkEnd w:id="139"/>
      <w:bookmarkStart w:id="140" w:name="_Toc87531087"/>
      <w:bookmarkEnd w:id="140"/>
      <w:bookmarkStart w:id="141" w:name="_Toc87531232"/>
      <w:bookmarkEnd w:id="141"/>
      <w:bookmarkStart w:id="142" w:name="_Toc90551198"/>
      <w:bookmarkEnd w:id="142"/>
      <w:bookmarkStart w:id="143" w:name="_Toc88065164"/>
      <w:bookmarkEnd w:id="143"/>
      <w:bookmarkStart w:id="144" w:name="_Toc88064695"/>
      <w:bookmarkEnd w:id="144"/>
      <w:bookmarkStart w:id="145" w:name="_Toc90990642"/>
      <w:bookmarkEnd w:id="145"/>
      <w:bookmarkStart w:id="146" w:name="_Toc90991482"/>
      <w:bookmarkEnd w:id="146"/>
      <w:bookmarkStart w:id="147" w:name="_Toc87530946"/>
      <w:bookmarkEnd w:id="147"/>
      <w:bookmarkStart w:id="148" w:name="_Toc87531089"/>
      <w:bookmarkEnd w:id="148"/>
      <w:bookmarkStart w:id="149" w:name="_Toc87531560"/>
      <w:bookmarkEnd w:id="149"/>
      <w:bookmarkStart w:id="150" w:name="_Toc87530944"/>
      <w:bookmarkEnd w:id="150"/>
      <w:bookmarkStart w:id="151" w:name="_Toc91151969"/>
      <w:bookmarkEnd w:id="151"/>
      <w:bookmarkStart w:id="152" w:name="_Toc87517173"/>
      <w:bookmarkEnd w:id="152"/>
      <w:bookmarkStart w:id="153" w:name="_Toc87530800"/>
      <w:bookmarkEnd w:id="153"/>
      <w:bookmarkStart w:id="154" w:name="_Toc88065167"/>
      <w:bookmarkEnd w:id="154"/>
      <w:bookmarkStart w:id="155" w:name="_Toc87887229"/>
      <w:bookmarkEnd w:id="155"/>
      <w:bookmarkStart w:id="156" w:name="_Toc90547651"/>
      <w:bookmarkEnd w:id="156"/>
      <w:bookmarkStart w:id="157" w:name="_Toc87887518"/>
      <w:bookmarkEnd w:id="157"/>
      <w:bookmarkStart w:id="158" w:name="_Toc88504480"/>
      <w:bookmarkStart w:id="159" w:name="_Toc88503908"/>
      <w:bookmarkStart w:id="160" w:name="_Toc575930570"/>
      <w:r>
        <w:rPr>
          <w:rFonts w:hint="eastAsia"/>
        </w:rPr>
        <w:t>培育海洋新兴产业新动能</w:t>
      </w:r>
      <w:bookmarkEnd w:id="158"/>
      <w:bookmarkEnd w:id="159"/>
      <w:bookmarkEnd w:id="160"/>
    </w:p>
    <w:p>
      <w:pPr>
        <w:pStyle w:val="3"/>
        <w:numPr>
          <w:ilvl w:val="0"/>
          <w:numId w:val="13"/>
        </w:numPr>
        <w:spacing w:before="190" w:after="76"/>
      </w:pPr>
      <w:bookmarkStart w:id="161" w:name="_Toc90991484"/>
      <w:bookmarkStart w:id="162" w:name="_Toc693783295"/>
      <w:bookmarkStart w:id="163" w:name="_Toc88504481"/>
      <w:bookmarkStart w:id="164" w:name="_Toc88503909"/>
      <w:r>
        <w:rPr>
          <w:rFonts w:hint="eastAsia"/>
        </w:rPr>
        <w:t>大力</w:t>
      </w:r>
      <w:r>
        <w:rPr>
          <w:rFonts w:hint="eastAsia"/>
          <w:lang w:eastAsia="zh-CN"/>
        </w:rPr>
        <w:t>发展海洋</w:t>
      </w:r>
      <w:r>
        <w:rPr>
          <w:rFonts w:hint="eastAsia"/>
        </w:rPr>
        <w:t>电子信息产业</w:t>
      </w:r>
      <w:bookmarkEnd w:id="161"/>
      <w:bookmarkEnd w:id="162"/>
    </w:p>
    <w:p>
      <w:pPr>
        <w:pStyle w:val="50"/>
      </w:pPr>
      <w:r>
        <w:rPr>
          <w:rFonts w:hint="eastAsia"/>
          <w:b/>
          <w:bCs/>
        </w:rPr>
        <w:t>拓展电子信息多领域应用场景。</w:t>
      </w:r>
      <w:r>
        <w:rPr>
          <w:rFonts w:hint="eastAsia"/>
        </w:rPr>
        <w:t>支持</w:t>
      </w:r>
      <w:r>
        <w:rPr>
          <w:rFonts w:hint="eastAsia"/>
          <w:szCs w:val="32"/>
        </w:rPr>
        <w:t>电子</w:t>
      </w:r>
      <w:r>
        <w:rPr>
          <w:szCs w:val="32"/>
        </w:rPr>
        <w:t>信息</w:t>
      </w:r>
      <w:r>
        <w:rPr>
          <w:rFonts w:hint="eastAsia"/>
          <w:szCs w:val="32"/>
        </w:rPr>
        <w:t>企业向海洋领域拓展，</w:t>
      </w:r>
      <w:r>
        <w:rPr>
          <w:szCs w:val="32"/>
        </w:rPr>
        <w:t>推动海洋信息技术与</w:t>
      </w:r>
      <w:r>
        <w:rPr>
          <w:rFonts w:hint="eastAsia"/>
          <w:szCs w:val="32"/>
        </w:rPr>
        <w:t>海工装备等产业</w:t>
      </w:r>
      <w:r>
        <w:rPr>
          <w:szCs w:val="32"/>
        </w:rPr>
        <w:t>深度融合</w:t>
      </w:r>
      <w:r>
        <w:rPr>
          <w:rFonts w:hint="eastAsia"/>
          <w:szCs w:val="32"/>
        </w:rPr>
        <w:t>。</w:t>
      </w:r>
      <w:r>
        <w:rPr>
          <w:rFonts w:hint="eastAsia"/>
        </w:rPr>
        <w:t>以应用场景为牵引，突破相关核心技术，</w:t>
      </w:r>
      <w:r>
        <w:rPr>
          <w:szCs w:val="32"/>
        </w:rPr>
        <w:t>重点发展</w:t>
      </w:r>
      <w:r>
        <w:rPr>
          <w:rFonts w:hint="eastAsia"/>
          <w:szCs w:val="32"/>
        </w:rPr>
        <w:t>水下通讯、海洋卫星通信、导航、遥感</w:t>
      </w:r>
      <w:r>
        <w:rPr>
          <w:szCs w:val="32"/>
        </w:rPr>
        <w:t>等</w:t>
      </w:r>
      <w:r>
        <w:rPr>
          <w:rFonts w:hint="eastAsia"/>
          <w:szCs w:val="32"/>
        </w:rPr>
        <w:t>领域，延伸应用</w:t>
      </w:r>
      <w:r>
        <w:rPr>
          <w:rFonts w:hint="eastAsia"/>
        </w:rPr>
        <w:t>场景，拓展产品应用市场</w:t>
      </w:r>
      <w:r>
        <w:rPr>
          <w:szCs w:val="32"/>
        </w:rPr>
        <w:t>。</w:t>
      </w:r>
      <w:r>
        <w:rPr>
          <w:rFonts w:hint="eastAsia"/>
        </w:rPr>
        <w:t>推动海洋信息采集立体化、传输一体化、处理与呈现智能化、管控全过程可视化。</w:t>
      </w:r>
      <w:r>
        <w:rPr>
          <w:rFonts w:hint="eastAsia" w:ascii="仿宋_GB2312"/>
        </w:rPr>
        <w:t>打造新型海洋电子信息产业示范园区和孵化基地，</w:t>
      </w:r>
      <w:r>
        <w:rPr>
          <w:rFonts w:hint="eastAsia"/>
        </w:rPr>
        <w:t>培育海洋电子信息产业与创新生态链</w:t>
      </w:r>
      <w:r>
        <w:rPr>
          <w:rFonts w:hint="eastAsia" w:ascii="仿宋_GB2312"/>
        </w:rPr>
        <w:t>。</w:t>
      </w:r>
      <w:r>
        <w:rPr>
          <w:rFonts w:hint="eastAsia"/>
        </w:rPr>
        <w:t>推进建设海洋电子信息产业研究院</w:t>
      </w:r>
      <w:r>
        <w:rPr>
          <w:rFonts w:hint="eastAsia" w:ascii="仿宋_GB2312"/>
        </w:rPr>
        <w:t>。</w:t>
      </w:r>
    </w:p>
    <w:p>
      <w:pPr>
        <w:pStyle w:val="50"/>
        <w:rPr>
          <w:szCs w:val="32"/>
        </w:rPr>
      </w:pPr>
      <w:r>
        <w:rPr>
          <w:rFonts w:hint="eastAsia"/>
          <w:b/>
          <w:bCs/>
        </w:rPr>
        <w:t>突破海空、水下通讯、海洋大数据等核心技术</w:t>
      </w:r>
      <w:r>
        <w:rPr>
          <w:rFonts w:hint="eastAsia"/>
        </w:rPr>
        <w:t>。突破遥感探测、导航、海洋卫星通信核心技术，布局网络服务平台。加快高通量宽带卫星及通讯导航、海洋新型遥感探测等海上态势感知手段和关键技术攻关，服务海洋管控与治理。积极推进水下无线通信、深海海底观测、水下传感网络、海底电磁及雷达探测、水下目标探测定位与自动识别等关键领域技术研发，积极参与相关行业标准的研究与制定。</w:t>
      </w:r>
    </w:p>
    <w:p>
      <w:pPr>
        <w:pStyle w:val="50"/>
        <w:rPr>
          <w:rFonts w:hint="eastAsia"/>
        </w:rPr>
      </w:pPr>
      <w:r>
        <w:rPr>
          <w:rFonts w:hint="eastAsia"/>
          <w:b/>
          <w:bCs/>
        </w:rPr>
        <w:t>聚焦核心智能设备国产化。</w:t>
      </w:r>
      <w:r>
        <w:t xml:space="preserve"> </w:t>
      </w:r>
      <w:r>
        <w:rPr>
          <w:rFonts w:hint="eastAsia"/>
        </w:rPr>
        <w:t>聚焦深海及水下通讯传感器、无人机、智能船、水声通信设备、海洋专用芯片、海洋遥感与导航终端等关键智能设备的研发攻关，推动海洋电子设备国产化进程。支持船舶及海洋工程装备智能终端、船载通信导航、监测探测设备的研制、开发与示范应用。加快全球海洋北斗精准时空 服务系统、SAR卫星星座、海岸带监视星座、南海油气卫星遥感监视系 统等平台建设。推动海洋工程装备和船舶智能化发展，服务海洋资源开发、交通运输、公共服务等领域。</w:t>
      </w:r>
      <w:bookmarkEnd w:id="163"/>
      <w:bookmarkEnd w:id="164"/>
    </w:p>
    <w:p>
      <w:pPr>
        <w:pStyle w:val="50"/>
        <w:rPr>
          <w:rFonts w:hint="eastAsia"/>
        </w:rPr>
      </w:pPr>
    </w:p>
    <w:tbl>
      <w:tblPr>
        <w:tblStyle w:val="3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83"/>
              <w:keepNext w:val="0"/>
              <w:keepLines w:val="0"/>
              <w:suppressLineNumbers w:val="0"/>
              <w:spacing w:before="190" w:beforeAutospacing="0" w:after="190" w:afterAutospacing="0"/>
              <w:ind w:left="0" w:right="0"/>
              <w:rPr>
                <w:rFonts w:hint="eastAsia"/>
              </w:rPr>
            </w:pPr>
            <w:r>
              <w:rPr>
                <w:rFonts w:hint="eastAsia"/>
              </w:rPr>
              <w:t>专栏</w:t>
            </w:r>
            <w:r>
              <w:rPr>
                <w:rFonts w:hint="default"/>
                <w:lang w:val="en"/>
              </w:rPr>
              <w:t>6</w:t>
            </w:r>
            <w:r>
              <w:rPr>
                <w:rFonts w:hint="eastAsia"/>
              </w:rPr>
              <w:t>：电子信息产业发展</w:t>
            </w:r>
          </w:p>
          <w:p>
            <w:pPr>
              <w:pStyle w:val="82"/>
              <w:keepNext w:val="0"/>
              <w:keepLines w:val="0"/>
              <w:suppressLineNumbers w:val="0"/>
              <w:spacing w:before="0" w:beforeAutospacing="0" w:afterAutospacing="0"/>
              <w:ind w:left="0" w:right="0"/>
              <w:rPr>
                <w:rFonts w:hint="eastAsia"/>
                <w:b/>
                <w:bCs/>
              </w:rPr>
            </w:pPr>
            <w:r>
              <w:rPr>
                <w:rFonts w:hint="eastAsia"/>
                <w:b/>
                <w:bCs/>
              </w:rPr>
              <w:t xml:space="preserve">    深圳海洋电子信息产业研究院：</w:t>
            </w:r>
            <w:r>
              <w:rPr>
                <w:rFonts w:hint="eastAsia"/>
              </w:rPr>
              <w:t>打造“海洋电子信息+服务、海洋电子信息+装备、海洋电子信息+文化”等特色产业链，开展水下无线通信、水下智能机器人、水下传感探测、海洋大数据、海洋专用芯片等前沿技术研究，建设多领域联合实验室，探索设立海洋电子信息产业化中心。</w:t>
            </w:r>
          </w:p>
          <w:p>
            <w:pPr>
              <w:pStyle w:val="82"/>
              <w:keepNext w:val="0"/>
              <w:keepLines w:val="0"/>
              <w:suppressLineNumbers w:val="0"/>
              <w:spacing w:before="0" w:beforeAutospacing="0" w:afterAutospacing="0"/>
              <w:ind w:left="0" w:right="0"/>
              <w:rPr>
                <w:rFonts w:hint="eastAsia"/>
              </w:rPr>
            </w:pPr>
            <w:r>
              <w:rPr>
                <w:rFonts w:hint="eastAsia"/>
                <w:b/>
                <w:bCs/>
              </w:rPr>
              <w:t xml:space="preserve">    高效三位全景海洋快速遥感监测云平台：</w:t>
            </w:r>
            <w:r>
              <w:rPr>
                <w:rFonts w:hint="eastAsia"/>
              </w:rPr>
              <w:t>以三维空间信息平台为核心节点连接无人机、无人船、360全景设备，并采用高性能计算设备实现无人遥感探测成果的高效、快速处理，并利用云服务技术实现高分辨率、高频次的海量遥感探测数据的快速发布，从而带动新型遥感探测技术在海洋领域的推广和应用规模。</w:t>
            </w:r>
          </w:p>
          <w:p>
            <w:pPr>
              <w:pStyle w:val="82"/>
              <w:keepNext w:val="0"/>
              <w:keepLines w:val="0"/>
              <w:suppressLineNumbers w:val="0"/>
              <w:spacing w:before="0" w:beforeAutospacing="0" w:afterAutospacing="0"/>
              <w:ind w:left="0" w:right="0"/>
              <w:rPr>
                <w:rFonts w:hint="eastAsia"/>
              </w:rPr>
            </w:pPr>
            <w:r>
              <w:rPr>
                <w:rFonts w:hint="eastAsia"/>
                <w:b/>
                <w:bCs/>
              </w:rPr>
              <w:t>海洋岩土基因库与智能决策平台：</w:t>
            </w:r>
            <w:r>
              <w:rPr>
                <w:rFonts w:hint="eastAsia"/>
              </w:rPr>
              <w:t>开发岩土样本基因数字检测设备，新型海洋原位精准地勘装备、海洋岩土数字化的微流动和地应力精准定量计算云平台、海洋岩土数字基因库、智能决策云平台，为海洋油气、海洋矿产、海上风电以及海上碳埋存等商业化工程提供支持。</w:t>
            </w:r>
          </w:p>
        </w:tc>
      </w:tr>
    </w:tbl>
    <w:p>
      <w:pPr>
        <w:pStyle w:val="3"/>
        <w:spacing w:before="190" w:after="76"/>
      </w:pPr>
      <w:bookmarkStart w:id="165" w:name="_Toc88504482"/>
      <w:bookmarkStart w:id="166" w:name="_Toc88503910"/>
      <w:bookmarkStart w:id="167" w:name="_Toc1122071360"/>
      <w:r>
        <w:rPr>
          <w:rFonts w:hint="eastAsia"/>
        </w:rPr>
        <w:t>推进海洋工程</w:t>
      </w:r>
      <w:r>
        <w:rPr>
          <w:rFonts w:hint="eastAsia"/>
          <w:lang w:eastAsia="zh-CN"/>
        </w:rPr>
        <w:t>和</w:t>
      </w:r>
      <w:r>
        <w:rPr>
          <w:rFonts w:hint="eastAsia"/>
        </w:rPr>
        <w:t>装备业智能化</w:t>
      </w:r>
      <w:bookmarkEnd w:id="165"/>
      <w:bookmarkEnd w:id="166"/>
      <w:bookmarkEnd w:id="167"/>
    </w:p>
    <w:p>
      <w:pPr>
        <w:pStyle w:val="50"/>
        <w:rPr>
          <w:b/>
          <w:bCs/>
          <w:highlight w:val="none"/>
        </w:rPr>
      </w:pPr>
      <w:r>
        <w:rPr>
          <w:rFonts w:hint="eastAsia"/>
          <w:b/>
          <w:bCs/>
        </w:rPr>
        <w:t>推进海工装备高端化、智能化、特色化发展。</w:t>
      </w:r>
      <w:r>
        <w:t>加大涉海龙头企业对接力度，整合高端海工创新资源落户深圳，提升前端设计、核心部件、关键工艺研发等产业链战略环节研发水平。</w:t>
      </w:r>
      <w:r>
        <w:rPr>
          <w:rFonts w:hint="eastAsia"/>
        </w:rPr>
        <w:t>推动研发设计、高端制造、检验测试、科技服务等产业链重点环节错位集聚发展。积极推动深海技术装备的国产化替代；促进深海技术装备标准与评价体系研究与建设。</w:t>
      </w:r>
      <w:r>
        <w:t>推动海工装备与大数据、人工智能、5G等新一</w:t>
      </w:r>
      <w:r>
        <w:rPr>
          <w:rFonts w:hint="eastAsia"/>
        </w:rPr>
        <w:t>代信息技术深度融合，挖掘智能勘探、智能开采、智能修造、智能航运等重点场景，发展一批特色智能海洋工程装备。</w:t>
      </w:r>
      <w:r>
        <w:rPr>
          <w:rFonts w:hint="eastAsia" w:ascii="仿宋" w:hAnsi="仿宋" w:eastAsia="仿宋" w:cs="仿宋"/>
          <w:b w:val="0"/>
          <w:bCs/>
          <w:kern w:val="2"/>
          <w:sz w:val="32"/>
          <w:szCs w:val="32"/>
          <w:highlight w:val="none"/>
          <w:lang w:val="en-US" w:eastAsia="zh-CN" w:bidi="ar-SA"/>
        </w:rPr>
        <w:t>吸纳全球科技创新资源，集聚海洋装备创新中小企业，建设“粤港澳大湾区+海南”</w:t>
      </w:r>
      <w:r>
        <w:rPr>
          <w:rFonts w:hint="eastAsia" w:ascii="仿宋" w:hAnsi="仿宋" w:eastAsia="仿宋" w:cs="仿宋"/>
          <w:bCs w:val="0"/>
          <w:kern w:val="2"/>
          <w:sz w:val="32"/>
          <w:szCs w:val="32"/>
          <w:highlight w:val="none"/>
          <w:lang w:val="en-US" w:eastAsia="zh-CN" w:bidi="ar-SA"/>
        </w:rPr>
        <w:t>船舶与海洋工程装备创新示范产业集群。</w:t>
      </w:r>
    </w:p>
    <w:p>
      <w:pPr>
        <w:pStyle w:val="50"/>
      </w:pPr>
      <w:r>
        <w:rPr>
          <w:rFonts w:hint="eastAsia"/>
          <w:b/>
          <w:bCs/>
        </w:rPr>
        <w:t>提升海工配套运营服务与市场拓展能力。</w:t>
      </w:r>
      <w:r>
        <w:rPr>
          <w:rFonts w:hint="eastAsia"/>
        </w:rPr>
        <w:t>以自主研发、核心配套为重点，重点突破电气系统、水下生产及控制系统、动力系统等海洋工程关键系统和辅助设备的研发创新，推动关键配套设备和系统智能化、绿色化发展，联合下游企业开展示范应用，提升海工装备关键配套系统市场拓展能力。加快建设海洋工程装备检测认证平台，构建高端海工装备试验、验证、评估及认证服务体系。推进深远海多功能船舶研发设计及技术攻关。</w:t>
      </w:r>
    </w:p>
    <w:tbl>
      <w:tblPr>
        <w:tblStyle w:val="3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83"/>
              <w:keepNext w:val="0"/>
              <w:keepLines w:val="0"/>
              <w:suppressLineNumbers w:val="0"/>
              <w:spacing w:before="190" w:beforeAutospacing="0" w:after="190" w:afterAutospacing="0"/>
              <w:ind w:left="0" w:right="0"/>
              <w:rPr>
                <w:rFonts w:hint="eastAsia"/>
              </w:rPr>
            </w:pPr>
            <w:r>
              <w:rPr>
                <w:rFonts w:hint="eastAsia"/>
              </w:rPr>
              <w:t>专栏</w:t>
            </w:r>
            <w:r>
              <w:rPr>
                <w:rFonts w:hint="default"/>
                <w:lang w:val="en"/>
              </w:rPr>
              <w:t>7</w:t>
            </w:r>
            <w:r>
              <w:rPr>
                <w:rFonts w:hint="eastAsia"/>
              </w:rPr>
              <w:t>：海工装备制造业发展</w:t>
            </w:r>
          </w:p>
          <w:p>
            <w:pPr>
              <w:pStyle w:val="82"/>
              <w:keepNext w:val="0"/>
              <w:keepLines w:val="0"/>
              <w:suppressLineNumbers w:val="0"/>
              <w:spacing w:before="0" w:beforeAutospacing="0" w:afterAutospacing="0"/>
              <w:ind w:left="0" w:right="0"/>
              <w:rPr>
                <w:rFonts w:hint="eastAsia"/>
              </w:rPr>
            </w:pPr>
            <w:r>
              <w:rPr>
                <w:rFonts w:hint="eastAsia"/>
                <w:b/>
                <w:bCs/>
              </w:rPr>
              <w:t>中船深圳海洋科技研究院：</w:t>
            </w:r>
            <w:r>
              <w:rPr>
                <w:rFonts w:hint="eastAsia"/>
              </w:rPr>
              <w:t>围绕海洋资源开发、船舶与海洋工程军转民、深海装备、智慧海洋、海洋新能源等海洋重点领域。</w:t>
            </w:r>
          </w:p>
          <w:p>
            <w:pPr>
              <w:pStyle w:val="82"/>
              <w:keepNext w:val="0"/>
              <w:keepLines w:val="0"/>
              <w:suppressLineNumbers w:val="0"/>
              <w:spacing w:before="0" w:beforeAutospacing="0" w:afterAutospacing="0"/>
              <w:ind w:left="0" w:right="0"/>
              <w:rPr>
                <w:rFonts w:hint="eastAsia"/>
              </w:rPr>
            </w:pPr>
            <w:r>
              <w:rPr>
                <w:rFonts w:hint="eastAsia"/>
                <w:b/>
                <w:bCs/>
              </w:rPr>
              <w:t>招商局海洋装备研究院：</w:t>
            </w:r>
            <w:r>
              <w:rPr>
                <w:rFonts w:hint="eastAsia"/>
              </w:rPr>
              <w:t>整合高端海工创新资源并落户深圳，支持建设招商局海洋装备研究院，开展深海矿产资源勘探与开发装备、海洋可再生能源装备、绿色清洁能源的应用及生产运输装备等高端海洋工程装备关键技术攻关及成果示范应用。</w:t>
            </w:r>
          </w:p>
          <w:p>
            <w:pPr>
              <w:pStyle w:val="82"/>
              <w:keepNext w:val="0"/>
              <w:keepLines w:val="0"/>
              <w:suppressLineNumbers w:val="0"/>
              <w:spacing w:before="0" w:beforeAutospacing="0" w:afterAutospacing="0"/>
              <w:ind w:left="0" w:right="0"/>
              <w:rPr>
                <w:rFonts w:hint="eastAsia"/>
              </w:rPr>
            </w:pPr>
            <w:r>
              <w:rPr>
                <w:rFonts w:hint="eastAsia"/>
                <w:b/>
                <w:bCs/>
              </w:rPr>
              <w:t>广东省智能海洋工程制造业创新中心：</w:t>
            </w:r>
            <w:r>
              <w:rPr>
                <w:rFonts w:hint="eastAsia"/>
              </w:rPr>
              <w:t>以“两化融合、南海开发”为重点，支持建设广东省智能海洋工程制造业创新中心，打造高端海洋工程装备领域共性关键技术研发、转化和商业化应用的新载体。</w:t>
            </w:r>
          </w:p>
        </w:tc>
      </w:tr>
    </w:tbl>
    <w:p>
      <w:pPr>
        <w:pStyle w:val="3"/>
        <w:spacing w:before="190" w:after="76"/>
      </w:pPr>
      <w:bookmarkStart w:id="168" w:name="_Toc88504483"/>
      <w:bookmarkStart w:id="169" w:name="_Toc586742011"/>
      <w:bookmarkStart w:id="170" w:name="_Toc88503911"/>
      <w:r>
        <w:rPr>
          <w:rFonts w:hint="eastAsia"/>
          <w:lang w:eastAsia="zh-CN"/>
        </w:rPr>
        <w:t>提升</w:t>
      </w:r>
      <w:r>
        <w:rPr>
          <w:rFonts w:hint="eastAsia"/>
        </w:rPr>
        <w:t>海洋生物医药产业</w:t>
      </w:r>
      <w:r>
        <w:rPr>
          <w:rFonts w:hint="eastAsia"/>
          <w:lang w:eastAsia="zh-CN"/>
        </w:rPr>
        <w:t>竞争力</w:t>
      </w:r>
      <w:bookmarkEnd w:id="168"/>
      <w:bookmarkEnd w:id="169"/>
      <w:bookmarkEnd w:id="170"/>
    </w:p>
    <w:p>
      <w:pPr>
        <w:pStyle w:val="50"/>
      </w:pPr>
      <w:r>
        <w:rPr>
          <w:rFonts w:hint="eastAsia"/>
          <w:b/>
          <w:bCs/>
        </w:rPr>
        <w:t>推动海洋生物产业要素集聚。</w:t>
      </w:r>
      <w:r>
        <w:rPr>
          <w:rFonts w:hint="eastAsia"/>
        </w:rPr>
        <w:t>围绕海洋生物资源利用和医药研发领域建设特色生物资源库、菌种库、天然化合物库、蛋白库等，推进海洋生物医药关键技术研究与产业化。加快工程技术中心、创新孵化器、孵化推广基地、大鹏海洋生物产业园三期建设。建设海洋生物资源利用技术创新中心和海洋微生物保藏中心。建设海洋药物发现、分析测试与评价、研发信息、中试孵化服务、临床研究等海洋药物研发公共服务平台。</w:t>
      </w:r>
    </w:p>
    <w:p>
      <w:pPr>
        <w:pStyle w:val="50"/>
      </w:pPr>
      <w:r>
        <w:rPr>
          <w:rFonts w:hint="eastAsia"/>
          <w:b/>
          <w:bCs/>
        </w:rPr>
        <w:t>实施海洋生物医药产业“倍增计划”。</w:t>
      </w:r>
      <w:r>
        <w:rPr>
          <w:rFonts w:hint="eastAsia"/>
        </w:rPr>
        <w:t>深化海洋生物活性物质提取、结构和功能研究，重点解决产品高效制备、合成和质量控制等生产关键技术，加快临床试验进程，开发新型药品和生物制剂。提升种质资源保护和利用、海洋生物遗传育种与健康养殖、海洋生物资源高值化利用与食品安全、深海生物资源开发等领域的研发和成果转化能力，赋能种源经济、创新型功能食品、保健食品、化妆品等产业。加大药字号、食字号、健字号申请支持力度，提升海洋生物医药和大健康产业竞争力。</w:t>
      </w:r>
    </w:p>
    <w:tbl>
      <w:tblPr>
        <w:tblStyle w:val="3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83"/>
              <w:keepNext w:val="0"/>
              <w:keepLines w:val="0"/>
              <w:suppressLineNumbers w:val="0"/>
              <w:spacing w:before="190" w:beforeAutospacing="0" w:after="190" w:afterAutospacing="0"/>
              <w:ind w:left="0" w:right="0"/>
              <w:rPr>
                <w:rFonts w:hint="eastAsia"/>
              </w:rPr>
            </w:pPr>
            <w:r>
              <w:rPr>
                <w:rFonts w:hint="eastAsia"/>
              </w:rPr>
              <w:t>专栏</w:t>
            </w:r>
            <w:r>
              <w:rPr>
                <w:rFonts w:hint="default"/>
                <w:lang w:val="en"/>
              </w:rPr>
              <w:t>8</w:t>
            </w:r>
            <w:r>
              <w:rPr>
                <w:rFonts w:hint="eastAsia"/>
              </w:rPr>
              <w:t>：生物医药产业发展</w:t>
            </w:r>
          </w:p>
          <w:p>
            <w:pPr>
              <w:pStyle w:val="82"/>
              <w:keepNext w:val="0"/>
              <w:keepLines w:val="0"/>
              <w:suppressLineNumbers w:val="0"/>
              <w:spacing w:before="0" w:beforeAutospacing="0" w:afterAutospacing="0"/>
              <w:ind w:left="0" w:right="0"/>
              <w:rPr>
                <w:rFonts w:hint="eastAsia"/>
              </w:rPr>
            </w:pPr>
            <w:r>
              <w:rPr>
                <w:rFonts w:hint="eastAsia"/>
                <w:b/>
                <w:bCs/>
              </w:rPr>
              <w:t>南海微生物菌种库：</w:t>
            </w:r>
            <w:r>
              <w:rPr>
                <w:rFonts w:hint="eastAsia"/>
              </w:rPr>
              <w:t>挖掘南海微生物资源，围绕深海低温酶、高温酶、防生物附着、生物多糖、生物修复、生物农药、海洋生物菌株、新型生物活性物质等方面进行保护与利用，拓展南海微生物资源潜在科研和商业价值。</w:t>
            </w:r>
          </w:p>
          <w:p>
            <w:pPr>
              <w:pStyle w:val="82"/>
              <w:keepNext w:val="0"/>
              <w:keepLines w:val="0"/>
              <w:suppressLineNumbers w:val="0"/>
              <w:spacing w:before="0" w:beforeAutospacing="0" w:afterAutospacing="0"/>
              <w:ind w:left="0" w:right="0"/>
              <w:rPr>
                <w:rFonts w:hint="eastAsia"/>
              </w:rPr>
            </w:pPr>
            <w:r>
              <w:rPr>
                <w:rFonts w:hint="eastAsia"/>
                <w:b/>
                <w:bCs/>
              </w:rPr>
              <w:t>特色生物资源库：</w:t>
            </w:r>
            <w:r>
              <w:rPr>
                <w:rFonts w:hint="eastAsia"/>
              </w:rPr>
              <w:t>依托国家基因库，建设国际一流的海洋生物资源库，打造海洋生物科研和产业技术服务平台，围绕生物多样性保护与利用、海水养殖核心种质基因组学、功能基因的挖掘与应用等重点领域开展研究，搭建药用功能基因研究与开发平台，提升海洋药物开发速度与效率，开发治疗重大疾病海洋创新药物，支撑新海洋生物资源的产业化发展。</w:t>
            </w:r>
          </w:p>
          <w:p>
            <w:pPr>
              <w:pStyle w:val="82"/>
              <w:keepNext w:val="0"/>
              <w:keepLines w:val="0"/>
              <w:suppressLineNumbers w:val="0"/>
              <w:spacing w:before="0" w:beforeAutospacing="0" w:afterAutospacing="0"/>
              <w:ind w:left="0" w:right="0"/>
              <w:rPr>
                <w:rFonts w:hint="eastAsia"/>
              </w:rPr>
            </w:pPr>
            <w:r>
              <w:rPr>
                <w:rFonts w:hint="eastAsia"/>
                <w:b/>
                <w:bCs/>
              </w:rPr>
              <w:t>海洋生物资源利用技术创新中心：</w:t>
            </w:r>
            <w:r>
              <w:rPr>
                <w:rFonts w:hint="eastAsia"/>
              </w:rPr>
              <w:t>依托深圳及国内外优势科研单位和企业，研究组建海洋生物资源利用技术创新中心，布局建设活性物质提取、生物化学实验室、微生物分析室等多个功能实验室，搭建海洋生物资源利用仪器与技术开放共享平台。</w:t>
            </w:r>
          </w:p>
          <w:p>
            <w:pPr>
              <w:pStyle w:val="82"/>
              <w:keepNext w:val="0"/>
              <w:keepLines w:val="0"/>
              <w:suppressLineNumbers w:val="0"/>
              <w:spacing w:before="0" w:beforeAutospacing="0" w:afterAutospacing="0"/>
              <w:ind w:left="0" w:right="0"/>
              <w:rPr>
                <w:rFonts w:hint="eastAsia"/>
              </w:rPr>
            </w:pPr>
            <w:r>
              <w:rPr>
                <w:rFonts w:hint="eastAsia"/>
                <w:b/>
                <w:bCs/>
              </w:rPr>
              <w:t>海洋创新药物筛选与评价平台</w:t>
            </w:r>
            <w:r>
              <w:rPr>
                <w:rFonts w:hint="eastAsia"/>
              </w:rPr>
              <w:t>：创新公共服务平台共建模式，发展智能超算、生物实测、药物靶点、动物疾病模型等交叉融合的药物筛选及评价技术，形成涵盖疾病靶点发现、筛选模型建立、药理/药效/成药性研究、药物安全评价等环节的全方位创新药物研发体系。</w:t>
            </w:r>
          </w:p>
          <w:p>
            <w:pPr>
              <w:pStyle w:val="82"/>
              <w:keepNext w:val="0"/>
              <w:keepLines w:val="0"/>
              <w:suppressLineNumbers w:val="0"/>
              <w:spacing w:before="0" w:beforeAutospacing="0" w:afterAutospacing="0"/>
              <w:ind w:left="0" w:right="0"/>
              <w:rPr>
                <w:rFonts w:hint="eastAsia"/>
              </w:rPr>
            </w:pPr>
            <w:r>
              <w:rPr>
                <w:rFonts w:hint="eastAsia"/>
                <w:b/>
                <w:bCs/>
              </w:rPr>
              <w:t>海洋药物中试孵化服务平台</w:t>
            </w:r>
            <w:r>
              <w:rPr>
                <w:rFonts w:hint="eastAsia"/>
              </w:rPr>
              <w:t>：建设符合中国CFDA、美国FDA及欧盟EMEA规范要求，及工艺研发与GMP中试生产为一体的技术服务平台，加快推动海洋药物科技成果孵化和产业化。</w:t>
            </w:r>
          </w:p>
          <w:p>
            <w:pPr>
              <w:pStyle w:val="82"/>
              <w:keepNext w:val="0"/>
              <w:keepLines w:val="0"/>
              <w:suppressLineNumbers w:val="0"/>
              <w:spacing w:before="0" w:beforeAutospacing="0" w:afterAutospacing="0"/>
              <w:ind w:left="0" w:right="0"/>
              <w:rPr>
                <w:rFonts w:hint="eastAsia"/>
                <w:b/>
                <w:bCs/>
              </w:rPr>
            </w:pPr>
            <w:r>
              <w:rPr>
                <w:rFonts w:hint="eastAsia"/>
                <w:b/>
                <w:bCs/>
              </w:rPr>
              <w:t>海洋生物（生物安全）研究中心：</w:t>
            </w:r>
            <w:r>
              <w:rPr>
                <w:rFonts w:hint="eastAsia"/>
              </w:rPr>
              <w:t>依托企业及其他生物医药研究中心，深化海洋生物活性物质的提取、结构和功能研究，推进海洋生物医药关键技术研发与产业化，重点突破产品高效制备、合成和质量控制等生产关键技术，开发海洋新型药品和生物制剂。</w:t>
            </w:r>
          </w:p>
        </w:tc>
      </w:tr>
    </w:tbl>
    <w:p>
      <w:pPr>
        <w:pStyle w:val="3"/>
        <w:spacing w:before="190" w:after="76"/>
      </w:pPr>
      <w:bookmarkStart w:id="171" w:name="_Toc88504484"/>
      <w:bookmarkStart w:id="172" w:name="_Toc1401541317"/>
      <w:bookmarkStart w:id="173" w:name="_Toc88503912"/>
      <w:r>
        <w:rPr>
          <w:rFonts w:hint="eastAsia"/>
          <w:lang w:eastAsia="zh-CN"/>
        </w:rPr>
        <w:t>积极发展海洋新能源产业</w:t>
      </w:r>
      <w:bookmarkEnd w:id="171"/>
      <w:bookmarkEnd w:id="172"/>
      <w:bookmarkEnd w:id="173"/>
    </w:p>
    <w:p>
      <w:pPr>
        <w:pStyle w:val="50"/>
      </w:pPr>
      <w:r>
        <w:rPr>
          <w:rFonts w:hint="eastAsia"/>
          <w:b/>
          <w:bCs/>
        </w:rPr>
        <w:t>加快推进海上风电项目开发和应用示范。</w:t>
      </w:r>
      <w:r>
        <w:rPr>
          <w:rFonts w:hint="eastAsia"/>
        </w:rPr>
        <w:t>推进深汕海上风电项目开发建设；积极参与汕尾市红海湾海上风电项目合作开发。支持开展新型浮式风机及基础、智能运维平台等研发与应用示范，支持研发具有自主知识产权的海洋新能源开发技术和装备。</w:t>
      </w:r>
      <w:r>
        <w:t xml:space="preserve"> </w:t>
      </w:r>
    </w:p>
    <w:p>
      <w:pPr>
        <w:pStyle w:val="50"/>
      </w:pPr>
      <w:r>
        <w:rPr>
          <w:rFonts w:hint="eastAsia"/>
          <w:b/>
          <w:bCs/>
        </w:rPr>
        <w:t>布局天然气水合物等新兴领域技术研发和产业化。</w:t>
      </w:r>
      <w:r>
        <w:rPr>
          <w:rFonts w:hint="eastAsia"/>
        </w:rPr>
        <w:t>开展深海天然水合物智能化探测与开发及环境监测技术和装备的研制、海试与应用示范。积极参与前期基础研究，突破钻采共性关键技术，加强低成本钻探、试采装备研发，提前布局国际专利和标准体系。探索天然气水合物勘探开采环境保护机制。</w:t>
      </w:r>
    </w:p>
    <w:p>
      <w:pPr>
        <w:pStyle w:val="50"/>
      </w:pPr>
      <w:r>
        <w:rPr>
          <w:rFonts w:hint="eastAsia"/>
          <w:b/>
          <w:bCs/>
        </w:rPr>
        <w:t>加快可再生清洁能源电力技术开发与创新。</w:t>
      </w:r>
      <w:r>
        <w:rPr>
          <w:rFonts w:hint="eastAsia"/>
        </w:rPr>
        <w:t>布局海洋新能源技术研发与试验，探索海上风、浪、流等新型海上能源的发电、转化、储能等离岸能源子系统等前沿技术研发。试制深海浮式平台多能互补联合制氢实验性系统，开展新型装备的海上试验和应用示范。支持海洋油气开发企业探索发展海洋新能源产业，推动新能源与油气产业协同发展，打造一批海上能源综合服务商。围绕可燃冰等探测开采和实时监测、防砂等关键技术和装备开展技术攻关，支持海洋能综合利用技术和装备开发。</w:t>
      </w:r>
    </w:p>
    <w:tbl>
      <w:tblPr>
        <w:tblStyle w:val="3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83"/>
              <w:keepNext w:val="0"/>
              <w:keepLines w:val="0"/>
              <w:suppressLineNumbers w:val="0"/>
              <w:spacing w:before="190" w:beforeAutospacing="0" w:after="190" w:afterAutospacing="0"/>
              <w:ind w:left="0" w:right="0"/>
              <w:rPr>
                <w:rFonts w:hint="eastAsia"/>
              </w:rPr>
            </w:pPr>
            <w:r>
              <w:rPr>
                <w:rFonts w:hint="eastAsia"/>
              </w:rPr>
              <w:t>专栏</w:t>
            </w:r>
            <w:r>
              <w:rPr>
                <w:rFonts w:hint="default"/>
                <w:lang w:val="en"/>
              </w:rPr>
              <w:t>9</w:t>
            </w:r>
            <w:r>
              <w:rPr>
                <w:rFonts w:hint="eastAsia"/>
              </w:rPr>
              <w:t>：海洋新能源产业发展</w:t>
            </w:r>
          </w:p>
          <w:p>
            <w:pPr>
              <w:pStyle w:val="82"/>
              <w:keepNext w:val="0"/>
              <w:keepLines w:val="0"/>
              <w:suppressLineNumbers w:val="0"/>
              <w:spacing w:before="0" w:beforeAutospacing="0" w:afterAutospacing="0"/>
              <w:ind w:left="0" w:right="0"/>
              <w:rPr>
                <w:rFonts w:hint="eastAsia"/>
              </w:rPr>
            </w:pPr>
            <w:r>
              <w:rPr>
                <w:rFonts w:hint="eastAsia"/>
                <w:b/>
                <w:bCs/>
              </w:rPr>
              <w:t>深汕合作区海上风电示范项目：</w:t>
            </w:r>
            <w:r>
              <w:rPr>
                <w:rFonts w:hint="eastAsia"/>
              </w:rPr>
              <w:t>规划建设总装机容量约600MW，探索央企和深汕两地国企合作运营的新模式。建立风电运维行业标准和行业指引性服务模式，为中国海上风电的可持续发展提供解决方案，为国家“2030年碳达峰、2060年碳中和战略”的实现提供绿色动力。推动海上风电带动在汕供应链上下游相关企业和海洋工业的发展。</w:t>
            </w:r>
          </w:p>
        </w:tc>
      </w:tr>
    </w:tbl>
    <w:p>
      <w:pPr>
        <w:pStyle w:val="2"/>
        <w:spacing w:before="190"/>
      </w:pPr>
      <w:bookmarkStart w:id="174" w:name="_Toc90990648"/>
      <w:bookmarkEnd w:id="174"/>
      <w:bookmarkStart w:id="175" w:name="_Toc91164641"/>
      <w:bookmarkEnd w:id="175"/>
      <w:bookmarkStart w:id="176" w:name="_Toc91152041"/>
      <w:bookmarkEnd w:id="176"/>
      <w:bookmarkStart w:id="177" w:name="_Toc91151975"/>
      <w:bookmarkEnd w:id="177"/>
      <w:bookmarkStart w:id="178" w:name="_Toc90991488"/>
      <w:bookmarkEnd w:id="178"/>
      <w:bookmarkStart w:id="179" w:name="_Toc88503913"/>
      <w:bookmarkStart w:id="180" w:name="_Toc1580601197"/>
      <w:bookmarkStart w:id="181" w:name="_Toc88504485"/>
      <w:r>
        <w:rPr>
          <w:rFonts w:hint="eastAsia"/>
        </w:rPr>
        <w:t>促进海洋传统产业高质量发展</w:t>
      </w:r>
      <w:bookmarkEnd w:id="179"/>
      <w:bookmarkEnd w:id="180"/>
      <w:bookmarkEnd w:id="181"/>
    </w:p>
    <w:p>
      <w:pPr>
        <w:pStyle w:val="3"/>
        <w:numPr>
          <w:ilvl w:val="0"/>
          <w:numId w:val="14"/>
        </w:numPr>
        <w:spacing w:before="190" w:after="76"/>
      </w:pPr>
      <w:bookmarkStart w:id="182" w:name="_Toc88504486"/>
      <w:bookmarkStart w:id="183" w:name="_Toc88503914"/>
      <w:bookmarkStart w:id="184" w:name="_Toc1551175563"/>
      <w:r>
        <w:rPr>
          <w:rFonts w:hint="eastAsia"/>
        </w:rPr>
        <w:t>推动</w:t>
      </w:r>
      <w:r>
        <w:rPr>
          <w:rFonts w:hint="eastAsia"/>
          <w:lang w:eastAsia="zh-CN"/>
        </w:rPr>
        <w:t>港口</w:t>
      </w:r>
      <w:r>
        <w:rPr>
          <w:rFonts w:hint="eastAsia"/>
        </w:rPr>
        <w:t>航运</w:t>
      </w:r>
      <w:bookmarkEnd w:id="182"/>
      <w:bookmarkEnd w:id="183"/>
      <w:r>
        <w:rPr>
          <w:rFonts w:hint="eastAsia"/>
          <w:lang w:eastAsia="zh-CN"/>
        </w:rPr>
        <w:t>提质增效</w:t>
      </w:r>
      <w:bookmarkEnd w:id="184"/>
    </w:p>
    <w:p>
      <w:pPr>
        <w:pStyle w:val="50"/>
      </w:pPr>
      <w:r>
        <w:rPr>
          <w:rFonts w:hint="eastAsia"/>
          <w:b/>
          <w:bCs/>
        </w:rPr>
        <w:t>加快港口基础设施提升。</w:t>
      </w:r>
      <w:r>
        <w:rPr>
          <w:rFonts w:hint="eastAsia"/>
        </w:rPr>
        <w:t>加快推进港口操作智能化和新型信息设施示范应用，推动深圳港公共数据平台及智慧港区建设。加快建设深圳国际船舶燃料加注中心。优化集疏运结构，大力发展“水水中转”和“海铁联运”，提升现代物流设施水平，推进综合保税区转型升级。</w:t>
      </w:r>
    </w:p>
    <w:p>
      <w:pPr>
        <w:pStyle w:val="50"/>
      </w:pPr>
      <w:r>
        <w:rPr>
          <w:rFonts w:hint="eastAsia"/>
          <w:b/>
          <w:bCs/>
        </w:rPr>
        <w:t>加强大湾区组合港建设和海外港口拓展。</w:t>
      </w:r>
      <w:r>
        <w:rPr>
          <w:rFonts w:hint="eastAsia"/>
        </w:rPr>
        <w:t>完善粤港澳大湾区组合港体系建设，拓展组合港网络，加强深圳东西部港区与汕尾、惠州、中山、江门、珠海等城市的联系。鼓励龙头企业“走出去”，积极参与海外投资，加大“一带一路”沿线港口布局，推动建立以深圳港为核心的全球海运骨干网络。</w:t>
      </w:r>
    </w:p>
    <w:p>
      <w:pPr>
        <w:pStyle w:val="50"/>
        <w:rPr>
          <w:highlight w:val="none"/>
        </w:rPr>
      </w:pPr>
      <w:r>
        <w:rPr>
          <w:rFonts w:hint="eastAsia"/>
          <w:b/>
          <w:bCs/>
        </w:rPr>
        <w:t>提升航运综合服务能力。</w:t>
      </w:r>
      <w:r>
        <w:rPr>
          <w:rFonts w:hint="eastAsia"/>
        </w:rPr>
        <w:t>鼓励船舶、国际知名船级社等航运要素集聚深圳，拓展航运金融、船舶检测、保税及燃料加注、航运法务等高附加值航运服务</w:t>
      </w:r>
      <w:r>
        <w:rPr>
          <w:rFonts w:hint="eastAsia"/>
          <w:highlight w:val="none"/>
          <w:lang w:eastAsia="zh-CN"/>
        </w:rPr>
        <w:t>。</w:t>
      </w:r>
      <w:r>
        <w:rPr>
          <w:rFonts w:hint="eastAsia" w:ascii="仿宋" w:hAnsi="仿宋" w:eastAsia="仿宋" w:cs="仿宋"/>
          <w:b w:val="0"/>
          <w:bCs/>
          <w:kern w:val="2"/>
          <w:sz w:val="32"/>
          <w:szCs w:val="32"/>
          <w:highlight w:val="none"/>
          <w:lang w:val="en-US" w:eastAsia="zh-CN" w:bidi="ar-SA"/>
        </w:rPr>
        <w:t>推进与香港形成互惠共赢的港航物流及配套服务体系</w:t>
      </w:r>
      <w:r>
        <w:rPr>
          <w:rFonts w:hint="eastAsia" w:ascii="仿宋" w:hAnsi="仿宋" w:cs="仿宋"/>
          <w:b w:val="0"/>
          <w:bCs/>
          <w:kern w:val="2"/>
          <w:sz w:val="32"/>
          <w:szCs w:val="32"/>
          <w:highlight w:val="none"/>
          <w:lang w:val="en-US" w:eastAsia="zh-CN" w:bidi="ar-SA"/>
        </w:rPr>
        <w:t>，推动前海建设国际高端航运服务中心</w:t>
      </w:r>
      <w:r>
        <w:rPr>
          <w:rFonts w:hint="eastAsia"/>
          <w:highlight w:val="none"/>
        </w:rPr>
        <w:t>。鼓励金融机构提供更安全快捷的航运资金结算服务，探索开展航运运价衍生品和燃油期货等业务，加快发展航运保险推动产品改革，探索建立海洋巨灾保险和再保险机制。推动开展船舶换装、国际中转业务。支持企业组建现代化远洋船队。</w:t>
      </w:r>
    </w:p>
    <w:p>
      <w:pPr>
        <w:pStyle w:val="50"/>
      </w:pPr>
      <w:r>
        <w:rPr>
          <w:rFonts w:hint="eastAsia"/>
          <w:b/>
          <w:bCs/>
          <w:highlight w:val="none"/>
        </w:rPr>
        <w:t>深化航运制度改革创新。</w:t>
      </w:r>
      <w:r>
        <w:rPr>
          <w:rFonts w:hint="eastAsia"/>
          <w:highlight w:val="none"/>
        </w:rPr>
        <w:t>探索研究推进国际船舶登记和配套制度改革，推动设立国际船舶登记中心。深化海事“放管服”改革，进一步推动启运港退税政策实施。支持建设深圳国际仲裁院海事仲裁中心，提升深圳国际仲裁员综合服务能力</w:t>
      </w:r>
      <w:r>
        <w:rPr>
          <w:rFonts w:hint="eastAsia"/>
          <w:highlight w:val="none"/>
          <w:lang w:eastAsia="zh-CN"/>
        </w:rPr>
        <w:t>，</w:t>
      </w:r>
      <w:r>
        <w:rPr>
          <w:rFonts w:hint="eastAsia" w:ascii="仿宋" w:hAnsi="仿宋" w:eastAsia="仿宋" w:cs="仿宋"/>
          <w:b w:val="0"/>
          <w:bCs/>
          <w:kern w:val="2"/>
          <w:sz w:val="32"/>
          <w:szCs w:val="32"/>
          <w:highlight w:val="none"/>
          <w:lang w:val="en-US" w:eastAsia="zh-CN" w:bidi="ar-SA"/>
        </w:rPr>
        <w:t>打造服务全球的国际商事法律及争议解决服务中心</w:t>
      </w:r>
      <w:r>
        <w:rPr>
          <w:rFonts w:hint="eastAsia"/>
          <w:highlight w:val="none"/>
        </w:rPr>
        <w:t>。支持建设深港国际海员评估中心，开展国际海员培训合</w:t>
      </w:r>
      <w:r>
        <w:rPr>
          <w:rFonts w:hint="eastAsia"/>
        </w:rPr>
        <w:t>作、评估等，探索推动深港海员互认制度。</w:t>
      </w:r>
    </w:p>
    <w:tbl>
      <w:tblPr>
        <w:tblStyle w:val="3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83"/>
              <w:keepNext w:val="0"/>
              <w:keepLines w:val="0"/>
              <w:suppressLineNumbers w:val="0"/>
              <w:spacing w:before="190" w:beforeAutospacing="0" w:after="190" w:afterAutospacing="0"/>
              <w:ind w:left="0" w:right="0"/>
              <w:rPr>
                <w:rFonts w:hint="eastAsia"/>
              </w:rPr>
            </w:pPr>
            <w:r>
              <w:rPr>
                <w:rFonts w:hint="eastAsia"/>
              </w:rPr>
              <w:t>专栏</w:t>
            </w:r>
            <w:r>
              <w:rPr>
                <w:rFonts w:hint="default"/>
                <w:lang w:val="en"/>
              </w:rPr>
              <w:t>10</w:t>
            </w:r>
            <w:r>
              <w:rPr>
                <w:rFonts w:hint="eastAsia"/>
              </w:rPr>
              <w:t>：港口航运提质增效</w:t>
            </w:r>
          </w:p>
          <w:p>
            <w:pPr>
              <w:pStyle w:val="82"/>
              <w:keepNext w:val="0"/>
              <w:keepLines w:val="0"/>
              <w:suppressLineNumbers w:val="0"/>
              <w:spacing w:before="0" w:beforeAutospacing="0" w:afterAutospacing="0"/>
              <w:ind w:left="0" w:right="0"/>
              <w:rPr>
                <w:rFonts w:hint="eastAsia"/>
              </w:rPr>
            </w:pPr>
            <w:r>
              <w:rPr>
                <w:rFonts w:hint="eastAsia"/>
                <w:b/>
                <w:bCs/>
              </w:rPr>
              <w:t>深圳港口基础设施提升系统工程：</w:t>
            </w:r>
            <w:r>
              <w:rPr>
                <w:rFonts w:hint="eastAsia"/>
              </w:rPr>
              <w:t>包括盐田港区东作业区集装箱码头工程一期工程、大铲湾港区集装箱码头二期、大铲湾港区集装箱码头三期驳船泊位、西部港区出海航道二期工程以及其他引航服务保障设施建设。</w:t>
            </w:r>
          </w:p>
          <w:p>
            <w:pPr>
              <w:pStyle w:val="82"/>
              <w:keepNext w:val="0"/>
              <w:keepLines w:val="0"/>
              <w:suppressLineNumbers w:val="0"/>
              <w:spacing w:before="0" w:beforeAutospacing="0" w:afterAutospacing="0"/>
              <w:ind w:left="0" w:right="0"/>
              <w:rPr>
                <w:rFonts w:hint="eastAsia"/>
              </w:rPr>
            </w:pPr>
            <w:r>
              <w:rPr>
                <w:rFonts w:hint="eastAsia"/>
                <w:b/>
                <w:bCs/>
              </w:rPr>
              <w:t>集疏运系统和物流系统建设工程：</w:t>
            </w:r>
            <w:r>
              <w:rPr>
                <w:rFonts w:hint="eastAsia"/>
              </w:rPr>
              <w:t>包括平盐疏港铁路改造、亚太智慧保税物流综合体。</w:t>
            </w:r>
          </w:p>
          <w:p>
            <w:pPr>
              <w:pStyle w:val="82"/>
              <w:keepNext w:val="0"/>
              <w:keepLines w:val="0"/>
              <w:suppressLineNumbers w:val="0"/>
              <w:spacing w:before="0" w:beforeAutospacing="0" w:afterAutospacing="0"/>
              <w:ind w:left="0" w:right="0"/>
              <w:rPr>
                <w:rFonts w:hint="eastAsia"/>
                <w:b/>
                <w:bCs/>
              </w:rPr>
            </w:pPr>
            <w:r>
              <w:rPr>
                <w:rFonts w:hint="eastAsia"/>
                <w:b/>
                <w:bCs/>
              </w:rPr>
              <w:t>深圳国际仲裁院海事仲裁中心：</w:t>
            </w:r>
            <w:r>
              <w:rPr>
                <w:rFonts w:hint="eastAsia"/>
              </w:rPr>
              <w:t>打造多元化国际海事法律服务中心，建设“深圳（前海）+香港”海事争议解决高地，积极培育、吸引海事法律专业人才聚集香港，推进海事纠纷解决境内外合作机制，结合行业管理及最新发展进行相关仲裁规则修订，有效引导港口、航运企业选择特区海事仲裁。</w:t>
            </w:r>
          </w:p>
          <w:p>
            <w:pPr>
              <w:pStyle w:val="82"/>
              <w:keepNext w:val="0"/>
              <w:keepLines w:val="0"/>
              <w:suppressLineNumbers w:val="0"/>
              <w:spacing w:before="0" w:beforeAutospacing="0" w:afterAutospacing="0"/>
              <w:ind w:left="0" w:right="0"/>
              <w:rPr>
                <w:rFonts w:hint="eastAsia"/>
              </w:rPr>
            </w:pPr>
            <w:r>
              <w:rPr>
                <w:rFonts w:hint="eastAsia"/>
                <w:b/>
                <w:bCs/>
              </w:rPr>
              <w:t>深港国际海员评估中心：</w:t>
            </w:r>
            <w:r>
              <w:rPr>
                <w:rFonts w:hint="eastAsia"/>
              </w:rPr>
              <w:t>针对航运界新技术、新业态等智能航运领域高端航运人才及船员开展考试评估与示范课程培训，建设驾驶专业、论及与电子电气专业、合格证专业等各类评估设备以及相应配套设施、信息化系统，开展评估管理制度及评估人员队伍建设，建立健全评估合作机制，探索使用IMO示范课程开展培训。</w:t>
            </w:r>
          </w:p>
          <w:p>
            <w:pPr>
              <w:pStyle w:val="82"/>
              <w:keepNext w:val="0"/>
              <w:keepLines w:val="0"/>
              <w:suppressLineNumbers w:val="0"/>
              <w:spacing w:before="0" w:beforeAutospacing="0" w:afterAutospacing="0"/>
              <w:ind w:left="0" w:right="0"/>
              <w:rPr>
                <w:rFonts w:hint="eastAsia"/>
              </w:rPr>
            </w:pPr>
            <w:r>
              <w:rPr>
                <w:rFonts w:hint="eastAsia"/>
                <w:b/>
                <w:bCs/>
              </w:rPr>
              <w:t>国际海事（深圳）研究中心：</w:t>
            </w:r>
            <w:r>
              <w:rPr>
                <w:rFonts w:hint="eastAsia"/>
              </w:rPr>
              <w:t>广泛联络国际海事组织、企业和院校，凝聚国内外专家，搭建国际海事研究平台，跟踪全球海事发展新理念、新技术、新趋势和新制度，研究解读最新港航领域发展热点问题。</w:t>
            </w:r>
          </w:p>
        </w:tc>
      </w:tr>
    </w:tbl>
    <w:p>
      <w:pPr>
        <w:pStyle w:val="3"/>
        <w:spacing w:before="190" w:after="76"/>
      </w:pPr>
      <w:bookmarkStart w:id="185" w:name="_Toc1069692169"/>
      <w:bookmarkStart w:id="186" w:name="_Toc88504487"/>
      <w:bookmarkStart w:id="187" w:name="_Toc88503915"/>
      <w:r>
        <w:rPr>
          <w:rFonts w:hint="eastAsia"/>
        </w:rPr>
        <w:t>推进</w:t>
      </w:r>
      <w:r>
        <w:rPr>
          <w:rFonts w:hint="eastAsia"/>
          <w:lang w:eastAsia="zh-CN"/>
        </w:rPr>
        <w:t>滨海旅游和</w:t>
      </w:r>
      <w:r>
        <w:rPr>
          <w:rFonts w:hint="eastAsia"/>
          <w:lang w:val="en-US" w:eastAsia="zh-CN"/>
        </w:rPr>
        <w:t>海洋</w:t>
      </w:r>
      <w:r>
        <w:rPr>
          <w:rFonts w:hint="eastAsia"/>
          <w:lang w:eastAsia="zh-CN"/>
        </w:rPr>
        <w:t>文化</w:t>
      </w:r>
      <w:r>
        <w:rPr>
          <w:rFonts w:hint="eastAsia"/>
          <w:lang w:val="en-US" w:eastAsia="zh-CN"/>
        </w:rPr>
        <w:t>体育</w:t>
      </w:r>
      <w:r>
        <w:rPr>
          <w:rFonts w:hint="eastAsia"/>
        </w:rPr>
        <w:t>发展</w:t>
      </w:r>
      <w:bookmarkEnd w:id="185"/>
      <w:bookmarkEnd w:id="186"/>
      <w:bookmarkEnd w:id="187"/>
    </w:p>
    <w:p>
      <w:pPr>
        <w:pStyle w:val="50"/>
      </w:pPr>
      <w:r>
        <w:rPr>
          <w:rFonts w:hint="eastAsia"/>
          <w:b/>
          <w:bCs/>
        </w:rPr>
        <w:t>强化海洋特色空间塑造。</w:t>
      </w:r>
      <w:r>
        <w:rPr>
          <w:rFonts w:hint="eastAsia"/>
        </w:rPr>
        <w:t>加快海洋博物馆、深圳歌剧院、国深博物馆、海事博物馆、小梅沙海洋馆等文化设施建设；推进西涌、盐田梅沙、深圳河入海口湿地、海滨文化公园二期、前海石公园等海岸带的治理建设；开展沙滩浴场、海岸公园规划建设。推动大鹏所城综合整治和风貌提升，加强文化旅游区特色风貌塑造、业态活化优化、文物保护，推进大鹏全域旅游建设。</w:t>
      </w:r>
    </w:p>
    <w:p>
      <w:pPr>
        <w:pStyle w:val="50"/>
        <w:rPr>
          <w:rFonts w:hint="eastAsia" w:eastAsia="仿宋"/>
          <w:b/>
          <w:bCs/>
          <w:lang w:eastAsia="zh-CN"/>
        </w:rPr>
      </w:pPr>
      <w:r>
        <w:rPr>
          <w:rFonts w:hint="eastAsia"/>
          <w:b/>
          <w:bCs/>
        </w:rPr>
        <w:t>提升海洋</w:t>
      </w:r>
      <w:r>
        <w:rPr>
          <w:rFonts w:hint="eastAsia"/>
          <w:b/>
          <w:bCs/>
          <w:lang w:val="en-US" w:eastAsia="zh-CN"/>
        </w:rPr>
        <w:t>旅游</w:t>
      </w:r>
      <w:r>
        <w:rPr>
          <w:rFonts w:hint="eastAsia"/>
          <w:b/>
          <w:bCs/>
        </w:rPr>
        <w:t>体验。</w:t>
      </w:r>
      <w:r>
        <w:rPr>
          <w:rFonts w:hint="eastAsia"/>
        </w:rPr>
        <w:t>推动海洋旅游产品由资源观光型向深度体验型转变，推动“海洋-海岛-海岸”旅游立体开发。推进中国邮轮旅游发展试验区</w:t>
      </w:r>
      <w:r>
        <w:rPr>
          <w:rFonts w:hint="eastAsia"/>
          <w:lang w:val="en-US" w:eastAsia="zh-CN"/>
        </w:rPr>
        <w:t>建设</w:t>
      </w:r>
      <w:r>
        <w:rPr>
          <w:rFonts w:hint="eastAsia"/>
        </w:rPr>
        <w:t>，打造集邮轮、旅游、文化、商贸、物流为一体的创新型智慧邮轮母港</w:t>
      </w:r>
      <w:r>
        <w:rPr>
          <w:rFonts w:hint="eastAsia"/>
          <w:lang w:eastAsia="zh-CN"/>
        </w:rPr>
        <w:t>，</w:t>
      </w:r>
      <w:r>
        <w:rPr>
          <w:rFonts w:hint="eastAsia"/>
        </w:rPr>
        <w:t>增加国际班轮航线，打造“海上看湾区”、五星旗游轮船队等项目</w:t>
      </w:r>
      <w:r>
        <w:rPr>
          <w:rFonts w:hint="eastAsia"/>
          <w:lang w:eastAsia="zh-CN"/>
        </w:rPr>
        <w:t>。</w:t>
      </w:r>
      <w:r>
        <w:rPr>
          <w:rFonts w:hint="eastAsia"/>
        </w:rPr>
        <w:t>探索推进粤港澳国际游艇旅游自由港建设，推进滨海地区旅游口岸和设施建设</w:t>
      </w:r>
      <w:r>
        <w:rPr>
          <w:rFonts w:hint="eastAsia"/>
          <w:lang w:eastAsia="zh-CN"/>
        </w:rPr>
        <w:t>，</w:t>
      </w:r>
      <w:r>
        <w:rPr>
          <w:rFonts w:hint="eastAsia"/>
        </w:rPr>
        <w:t>推动建设公共游艇码头</w:t>
      </w:r>
      <w:r>
        <w:rPr>
          <w:rFonts w:hint="eastAsia"/>
          <w:lang w:eastAsia="zh-CN"/>
        </w:rPr>
        <w:t>，</w:t>
      </w:r>
      <w:r>
        <w:rPr>
          <w:rFonts w:hint="eastAsia" w:ascii="仿宋_GB2312" w:hAnsi="仿宋_GB2312" w:eastAsia="仿宋_GB2312" w:cs="仿宋_GB2312"/>
          <w:sz w:val="32"/>
          <w:szCs w:val="32"/>
          <w:lang w:val="en-US" w:eastAsia="zh-CN"/>
        </w:rPr>
        <w:t>研究在大亚湾坝光、新大等片区科学规划选址建设海上休闲和客运码头</w:t>
      </w:r>
      <w:r>
        <w:rPr>
          <w:rFonts w:hint="eastAsia"/>
          <w:lang w:eastAsia="zh-CN"/>
        </w:rPr>
        <w:t>。</w:t>
      </w:r>
      <w:r>
        <w:t xml:space="preserve"> </w:t>
      </w:r>
      <w:r>
        <w:rPr>
          <w:rFonts w:hint="eastAsia"/>
        </w:rPr>
        <w:t>探索构建环大鹏湾/印洲塘生态旅游圈</w:t>
      </w:r>
      <w:r>
        <w:rPr>
          <w:rFonts w:hint="eastAsia"/>
          <w:lang w:val="en-US" w:eastAsia="zh-CN"/>
        </w:rPr>
        <w:t>和</w:t>
      </w:r>
      <w:r>
        <w:rPr>
          <w:rFonts w:hint="eastAsia"/>
        </w:rPr>
        <w:t>跨境海上交通体系，推出深港东部滨海休闲度假等一程多站跨境旅游产品</w:t>
      </w:r>
      <w:r>
        <w:rPr>
          <w:rFonts w:hint="eastAsia"/>
          <w:lang w:eastAsia="zh-CN"/>
        </w:rPr>
        <w:t>，</w:t>
      </w:r>
      <w:r>
        <w:rPr>
          <w:rFonts w:hint="eastAsia"/>
          <w:lang w:val="en-US" w:eastAsia="zh-CN"/>
        </w:rPr>
        <w:t>推进沙头角深港国际消费旅游合作区建设</w:t>
      </w:r>
      <w:r>
        <w:rPr>
          <w:rFonts w:hint="eastAsia"/>
        </w:rPr>
        <w:t>。促进与珠海、惠州等地的海岛旅游合作，加强旅游码头互联互通。推进智慧旅游建设，搭建深圳市全域智慧旅游平台，打造世界级滨海旅游目的地。</w:t>
      </w:r>
    </w:p>
    <w:p>
      <w:pPr>
        <w:pStyle w:val="50"/>
        <w:rPr>
          <w:rFonts w:hint="eastAsia" w:eastAsia="仿宋"/>
          <w:b/>
          <w:bCs/>
          <w:lang w:val="en-US" w:eastAsia="zh-CN"/>
        </w:rPr>
      </w:pPr>
      <w:r>
        <w:rPr>
          <w:rFonts w:hint="eastAsia"/>
          <w:b/>
          <w:bCs/>
          <w:lang w:val="en-US" w:eastAsia="zh-CN"/>
        </w:rPr>
        <w:t>发展海洋体育活动。</w:t>
      </w:r>
      <w:r>
        <w:rPr>
          <w:rFonts w:hint="eastAsia"/>
        </w:rPr>
        <w:t>大力发展水上运动和体育赛事，持续举办“中国杯”帆船赛，引进、创办世界帆船对抗巡回赛总决赛暨世界湾区帆船赛，</w:t>
      </w:r>
      <w:r>
        <w:rPr>
          <w:rFonts w:hint="eastAsia" w:ascii="仿宋_GB2312" w:hAnsi="仿宋_GB2312" w:eastAsia="仿宋_GB2312" w:cs="仿宋_GB2312"/>
          <w:szCs w:val="32"/>
        </w:rPr>
        <w:t>积极申办世界水翼帆板锦标赛亚洲分站等世界级赛事</w:t>
      </w:r>
      <w:r>
        <w:rPr>
          <w:rFonts w:hint="eastAsia" w:ascii="仿宋_GB2312" w:hAnsi="仿宋" w:eastAsia="仿宋_GB2312" w:cs="Times New Roman"/>
          <w:sz w:val="32"/>
          <w:szCs w:val="32"/>
        </w:rPr>
        <w:t>。</w:t>
      </w:r>
      <w:r>
        <w:rPr>
          <w:rFonts w:hint="eastAsia" w:ascii="仿宋_GB2312" w:hAnsi="仿宋" w:eastAsia="仿宋_GB2312" w:cs="Times New Roman"/>
          <w:sz w:val="32"/>
          <w:szCs w:val="32"/>
          <w:lang w:val="en-US" w:eastAsia="zh-CN"/>
        </w:rPr>
        <w:t>提升海洋体育活动普及率，</w:t>
      </w:r>
      <w:r>
        <w:rPr>
          <w:rFonts w:hint="eastAsia"/>
        </w:rPr>
        <w:t>建设盐田海洋体育“一中心三基地”、大鹏国家级水上（海上）国民休闲运动中心。</w:t>
      </w:r>
    </w:p>
    <w:p>
      <w:pPr>
        <w:pStyle w:val="50"/>
      </w:pPr>
      <w:r>
        <w:rPr>
          <w:rFonts w:hint="eastAsia"/>
          <w:b/>
          <w:bCs/>
        </w:rPr>
        <w:t>丰富海洋文化活动及宣传。</w:t>
      </w:r>
      <w:r>
        <w:rPr>
          <w:rFonts w:hint="eastAsia"/>
        </w:rPr>
        <w:t>依托海博会创设深圳海洋周，丰富海洋文化民俗节庆活动，举办沙滩电影节、音乐节、运动会等海洋文化活动，提升城市海洋韵味。开展特色的海洋文化科普教育和对外交流。支持深圳特色海洋文化内容要素申报市、省、国家级非物质文化遗产项目。</w:t>
      </w:r>
    </w:p>
    <w:p>
      <w:pPr>
        <w:pStyle w:val="50"/>
      </w:pPr>
    </w:p>
    <w:tbl>
      <w:tblPr>
        <w:tblStyle w:val="3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83"/>
              <w:keepNext w:val="0"/>
              <w:keepLines w:val="0"/>
              <w:suppressLineNumbers w:val="0"/>
              <w:spacing w:before="190" w:beforeAutospacing="0" w:after="190" w:afterAutospacing="0"/>
              <w:ind w:left="0" w:right="0"/>
              <w:rPr>
                <w:rFonts w:hint="eastAsia"/>
              </w:rPr>
            </w:pPr>
            <w:r>
              <w:rPr>
                <w:rFonts w:hint="eastAsia"/>
              </w:rPr>
              <w:t>专栏</w:t>
            </w:r>
            <w:r>
              <w:rPr>
                <w:rFonts w:hint="default"/>
                <w:lang w:val="en"/>
              </w:rPr>
              <w:t>11</w:t>
            </w:r>
            <w:r>
              <w:rPr>
                <w:rFonts w:hint="eastAsia"/>
              </w:rPr>
              <w:t>：滨海旅游业和海洋文化发展</w:t>
            </w:r>
          </w:p>
          <w:p>
            <w:pPr>
              <w:pStyle w:val="82"/>
              <w:keepNext w:val="0"/>
              <w:keepLines w:val="0"/>
              <w:suppressLineNumbers w:val="0"/>
              <w:spacing w:before="0" w:beforeAutospacing="0" w:afterAutospacing="0"/>
              <w:ind w:left="0" w:right="0"/>
              <w:rPr>
                <w:rFonts w:hint="eastAsia"/>
              </w:rPr>
            </w:pPr>
            <w:r>
              <w:rPr>
                <w:rFonts w:hint="eastAsia"/>
                <w:b/>
                <w:bCs/>
              </w:rPr>
              <w:t>深圳海洋博物馆：</w:t>
            </w:r>
            <w:r>
              <w:rPr>
                <w:rFonts w:hint="eastAsia"/>
              </w:rPr>
              <w:t>加快建设由海洋资源收藏展示中心、海洋文化教育中心、海洋科学研究中心等构成的海洋博物馆，打造集收藏、研究、展示、科普等功能于一体的综合性海洋文化平台。</w:t>
            </w:r>
          </w:p>
          <w:p>
            <w:pPr>
              <w:pStyle w:val="82"/>
              <w:keepNext w:val="0"/>
              <w:keepLines w:val="0"/>
              <w:suppressLineNumbers w:val="0"/>
              <w:spacing w:before="0" w:beforeAutospacing="0" w:afterAutospacing="0"/>
              <w:ind w:left="0" w:right="0"/>
              <w:rPr>
                <w:rFonts w:hint="eastAsia"/>
              </w:rPr>
            </w:pPr>
            <w:r>
              <w:rPr>
                <w:rFonts w:hint="eastAsia"/>
                <w:b/>
                <w:bCs/>
              </w:rPr>
              <w:t>深圳歌剧院：</w:t>
            </w:r>
            <w:r>
              <w:rPr>
                <w:rFonts w:hint="eastAsia"/>
              </w:rPr>
              <w:t>加快国际一流歌剧院建设，由歌剧厅、音乐厅、多功能沉浸剧场、公共服务和文创体验区，以及道具和服装设计制作中心等功能组成，着力打造海岸、街区、建筑、公园一体化的文化艺术带。</w:t>
            </w:r>
          </w:p>
          <w:p>
            <w:pPr>
              <w:pStyle w:val="82"/>
              <w:keepNext w:val="0"/>
              <w:keepLines w:val="0"/>
              <w:suppressLineNumbers w:val="0"/>
              <w:spacing w:before="0" w:beforeAutospacing="0" w:afterAutospacing="0"/>
              <w:ind w:left="0" w:right="0"/>
              <w:rPr>
                <w:rFonts w:hint="eastAsia"/>
              </w:rPr>
            </w:pPr>
            <w:r>
              <w:rPr>
                <w:rFonts w:hint="eastAsia"/>
                <w:b/>
                <w:bCs/>
              </w:rPr>
              <w:t>国深博物馆：</w:t>
            </w:r>
            <w:r>
              <w:rPr>
                <w:rFonts w:hint="eastAsia"/>
              </w:rPr>
              <w:t>加快建设由文物展陈区、社会教育区、文物藏品区、综合服务活动区、业务科研区等功能构成的国深博物馆，着力打造体现中国文化自信的国家级大型综合性博物馆和城市名片。</w:t>
            </w:r>
          </w:p>
          <w:p>
            <w:pPr>
              <w:pStyle w:val="82"/>
              <w:keepNext w:val="0"/>
              <w:keepLines w:val="0"/>
              <w:suppressLineNumbers w:val="0"/>
              <w:spacing w:before="0" w:beforeAutospacing="0" w:afterAutospacing="0"/>
              <w:ind w:left="0" w:right="0"/>
              <w:rPr>
                <w:rFonts w:hint="eastAsia"/>
              </w:rPr>
            </w:pPr>
            <w:r>
              <w:rPr>
                <w:rFonts w:hint="eastAsia"/>
                <w:b/>
                <w:bCs/>
              </w:rPr>
              <w:t>赤湾海事博物馆：</w:t>
            </w:r>
            <w:r>
              <w:rPr>
                <w:rFonts w:hint="eastAsia"/>
              </w:rPr>
              <w:t>充分展示深圳海防历史和文物，融合海防遗址、海上丝绸之路地理坐标形成中华文化重要标识，形成极具特色的海防特色文化路线，促进粤港澳大湾区世界级旅游目的地建设。</w:t>
            </w:r>
          </w:p>
          <w:p>
            <w:pPr>
              <w:pStyle w:val="82"/>
              <w:keepNext w:val="0"/>
              <w:keepLines w:val="0"/>
              <w:suppressLineNumbers w:val="0"/>
              <w:spacing w:before="0" w:beforeAutospacing="0" w:afterAutospacing="0"/>
              <w:ind w:left="0" w:right="0"/>
              <w:rPr>
                <w:rFonts w:hint="eastAsia"/>
              </w:rPr>
            </w:pPr>
            <w:r>
              <w:rPr>
                <w:rFonts w:hint="eastAsia"/>
                <w:b/>
                <w:bCs/>
              </w:rPr>
              <w:t>小梅沙海洋馆：</w:t>
            </w:r>
            <w:r>
              <w:rPr>
                <w:rFonts w:hint="eastAsia"/>
              </w:rPr>
              <w:t>规划建设集海洋动物展示、科普、表演旅游等功能于一体的综合性海洋主题公园。</w:t>
            </w:r>
          </w:p>
          <w:p>
            <w:pPr>
              <w:pStyle w:val="82"/>
              <w:keepNext w:val="0"/>
              <w:keepLines w:val="0"/>
              <w:suppressLineNumbers w:val="0"/>
              <w:spacing w:before="0" w:beforeAutospacing="0" w:afterAutospacing="0"/>
              <w:ind w:left="0" w:right="0"/>
              <w:rPr>
                <w:rFonts w:hint="eastAsia"/>
              </w:rPr>
            </w:pPr>
            <w:r>
              <w:rPr>
                <w:rFonts w:hint="eastAsia"/>
                <w:b/>
                <w:bCs/>
              </w:rPr>
              <w:t>大鹏所城综合整治和风貌提升：</w:t>
            </w:r>
            <w:r>
              <w:rPr>
                <w:rFonts w:hint="eastAsia"/>
              </w:rPr>
              <w:t>坚持文物、村落环境和自然山水环境的整体保护，保护和延续文物及周边环境的历史形态，保留与其相关的历史信息和文化内涵，从文物保护的角度出发，进行环境整治和品质提升，打造成为包含海防文化体验、爱国主义教育、非遗文化活动、家园乡愁旅居的海防文旅小镇、粤港澳大湾区海防文化活态旅游区。</w:t>
            </w:r>
          </w:p>
          <w:p>
            <w:pPr>
              <w:pStyle w:val="82"/>
              <w:keepNext w:val="0"/>
              <w:keepLines w:val="0"/>
              <w:suppressLineNumbers w:val="0"/>
              <w:spacing w:before="0" w:beforeAutospacing="0" w:afterAutospacing="0"/>
              <w:ind w:left="0" w:right="0"/>
              <w:rPr>
                <w:rFonts w:hint="eastAsia"/>
              </w:rPr>
            </w:pPr>
            <w:r>
              <w:rPr>
                <w:rFonts w:hint="eastAsia"/>
                <w:b/>
                <w:bCs/>
              </w:rPr>
              <w:t>高水平海上体育赛事：</w:t>
            </w:r>
            <w:r>
              <w:rPr>
                <w:rFonts w:hint="eastAsia"/>
              </w:rPr>
              <w:t>2021-2025年世界帆船对抗巡回赛（深圳·宝安）总决赛暨世界湾区帆船赛；2021-2023年粤港澳大湾区帆船联赛暨俱乐部帆船联赛等海洋赛事；世界水翼帆板锦标赛亚洲分站赛等。</w:t>
            </w:r>
          </w:p>
          <w:p>
            <w:pPr>
              <w:pStyle w:val="82"/>
              <w:keepNext w:val="0"/>
              <w:keepLines w:val="0"/>
              <w:suppressLineNumbers w:val="0"/>
              <w:spacing w:before="0" w:beforeAutospacing="0" w:afterAutospacing="0"/>
              <w:ind w:left="0" w:right="0"/>
              <w:rPr>
                <w:rFonts w:hint="eastAsia"/>
              </w:rPr>
            </w:pPr>
            <w:r>
              <w:rPr>
                <w:rFonts w:hint="eastAsia"/>
                <w:b/>
                <w:bCs/>
              </w:rPr>
              <w:t>深圳市全域智慧旅游平台（海洋板块建设）。</w:t>
            </w:r>
            <w:r>
              <w:rPr>
                <w:rFonts w:hint="eastAsia"/>
              </w:rPr>
              <w:t>搭建深圳旅游数据一体化平台，增加海洋主题和旅游场景服务，构建用户业务与AI能力支撑，开通游客服务端门户和政府端门户，建设旅游服务类、旅游监管类和分析研判类业务系统，进行景区客流检测系统和智慧全域旅游运行中心改造提升。</w:t>
            </w:r>
          </w:p>
          <w:p>
            <w:pPr>
              <w:pStyle w:val="82"/>
              <w:keepNext w:val="0"/>
              <w:keepLines w:val="0"/>
              <w:suppressLineNumbers w:val="0"/>
              <w:spacing w:before="0" w:beforeAutospacing="0" w:afterAutospacing="0"/>
              <w:ind w:left="0" w:right="0"/>
              <w:rPr>
                <w:rFonts w:hint="eastAsia"/>
              </w:rPr>
            </w:pPr>
            <w:r>
              <w:rPr>
                <w:rFonts w:hint="eastAsia"/>
                <w:b/>
                <w:bCs/>
              </w:rPr>
              <w:t>中国邮轮旅游发展试验区：</w:t>
            </w:r>
            <w:r>
              <w:rPr>
                <w:rFonts w:hint="eastAsia"/>
              </w:rPr>
              <w:t>加快邮轮母港基础设施和综合交通网络体系建设，完善邮轮旅游集散、邮轮旅游消费体验等公共服务功能，打造国际一流邮轮母港。</w:t>
            </w:r>
          </w:p>
          <w:p>
            <w:pPr>
              <w:pStyle w:val="82"/>
              <w:keepNext w:val="0"/>
              <w:keepLines w:val="0"/>
              <w:suppressLineNumbers w:val="0"/>
              <w:spacing w:before="0" w:beforeAutospacing="0" w:afterAutospacing="0"/>
              <w:ind w:left="0" w:right="0"/>
              <w:rPr>
                <w:rFonts w:hint="eastAsia"/>
              </w:rPr>
            </w:pPr>
            <w:r>
              <w:rPr>
                <w:rFonts w:hint="eastAsia"/>
                <w:b/>
                <w:bCs/>
              </w:rPr>
              <w:t>粤港澳国际游艇旅游自由港：</w:t>
            </w:r>
            <w:r>
              <w:rPr>
                <w:rFonts w:hint="eastAsia"/>
              </w:rPr>
              <w:t>推动探讨研究简化邮轮、游艇及游客出入境手续，建设粤港澳国际游艇旅游自由港，推行对接港澳游艇出入境、活动监管、人员货物通关等开放措施；重点推动国际游艇旅游自由港管理体制机制改革，强化自由港基础设施建设，支持综合服务配套体系建设。</w:t>
            </w:r>
          </w:p>
        </w:tc>
      </w:tr>
    </w:tbl>
    <w:p>
      <w:pPr>
        <w:pStyle w:val="3"/>
        <w:spacing w:before="190" w:after="76"/>
      </w:pPr>
      <w:bookmarkStart w:id="188" w:name="_Toc89354291"/>
      <w:bookmarkEnd w:id="188"/>
      <w:bookmarkStart w:id="189" w:name="_Toc89698329"/>
      <w:bookmarkEnd w:id="189"/>
      <w:bookmarkStart w:id="190" w:name="_Toc89693160"/>
      <w:bookmarkEnd w:id="190"/>
      <w:bookmarkStart w:id="191" w:name="_Toc89693117"/>
      <w:bookmarkEnd w:id="191"/>
      <w:bookmarkStart w:id="192" w:name="_Toc89691967"/>
      <w:bookmarkEnd w:id="192"/>
      <w:bookmarkStart w:id="193" w:name="_Toc89356608"/>
      <w:bookmarkEnd w:id="193"/>
      <w:bookmarkStart w:id="194" w:name="_Toc89354389"/>
      <w:bookmarkEnd w:id="194"/>
      <w:bookmarkStart w:id="195" w:name="_Toc89701333"/>
      <w:bookmarkEnd w:id="195"/>
      <w:bookmarkStart w:id="196" w:name="_Toc89694304"/>
      <w:bookmarkEnd w:id="196"/>
      <w:bookmarkStart w:id="197" w:name="_Toc2140391627"/>
      <w:bookmarkStart w:id="198" w:name="_Toc88503916"/>
      <w:bookmarkStart w:id="199" w:name="_Toc88504488"/>
      <w:r>
        <w:rPr>
          <w:rFonts w:hint="eastAsia"/>
          <w:lang w:eastAsia="zh-CN"/>
        </w:rPr>
        <w:t>提升</w:t>
      </w:r>
      <w:r>
        <w:rPr>
          <w:rFonts w:hint="eastAsia"/>
        </w:rPr>
        <w:t>海洋</w:t>
      </w:r>
      <w:r>
        <w:rPr>
          <w:rFonts w:hint="eastAsia"/>
          <w:lang w:eastAsia="zh-CN"/>
        </w:rPr>
        <w:t>油气和矿产资源</w:t>
      </w:r>
      <w:r>
        <w:rPr>
          <w:rFonts w:hint="eastAsia"/>
        </w:rPr>
        <w:t>开发</w:t>
      </w:r>
      <w:r>
        <w:rPr>
          <w:rFonts w:hint="eastAsia"/>
          <w:lang w:eastAsia="zh-CN"/>
        </w:rPr>
        <w:t>能力</w:t>
      </w:r>
      <w:bookmarkEnd w:id="197"/>
      <w:bookmarkEnd w:id="198"/>
      <w:bookmarkEnd w:id="199"/>
    </w:p>
    <w:p>
      <w:pPr>
        <w:pStyle w:val="50"/>
      </w:pPr>
      <w:r>
        <w:rPr>
          <w:rFonts w:hint="eastAsia"/>
          <w:b/>
          <w:bCs/>
        </w:rPr>
        <w:t>推动海洋油气开发。</w:t>
      </w:r>
      <w:r>
        <w:rPr>
          <w:rFonts w:hint="eastAsia"/>
        </w:rPr>
        <w:t>充分依托油气和矿产开发基础，加强南海资源开发综合保障。推动海洋油气增储上产，支持油气增储上产重大项目，加大深层深水、高压低渗油气田勘探开发力度，保障国家能源安全。支持海洋油气开发向数字化、智能化转型。加大绿色低碳技术研究，探索开展海上二氧化碳封存试验工程，推动海上油田绿色低碳开发。积极争取油气龙头企业在深圳设立区域总部，带动相关产业共同发展。积极推动建设L</w:t>
      </w:r>
      <w:r>
        <w:t>NG</w:t>
      </w:r>
      <w:r>
        <w:rPr>
          <w:rFonts w:hint="eastAsia"/>
        </w:rPr>
        <w:t>应急调峰站、接收站、动力船舶等项目，提升天然气供应保障和应急储备能力，带动L</w:t>
      </w:r>
      <w:r>
        <w:t>NG</w:t>
      </w:r>
      <w:r>
        <w:rPr>
          <w:rFonts w:hint="eastAsia"/>
        </w:rPr>
        <w:t>储运设施产业链发展，探索建设天然气交易中心和L</w:t>
      </w:r>
      <w:r>
        <w:t>NG</w:t>
      </w:r>
      <w:r>
        <w:rPr>
          <w:rFonts w:hint="eastAsia"/>
        </w:rPr>
        <w:t>期货交易中心。</w:t>
      </w:r>
    </w:p>
    <w:p>
      <w:pPr>
        <w:pStyle w:val="50"/>
      </w:pPr>
      <w:r>
        <w:rPr>
          <w:rFonts w:hint="eastAsia"/>
          <w:b/>
          <w:bCs/>
        </w:rPr>
        <w:t>加快海洋矿产勘探开采和技术研发。</w:t>
      </w:r>
      <w:r>
        <w:rPr>
          <w:rFonts w:hint="eastAsia"/>
        </w:rPr>
        <w:t>开展深远海资源能源调查，支持新技术和智能装备的研发；聚焦深海矿产资源精细化、智能化勘探技术与装备研究；积极推进多金属结核等海底矿产资源勘、采、储、运的关键技术。开展深海矿产资源绿色、安全、经济开发与环境的相互影响评价技术。</w:t>
      </w:r>
    </w:p>
    <w:tbl>
      <w:tblPr>
        <w:tblStyle w:val="3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83"/>
              <w:keepNext w:val="0"/>
              <w:keepLines w:val="0"/>
              <w:suppressLineNumbers w:val="0"/>
              <w:spacing w:before="190" w:beforeAutospacing="0" w:after="190" w:afterAutospacing="0"/>
              <w:ind w:left="0" w:right="0"/>
              <w:rPr>
                <w:rFonts w:hint="eastAsia"/>
              </w:rPr>
            </w:pPr>
            <w:r>
              <w:rPr>
                <w:rFonts w:hint="eastAsia"/>
              </w:rPr>
              <w:t>专栏</w:t>
            </w:r>
            <w:r>
              <w:rPr>
                <w:rFonts w:hint="default"/>
                <w:lang w:val="en"/>
              </w:rPr>
              <w:t>12</w:t>
            </w:r>
            <w:r>
              <w:rPr>
                <w:rFonts w:hint="eastAsia"/>
              </w:rPr>
              <w:t>：海洋油气与矿产资源开发能力提升</w:t>
            </w:r>
          </w:p>
          <w:p>
            <w:pPr>
              <w:pStyle w:val="82"/>
              <w:keepNext w:val="0"/>
              <w:keepLines w:val="0"/>
              <w:suppressLineNumbers w:val="0"/>
              <w:spacing w:before="0" w:beforeAutospacing="0" w:afterAutospacing="0"/>
              <w:ind w:left="0" w:right="0"/>
              <w:rPr>
                <w:rFonts w:hint="eastAsia"/>
              </w:rPr>
            </w:pPr>
            <w:r>
              <w:rPr>
                <w:rFonts w:hint="eastAsia"/>
                <w:b/>
                <w:bCs/>
              </w:rPr>
              <w:t>深海能源开发数字智能分析平台：</w:t>
            </w:r>
            <w:r>
              <w:rPr>
                <w:rFonts w:hint="eastAsia"/>
              </w:rPr>
              <w:t>把握油气数字化和智能化发展趋势，围绕深水油气、可燃冰开发、海洋风电等领域，研究建设深海能源开发关键共性技术平台，突破一批深海能源开发关键技术和装备，解决行业关键共性技术和企业痛点问题，助力深圳打造南海油气开战略决策中心和南海开发战略保障基地。</w:t>
            </w:r>
          </w:p>
          <w:p>
            <w:pPr>
              <w:pStyle w:val="82"/>
              <w:keepNext w:val="0"/>
              <w:keepLines w:val="0"/>
              <w:suppressLineNumbers w:val="0"/>
              <w:spacing w:before="0" w:beforeAutospacing="0" w:afterAutospacing="0"/>
              <w:ind w:left="0" w:right="0"/>
              <w:rPr>
                <w:rFonts w:hint="eastAsia"/>
              </w:rPr>
            </w:pPr>
            <w:r>
              <w:rPr>
                <w:rFonts w:hint="eastAsia"/>
                <w:b/>
                <w:bCs/>
              </w:rPr>
              <w:t>海洋油气增储上产重大项目：</w:t>
            </w:r>
            <w:r>
              <w:rPr>
                <w:rFonts w:hint="eastAsia"/>
              </w:rPr>
              <w:t>陆丰区域开发项目、流花11-1/4-1油田二次开发项目、恩平15-1等油田开发项目、陆丰12-3油田开发项目、惠州26-6油田开发项目等。</w:t>
            </w:r>
          </w:p>
          <w:p>
            <w:pPr>
              <w:pStyle w:val="82"/>
              <w:keepNext w:val="0"/>
              <w:keepLines w:val="0"/>
              <w:suppressLineNumbers w:val="0"/>
              <w:spacing w:before="0" w:beforeAutospacing="0" w:afterAutospacing="0"/>
              <w:ind w:left="0" w:right="0"/>
              <w:rPr>
                <w:rFonts w:hint="eastAsia"/>
              </w:rPr>
            </w:pPr>
            <w:r>
              <w:rPr>
                <w:rFonts w:hint="eastAsia"/>
                <w:b/>
                <w:bCs/>
              </w:rPr>
              <w:t>深圳东部LNG基地：</w:t>
            </w:r>
            <w:r>
              <w:rPr>
                <w:rFonts w:hint="eastAsia"/>
              </w:rPr>
              <w:t>在深圳东部建立综合能源发展基地，推动大鹏、盐田建设海上国际LNG加注中心和天然气储运基地等，推进深圳市天然气储备与调峰库二期扩建工程、广东大鹏LNG接收站扩建工程和深圳市大鹏LNG冷能发电及梯级利用等项目。鼓励LNG动力海船燃料加注在盐田港、大鹏湾先行先试，推动出台LNG加注操作和安全监管相关规程，开展国际航行船舶保税LNG等清洁燃料加注等业务。</w:t>
            </w:r>
          </w:p>
        </w:tc>
      </w:tr>
    </w:tbl>
    <w:p>
      <w:pPr>
        <w:pStyle w:val="3"/>
        <w:spacing w:before="190" w:after="76"/>
      </w:pPr>
      <w:bookmarkStart w:id="200" w:name="_Toc88504489"/>
      <w:bookmarkStart w:id="201" w:name="_Toc1217645774"/>
      <w:bookmarkStart w:id="202" w:name="_Toc88503917"/>
      <w:r>
        <w:rPr>
          <w:rFonts w:hint="eastAsia"/>
        </w:rPr>
        <w:t>加快海洋渔业转型升级</w:t>
      </w:r>
      <w:bookmarkEnd w:id="200"/>
      <w:bookmarkEnd w:id="201"/>
      <w:bookmarkEnd w:id="202"/>
    </w:p>
    <w:p>
      <w:pPr>
        <w:pStyle w:val="50"/>
      </w:pPr>
      <w:r>
        <w:rPr>
          <w:rFonts w:hint="eastAsia"/>
          <w:b/>
          <w:bCs/>
        </w:rPr>
        <w:t>推动远洋渔业做优做强。</w:t>
      </w:r>
      <w:r>
        <w:rPr>
          <w:rFonts w:hint="eastAsia"/>
        </w:rPr>
        <w:t>规划建设国家远洋渔业基地和国际金枪鱼交易中心，加速布局海外远洋渔业基地，提升远洋渔业的全球资源配置能力和国际话语权。打造现代化远洋渔业船队，拓展和完善远洋渔业产业链，布局冷链物流、超低温冷库等物流设施，培育国内及粤港澳大湾区高端水产品消费市场。推动远洋渔业与食品、药品开发企业合作，促进远洋渔业向产业链高价值环节跃升。提升远洋渔业企业国际履约能力，促进远洋渔业规范有序发展。</w:t>
      </w:r>
    </w:p>
    <w:p>
      <w:pPr>
        <w:pStyle w:val="50"/>
      </w:pPr>
      <w:r>
        <w:rPr>
          <w:rFonts w:hint="eastAsia"/>
          <w:b/>
          <w:bCs/>
        </w:rPr>
        <w:t>实施水产种业振兴行动。</w:t>
      </w:r>
      <w:r>
        <w:rPr>
          <w:rFonts w:hint="eastAsia"/>
        </w:rPr>
        <w:t>利用深圳海洋+渔业的统筹优势，开展水产养殖种质资源全面普查和种质鉴评，建设南海水生生物种质资源库，保护原良种、繁育新品种。搭建种业科研创新平台，开展种业创新攻关，持续推进育种技术示范应用。筹建</w:t>
      </w:r>
      <w:r>
        <w:rPr>
          <w:rFonts w:hint="eastAsia"/>
          <w:lang w:val="en-US" w:eastAsia="zh-CN"/>
        </w:rPr>
        <w:t>深圳市现代渔业（种业）创新园</w:t>
      </w:r>
      <w:r>
        <w:rPr>
          <w:rFonts w:hint="eastAsia"/>
        </w:rPr>
        <w:t>，打造水产种质遗传育种中心。培育和引进优势特色种业龙头企业，完善种业扶持政策体系，从资源保护、科技攻关、应用推广和交流合作等提供全方位保障，打造水产种业高质量发展的“深圳样板”。</w:t>
      </w:r>
    </w:p>
    <w:p>
      <w:pPr>
        <w:pStyle w:val="50"/>
      </w:pPr>
      <w:r>
        <w:rPr>
          <w:rFonts w:hint="eastAsia"/>
          <w:b/>
          <w:bCs/>
        </w:rPr>
        <w:t>构建现代化高品质渔港群。</w:t>
      </w:r>
      <w:r>
        <w:rPr>
          <w:rFonts w:hint="eastAsia"/>
        </w:rPr>
        <w:t>综合考虑城市建设、生态环境、产业需求、防台防汛功能，差异定位各渔港的主要承载功能及未来转型方向，科学引导蛇口渔港、盐田渔港、南澳渔港等传统渔港转型升级和智慧化改造，形成多港联动、互为支撑的现代化渔港群。加强渔港与周边城区的功能融合、产业协同、风貌协调，打造集渔业、休闲、观光于一体的现代都市渔业空间。</w:t>
      </w:r>
    </w:p>
    <w:p>
      <w:pPr>
        <w:pStyle w:val="50"/>
      </w:pPr>
      <w:r>
        <w:rPr>
          <w:rFonts w:hint="eastAsia"/>
          <w:b/>
          <w:bCs/>
        </w:rPr>
        <w:t>发展现代渔业新业态。</w:t>
      </w:r>
      <w:r>
        <w:rPr>
          <w:rFonts w:hint="eastAsia"/>
        </w:rPr>
        <w:t>加强新技术、新理念运用，整合创新链、产业链和价值链，推动渔业三产融合关键技术和模式创新。引导深远海渔业生产与海洋高端装备、电子信息技术、大数据、人工智能等新兴科技互动发展。打造海洋渔业大数据平台，开展深远海养殖综合平台试点，探索推进“海上风电+现代渔业”融合发展业态。推动渔业精深加工与生命健康产业的广泛融合，加速渔业养殖与生态修复、休闲观光的有机结合，打造渔业健康产品和生态旅游品牌，实现渔业向高价值、高效益、高质量的方向发展。</w:t>
      </w:r>
    </w:p>
    <w:tbl>
      <w:tblPr>
        <w:tblStyle w:val="3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83"/>
              <w:keepNext w:val="0"/>
              <w:keepLines w:val="0"/>
              <w:suppressLineNumbers w:val="0"/>
              <w:spacing w:before="190" w:beforeAutospacing="0" w:after="190" w:afterAutospacing="0"/>
              <w:ind w:left="0" w:right="0"/>
              <w:rPr>
                <w:rFonts w:hint="eastAsia"/>
              </w:rPr>
            </w:pPr>
            <w:r>
              <w:rPr>
                <w:rFonts w:hint="eastAsia"/>
              </w:rPr>
              <w:t>专栏</w:t>
            </w:r>
            <w:r>
              <w:rPr>
                <w:rFonts w:hint="default"/>
                <w:lang w:val="en"/>
              </w:rPr>
              <w:t>13</w:t>
            </w:r>
            <w:r>
              <w:rPr>
                <w:rFonts w:hint="eastAsia"/>
              </w:rPr>
              <w:t>：海洋渔业转型升级</w:t>
            </w:r>
          </w:p>
          <w:p>
            <w:pPr>
              <w:pStyle w:val="82"/>
              <w:keepNext w:val="0"/>
              <w:keepLines w:val="0"/>
              <w:suppressLineNumbers w:val="0"/>
              <w:spacing w:before="0" w:beforeAutospacing="0" w:afterAutospacing="0"/>
              <w:ind w:left="0" w:right="0"/>
              <w:rPr>
                <w:rFonts w:hint="eastAsia"/>
              </w:rPr>
            </w:pPr>
            <w:r>
              <w:rPr>
                <w:rFonts w:hint="eastAsia"/>
                <w:b/>
                <w:bCs/>
              </w:rPr>
              <w:t>国家远洋渔业基地（国际金枪鱼交易中心）</w:t>
            </w:r>
            <w:r>
              <w:rPr>
                <w:rFonts w:hint="eastAsia"/>
              </w:rPr>
              <w:t>：依托大铲湾和深汕港区，规划建设国际金枪鱼交易中心，培育以金枪鱼为代表的中高端远洋水产品消费市场，推动粤港澳大湾区及国内消费升级；在深汕港区引入储藏、冷链物流、精深加工、研发检测等机构，不断完善、壮大远洋渔业产业链，提升远洋渔业全球资源配置能力。</w:t>
            </w:r>
          </w:p>
          <w:p>
            <w:pPr>
              <w:pStyle w:val="82"/>
              <w:keepNext w:val="0"/>
              <w:keepLines w:val="0"/>
              <w:suppressLineNumbers w:val="0"/>
              <w:spacing w:before="0" w:beforeAutospacing="0" w:afterAutospacing="0"/>
              <w:ind w:left="0" w:right="0"/>
              <w:rPr>
                <w:rFonts w:hint="eastAsia"/>
              </w:rPr>
            </w:pPr>
            <w:r>
              <w:rPr>
                <w:rFonts w:hint="eastAsia"/>
                <w:b/>
                <w:bCs/>
              </w:rPr>
              <w:t>密克罗尼西亚远洋渔业基地</w:t>
            </w:r>
            <w:r>
              <w:rPr>
                <w:rFonts w:hint="eastAsia"/>
              </w:rPr>
              <w:t>：打造集养殖、冷冻、贸易、转运等系列高增值服务环节于一体的金枪鱼产业链，推动中密渔业经济、政策、资金、技术、信息交流与合作，构建我国在南太平洋地区远洋渔业发展的重要战略支点。</w:t>
            </w:r>
          </w:p>
          <w:p>
            <w:pPr>
              <w:pStyle w:val="82"/>
              <w:keepNext w:val="0"/>
              <w:keepLines w:val="0"/>
              <w:suppressLineNumbers w:val="0"/>
              <w:spacing w:before="0" w:beforeAutospacing="0" w:afterAutospacing="0"/>
              <w:ind w:left="0" w:right="0"/>
              <w:rPr>
                <w:rFonts w:hint="eastAsia"/>
              </w:rPr>
            </w:pPr>
            <w:r>
              <w:rPr>
                <w:rFonts w:hint="eastAsia"/>
                <w:b/>
                <w:bCs/>
              </w:rPr>
              <w:t>渔港升级改造工程</w:t>
            </w:r>
            <w:r>
              <w:rPr>
                <w:rFonts w:hint="eastAsia"/>
              </w:rPr>
              <w:t>：打造蛇口</w:t>
            </w:r>
            <w:r>
              <w:rPr>
                <w:rFonts w:hint="eastAsia"/>
                <w:lang w:eastAsia="zh-CN"/>
              </w:rPr>
              <w:t>、</w:t>
            </w:r>
            <w:r>
              <w:rPr>
                <w:rFonts w:hint="eastAsia"/>
                <w:lang w:val="en-US" w:eastAsia="zh-CN"/>
              </w:rPr>
              <w:t>盐田</w:t>
            </w:r>
            <w:r>
              <w:rPr>
                <w:rFonts w:hint="eastAsia"/>
              </w:rPr>
              <w:t>都市休闲渔港，保留南澳渔港传统特色，提升渔港现代化、智慧化水平。</w:t>
            </w:r>
          </w:p>
          <w:p>
            <w:pPr>
              <w:pStyle w:val="82"/>
              <w:keepNext w:val="0"/>
              <w:keepLines w:val="0"/>
              <w:suppressLineNumbers w:val="0"/>
              <w:spacing w:before="0" w:beforeAutospacing="0" w:afterAutospacing="0"/>
              <w:ind w:left="0" w:right="0"/>
              <w:rPr>
                <w:rFonts w:hint="eastAsia"/>
              </w:rPr>
            </w:pPr>
            <w:r>
              <w:rPr>
                <w:rFonts w:hint="eastAsia"/>
                <w:b/>
                <w:bCs/>
              </w:rPr>
              <w:t>深圳市现代渔业（种业）创新园</w:t>
            </w:r>
            <w:r>
              <w:rPr>
                <w:rFonts w:hint="eastAsia"/>
              </w:rPr>
              <w:t>：</w:t>
            </w:r>
            <w:r>
              <w:rPr>
                <w:rFonts w:hint="eastAsia"/>
                <w:lang w:val="en-US" w:eastAsia="zh-CN"/>
              </w:rPr>
              <w:t>建设</w:t>
            </w:r>
            <w:r>
              <w:rPr>
                <w:rFonts w:hint="eastAsia"/>
              </w:rPr>
              <w:t>水产公共试验平台、育种研发中心、智慧渔业工厂、水生野生动物救护区等配套设施。</w:t>
            </w:r>
          </w:p>
          <w:p>
            <w:pPr>
              <w:pStyle w:val="82"/>
              <w:keepNext w:val="0"/>
              <w:keepLines w:val="0"/>
              <w:suppressLineNumbers w:val="0"/>
              <w:spacing w:before="0" w:beforeAutospacing="0" w:afterAutospacing="0"/>
              <w:ind w:left="0" w:right="0"/>
              <w:rPr>
                <w:rFonts w:hint="eastAsia"/>
              </w:rPr>
            </w:pPr>
            <w:r>
              <w:rPr>
                <w:rFonts w:hint="eastAsia"/>
                <w:b/>
                <w:bCs/>
              </w:rPr>
              <w:t>智慧渔业大数据平台</w:t>
            </w:r>
            <w:r>
              <w:rPr>
                <w:rFonts w:hint="eastAsia"/>
              </w:rPr>
              <w:t>：依托我国卫星资源，应用互联网、大数据、人工智能、云计算等新一代信息通讯技术，构建“渔船、渔民、渔获、渔港”四渔一体的海上互联网，实现海上渔业生产活动的全要素全天候在线监控，汇聚融合海洋环境、海洋资源、海洋政务等多源数据，打造海洋渔业大数据平台。</w:t>
            </w:r>
          </w:p>
        </w:tc>
      </w:tr>
    </w:tbl>
    <w:p>
      <w:pPr>
        <w:pStyle w:val="2"/>
        <w:spacing w:before="190"/>
        <w:rPr>
          <w:sz w:val="22"/>
          <w:szCs w:val="32"/>
        </w:rPr>
      </w:pPr>
      <w:bookmarkStart w:id="203" w:name="_Toc88504914"/>
      <w:bookmarkEnd w:id="203"/>
      <w:bookmarkStart w:id="204" w:name="_Toc85731814"/>
      <w:bookmarkEnd w:id="204"/>
      <w:bookmarkStart w:id="205" w:name="_Toc85731728"/>
      <w:bookmarkEnd w:id="205"/>
      <w:bookmarkStart w:id="206" w:name="_Toc88507617"/>
      <w:bookmarkEnd w:id="206"/>
      <w:bookmarkStart w:id="207" w:name="_Toc88504840"/>
      <w:bookmarkEnd w:id="207"/>
      <w:bookmarkStart w:id="208" w:name="_Toc88505122"/>
      <w:bookmarkEnd w:id="208"/>
      <w:bookmarkStart w:id="209" w:name="_Toc88505107"/>
      <w:bookmarkEnd w:id="209"/>
      <w:bookmarkStart w:id="210" w:name="_Toc87531249"/>
      <w:bookmarkEnd w:id="210"/>
      <w:bookmarkStart w:id="211" w:name="_Toc88508229"/>
      <w:bookmarkEnd w:id="211"/>
      <w:bookmarkStart w:id="212" w:name="_Toc88504803"/>
      <w:bookmarkEnd w:id="212"/>
      <w:bookmarkStart w:id="213" w:name="_Toc88508277"/>
      <w:bookmarkEnd w:id="213"/>
      <w:bookmarkStart w:id="214" w:name="_Toc88503816"/>
      <w:bookmarkEnd w:id="214"/>
      <w:bookmarkStart w:id="215" w:name="_Toc88504522"/>
      <w:bookmarkEnd w:id="215"/>
      <w:bookmarkStart w:id="216" w:name="_Toc86910672"/>
      <w:bookmarkEnd w:id="216"/>
      <w:bookmarkStart w:id="217" w:name="_Toc88503921"/>
      <w:bookmarkEnd w:id="217"/>
      <w:bookmarkStart w:id="218" w:name="_Toc88504514"/>
      <w:bookmarkEnd w:id="218"/>
      <w:bookmarkStart w:id="219" w:name="_Toc88504091"/>
      <w:bookmarkEnd w:id="219"/>
      <w:bookmarkStart w:id="220" w:name="_Toc87887524"/>
      <w:bookmarkEnd w:id="220"/>
      <w:bookmarkStart w:id="221" w:name="_Toc88505065"/>
      <w:bookmarkEnd w:id="221"/>
      <w:bookmarkStart w:id="222" w:name="_Toc88503849"/>
      <w:bookmarkEnd w:id="222"/>
      <w:bookmarkStart w:id="223" w:name="_Toc88503824"/>
      <w:bookmarkEnd w:id="223"/>
      <w:bookmarkStart w:id="224" w:name="_Toc88504245"/>
      <w:bookmarkEnd w:id="224"/>
      <w:bookmarkStart w:id="225" w:name="_Toc88505259"/>
      <w:bookmarkEnd w:id="225"/>
      <w:bookmarkStart w:id="226" w:name="_Toc88503960"/>
      <w:bookmarkEnd w:id="226"/>
      <w:bookmarkStart w:id="227" w:name="_Toc88507436"/>
      <w:bookmarkEnd w:id="227"/>
      <w:bookmarkStart w:id="228" w:name="_Toc88508267"/>
      <w:bookmarkEnd w:id="228"/>
      <w:bookmarkStart w:id="229" w:name="_Toc88064701"/>
      <w:bookmarkEnd w:id="229"/>
      <w:bookmarkStart w:id="230" w:name="_Toc88504995"/>
      <w:bookmarkEnd w:id="230"/>
      <w:bookmarkStart w:id="231" w:name="_Toc88504397"/>
      <w:bookmarkEnd w:id="231"/>
      <w:bookmarkStart w:id="232" w:name="_Toc88504939"/>
      <w:bookmarkEnd w:id="232"/>
      <w:bookmarkStart w:id="233" w:name="_Toc88505052"/>
      <w:bookmarkEnd w:id="233"/>
      <w:bookmarkStart w:id="234" w:name="_Toc88505094"/>
      <w:bookmarkEnd w:id="234"/>
      <w:bookmarkStart w:id="235" w:name="_Toc88504123"/>
      <w:bookmarkEnd w:id="235"/>
      <w:bookmarkStart w:id="236" w:name="_Toc87461933"/>
      <w:bookmarkEnd w:id="236"/>
      <w:bookmarkStart w:id="237" w:name="_Toc87459832"/>
      <w:bookmarkEnd w:id="237"/>
      <w:bookmarkStart w:id="238" w:name="_Toc88504385"/>
      <w:bookmarkEnd w:id="238"/>
      <w:bookmarkStart w:id="239" w:name="_Toc87531116"/>
      <w:bookmarkEnd w:id="239"/>
      <w:bookmarkStart w:id="240" w:name="_Toc88507447"/>
      <w:bookmarkEnd w:id="240"/>
      <w:bookmarkStart w:id="241" w:name="_Toc88504092"/>
      <w:bookmarkEnd w:id="241"/>
      <w:bookmarkStart w:id="242" w:name="_Toc88161807"/>
      <w:bookmarkEnd w:id="242"/>
      <w:bookmarkStart w:id="243" w:name="_Toc88504927"/>
      <w:bookmarkEnd w:id="243"/>
      <w:bookmarkStart w:id="244" w:name="_Toc88065171"/>
      <w:bookmarkEnd w:id="244"/>
      <w:bookmarkStart w:id="245" w:name="_Toc88508201"/>
      <w:bookmarkEnd w:id="245"/>
      <w:bookmarkStart w:id="246" w:name="_Toc88504841"/>
      <w:bookmarkEnd w:id="246"/>
      <w:bookmarkStart w:id="247" w:name="_Toc88503933"/>
      <w:bookmarkEnd w:id="247"/>
      <w:bookmarkStart w:id="248" w:name="_Toc88504121"/>
      <w:bookmarkEnd w:id="248"/>
      <w:bookmarkStart w:id="249" w:name="_Toc87531117"/>
      <w:bookmarkEnd w:id="249"/>
      <w:bookmarkStart w:id="250" w:name="_Toc87887526"/>
      <w:bookmarkEnd w:id="250"/>
      <w:bookmarkStart w:id="251" w:name="_Toc88503943"/>
      <w:bookmarkEnd w:id="251"/>
      <w:bookmarkStart w:id="252" w:name="_Toc88507465"/>
      <w:bookmarkEnd w:id="252"/>
      <w:bookmarkStart w:id="253" w:name="_Toc88505085"/>
      <w:bookmarkEnd w:id="253"/>
      <w:bookmarkStart w:id="254" w:name="_Toc88503973"/>
      <w:bookmarkEnd w:id="254"/>
      <w:bookmarkStart w:id="255" w:name="_Toc88505348"/>
      <w:bookmarkEnd w:id="255"/>
      <w:bookmarkStart w:id="256" w:name="_Toc87887235"/>
      <w:bookmarkEnd w:id="256"/>
      <w:bookmarkStart w:id="257" w:name="_Toc88504279"/>
      <w:bookmarkEnd w:id="257"/>
      <w:bookmarkStart w:id="258" w:name="_Toc87459814"/>
      <w:bookmarkEnd w:id="258"/>
      <w:bookmarkStart w:id="259" w:name="_Toc88504812"/>
      <w:bookmarkEnd w:id="259"/>
      <w:bookmarkStart w:id="260" w:name="_Toc88503822"/>
      <w:bookmarkEnd w:id="260"/>
      <w:bookmarkStart w:id="261" w:name="_Toc88504982"/>
      <w:bookmarkEnd w:id="261"/>
      <w:bookmarkStart w:id="262" w:name="_Toc88503942"/>
      <w:bookmarkEnd w:id="262"/>
      <w:bookmarkStart w:id="263" w:name="_Toc88504970"/>
      <w:bookmarkEnd w:id="263"/>
      <w:bookmarkStart w:id="264" w:name="_Toc88507433"/>
      <w:bookmarkEnd w:id="264"/>
      <w:bookmarkStart w:id="265" w:name="_Toc88504148"/>
      <w:bookmarkEnd w:id="265"/>
      <w:bookmarkStart w:id="266" w:name="_Toc87462107"/>
      <w:bookmarkEnd w:id="266"/>
      <w:bookmarkStart w:id="267" w:name="_Toc87517201"/>
      <w:bookmarkEnd w:id="267"/>
      <w:bookmarkStart w:id="268" w:name="_Toc88505231"/>
      <w:bookmarkEnd w:id="268"/>
      <w:bookmarkStart w:id="269" w:name="_Toc88507477"/>
      <w:bookmarkEnd w:id="269"/>
      <w:bookmarkStart w:id="270" w:name="_Toc87461928"/>
      <w:bookmarkEnd w:id="270"/>
      <w:bookmarkStart w:id="271" w:name="_Toc88503783"/>
      <w:bookmarkEnd w:id="271"/>
      <w:bookmarkStart w:id="272" w:name="_Toc88503836"/>
      <w:bookmarkEnd w:id="272"/>
      <w:bookmarkStart w:id="273" w:name="_Toc88504098"/>
      <w:bookmarkEnd w:id="273"/>
      <w:bookmarkStart w:id="274" w:name="_Toc88503813"/>
      <w:bookmarkEnd w:id="274"/>
      <w:bookmarkStart w:id="275" w:name="_Toc88503853"/>
      <w:bookmarkEnd w:id="275"/>
      <w:bookmarkStart w:id="276" w:name="_Toc88503951"/>
      <w:bookmarkEnd w:id="276"/>
      <w:bookmarkStart w:id="277" w:name="_Toc88507448"/>
      <w:bookmarkEnd w:id="277"/>
      <w:bookmarkStart w:id="278" w:name="_Toc88504434"/>
      <w:bookmarkEnd w:id="278"/>
      <w:bookmarkStart w:id="279" w:name="_Toc87462117"/>
      <w:bookmarkEnd w:id="279"/>
      <w:bookmarkStart w:id="280" w:name="_Toc88505130"/>
      <w:bookmarkEnd w:id="280"/>
      <w:bookmarkStart w:id="281" w:name="_Toc88504946"/>
      <w:bookmarkEnd w:id="281"/>
      <w:bookmarkStart w:id="282" w:name="_Toc88503806"/>
      <w:bookmarkEnd w:id="282"/>
      <w:bookmarkStart w:id="283" w:name="_Toc88504928"/>
      <w:bookmarkEnd w:id="283"/>
      <w:bookmarkStart w:id="284" w:name="_Toc87531576"/>
      <w:bookmarkEnd w:id="284"/>
      <w:bookmarkStart w:id="285" w:name="_Toc88503998"/>
      <w:bookmarkEnd w:id="285"/>
      <w:bookmarkStart w:id="286" w:name="_Toc87459827"/>
      <w:bookmarkEnd w:id="286"/>
      <w:bookmarkStart w:id="287" w:name="_Toc87531119"/>
      <w:bookmarkEnd w:id="287"/>
      <w:bookmarkStart w:id="288" w:name="_Toc88505349"/>
      <w:bookmarkEnd w:id="288"/>
      <w:bookmarkStart w:id="289" w:name="_Toc88503825"/>
      <w:bookmarkEnd w:id="289"/>
      <w:bookmarkStart w:id="290" w:name="_Toc88504384"/>
      <w:bookmarkEnd w:id="290"/>
      <w:bookmarkStart w:id="291" w:name="_Toc88507585"/>
      <w:bookmarkEnd w:id="291"/>
      <w:bookmarkStart w:id="292" w:name="_Toc88503988"/>
      <w:bookmarkEnd w:id="292"/>
      <w:bookmarkStart w:id="293" w:name="_Toc88503987"/>
      <w:bookmarkEnd w:id="293"/>
      <w:bookmarkStart w:id="294" w:name="_Toc88504395"/>
      <w:bookmarkEnd w:id="294"/>
      <w:bookmarkStart w:id="295" w:name="_Toc88505095"/>
      <w:bookmarkEnd w:id="295"/>
      <w:bookmarkStart w:id="296" w:name="_Toc87530983"/>
      <w:bookmarkEnd w:id="296"/>
      <w:bookmarkStart w:id="297" w:name="_Toc88065173"/>
      <w:bookmarkEnd w:id="297"/>
      <w:bookmarkStart w:id="298" w:name="_Toc87517190"/>
      <w:bookmarkEnd w:id="298"/>
      <w:bookmarkStart w:id="299" w:name="_Toc88505368"/>
      <w:bookmarkEnd w:id="299"/>
      <w:bookmarkStart w:id="300" w:name="_Toc88505133"/>
      <w:bookmarkEnd w:id="300"/>
      <w:bookmarkStart w:id="301" w:name="_Toc88507501"/>
      <w:bookmarkEnd w:id="301"/>
      <w:bookmarkStart w:id="302" w:name="_Toc88504424"/>
      <w:bookmarkEnd w:id="302"/>
      <w:bookmarkStart w:id="303" w:name="_Toc88504996"/>
      <w:bookmarkEnd w:id="303"/>
      <w:bookmarkStart w:id="304" w:name="_Toc87517225"/>
      <w:bookmarkEnd w:id="304"/>
      <w:bookmarkStart w:id="305" w:name="_Toc88503861"/>
      <w:bookmarkEnd w:id="305"/>
      <w:bookmarkStart w:id="306" w:name="_Toc88505096"/>
      <w:bookmarkEnd w:id="306"/>
      <w:bookmarkStart w:id="307" w:name="_Toc87461896"/>
      <w:bookmarkEnd w:id="307"/>
      <w:bookmarkStart w:id="308" w:name="_Toc88507522"/>
      <w:bookmarkEnd w:id="308"/>
      <w:bookmarkStart w:id="309" w:name="_Toc88504959"/>
      <w:bookmarkEnd w:id="309"/>
      <w:bookmarkStart w:id="310" w:name="_Toc87462081"/>
      <w:bookmarkEnd w:id="310"/>
      <w:bookmarkStart w:id="311" w:name="_Toc88508188"/>
      <w:bookmarkEnd w:id="311"/>
      <w:bookmarkStart w:id="312" w:name="_Toc88504353"/>
      <w:bookmarkEnd w:id="312"/>
      <w:bookmarkStart w:id="313" w:name="_Toc88505084"/>
      <w:bookmarkEnd w:id="313"/>
      <w:bookmarkStart w:id="314" w:name="_Toc88504255"/>
      <w:bookmarkEnd w:id="314"/>
      <w:bookmarkStart w:id="315" w:name="_Toc88508223"/>
      <w:bookmarkEnd w:id="315"/>
      <w:bookmarkStart w:id="316" w:name="_Toc88504147"/>
      <w:bookmarkEnd w:id="316"/>
      <w:bookmarkStart w:id="317" w:name="_Toc88504425"/>
      <w:bookmarkEnd w:id="317"/>
      <w:bookmarkStart w:id="318" w:name="_Toc88504266"/>
      <w:bookmarkEnd w:id="318"/>
      <w:bookmarkStart w:id="319" w:name="_Toc87462113"/>
      <w:bookmarkEnd w:id="319"/>
      <w:bookmarkStart w:id="320" w:name="_Toc88505365"/>
      <w:bookmarkEnd w:id="320"/>
      <w:bookmarkStart w:id="321" w:name="_Toc88503952"/>
      <w:bookmarkEnd w:id="321"/>
      <w:bookmarkStart w:id="322" w:name="_Toc87462100"/>
      <w:bookmarkEnd w:id="322"/>
      <w:bookmarkStart w:id="323" w:name="_Toc88505187"/>
      <w:bookmarkEnd w:id="323"/>
      <w:bookmarkStart w:id="324" w:name="_Toc88504570"/>
      <w:bookmarkEnd w:id="324"/>
      <w:bookmarkStart w:id="325" w:name="_Toc88507613"/>
      <w:bookmarkEnd w:id="325"/>
      <w:bookmarkStart w:id="326" w:name="_Toc87531115"/>
      <w:bookmarkEnd w:id="326"/>
      <w:bookmarkStart w:id="327" w:name="_Toc88504491"/>
      <w:bookmarkEnd w:id="327"/>
      <w:bookmarkStart w:id="328" w:name="_Toc87517210"/>
      <w:bookmarkEnd w:id="328"/>
      <w:bookmarkStart w:id="329" w:name="_Toc88504813"/>
      <w:bookmarkEnd w:id="329"/>
      <w:bookmarkStart w:id="330" w:name="_Toc87461895"/>
      <w:bookmarkEnd w:id="330"/>
      <w:bookmarkStart w:id="331" w:name="_Toc87530698"/>
      <w:bookmarkEnd w:id="331"/>
      <w:bookmarkStart w:id="332" w:name="_Toc88504211"/>
      <w:bookmarkEnd w:id="332"/>
      <w:bookmarkStart w:id="333" w:name="_Toc88507603"/>
      <w:bookmarkEnd w:id="333"/>
      <w:bookmarkStart w:id="334" w:name="_Toc88504838"/>
      <w:bookmarkEnd w:id="334"/>
      <w:bookmarkStart w:id="335" w:name="_Toc88504109"/>
      <w:bookmarkEnd w:id="335"/>
      <w:bookmarkStart w:id="336" w:name="_Toc87530972"/>
      <w:bookmarkEnd w:id="336"/>
      <w:bookmarkStart w:id="337" w:name="_Toc88504795"/>
      <w:bookmarkEnd w:id="337"/>
      <w:bookmarkStart w:id="338" w:name="_Toc87531269"/>
      <w:bookmarkEnd w:id="338"/>
      <w:bookmarkStart w:id="339" w:name="_Toc88504983"/>
      <w:bookmarkEnd w:id="339"/>
      <w:bookmarkStart w:id="340" w:name="_Toc87530963"/>
      <w:bookmarkEnd w:id="340"/>
      <w:bookmarkStart w:id="341" w:name="_Toc88508222"/>
      <w:bookmarkEnd w:id="341"/>
      <w:bookmarkStart w:id="342" w:name="_Toc87459803"/>
      <w:bookmarkEnd w:id="342"/>
      <w:bookmarkStart w:id="343" w:name="_Toc87530829"/>
      <w:bookmarkEnd w:id="343"/>
      <w:bookmarkStart w:id="344" w:name="_Toc87461923"/>
      <w:bookmarkEnd w:id="344"/>
      <w:bookmarkStart w:id="345" w:name="_Toc88504523"/>
      <w:bookmarkEnd w:id="345"/>
      <w:bookmarkStart w:id="346" w:name="_Toc88507515"/>
      <w:bookmarkEnd w:id="346"/>
      <w:bookmarkStart w:id="347" w:name="_Toc88504984"/>
      <w:bookmarkEnd w:id="347"/>
      <w:bookmarkStart w:id="348" w:name="_Toc88503962"/>
      <w:bookmarkEnd w:id="348"/>
      <w:bookmarkStart w:id="349" w:name="_Toc88504290"/>
      <w:bookmarkEnd w:id="349"/>
      <w:bookmarkStart w:id="350" w:name="_Toc88507587"/>
      <w:bookmarkEnd w:id="350"/>
      <w:bookmarkStart w:id="351" w:name="_Toc88503974"/>
      <w:bookmarkEnd w:id="351"/>
      <w:bookmarkStart w:id="352" w:name="_Toc88504135"/>
      <w:bookmarkEnd w:id="352"/>
      <w:bookmarkStart w:id="353" w:name="_Toc88505324"/>
      <w:bookmarkEnd w:id="353"/>
      <w:bookmarkStart w:id="354" w:name="_Toc88504794"/>
      <w:bookmarkEnd w:id="354"/>
      <w:bookmarkStart w:id="355" w:name="_Toc87459815"/>
      <w:bookmarkEnd w:id="355"/>
      <w:bookmarkStart w:id="356" w:name="_Toc88504396"/>
      <w:bookmarkEnd w:id="356"/>
      <w:bookmarkStart w:id="357" w:name="_Toc87459795"/>
      <w:bookmarkEnd w:id="357"/>
      <w:bookmarkStart w:id="358" w:name="_Toc88507652"/>
      <w:bookmarkEnd w:id="358"/>
      <w:bookmarkStart w:id="359" w:name="_Toc87530974"/>
      <w:bookmarkEnd w:id="359"/>
      <w:bookmarkStart w:id="360" w:name="_Toc88504242"/>
      <w:bookmarkEnd w:id="360"/>
      <w:bookmarkStart w:id="361" w:name="_Toc88503826"/>
      <w:bookmarkEnd w:id="361"/>
      <w:bookmarkStart w:id="362" w:name="_Toc88504801"/>
      <w:bookmarkEnd w:id="362"/>
      <w:bookmarkStart w:id="363" w:name="_Toc88504945"/>
      <w:bookmarkEnd w:id="363"/>
      <w:bookmarkStart w:id="364" w:name="_Toc88504546"/>
      <w:bookmarkEnd w:id="364"/>
      <w:bookmarkStart w:id="365" w:name="_Toc88504771"/>
      <w:bookmarkEnd w:id="365"/>
      <w:bookmarkStart w:id="366" w:name="_Toc87531127"/>
      <w:bookmarkEnd w:id="366"/>
      <w:bookmarkStart w:id="367" w:name="_Toc88507653"/>
      <w:bookmarkEnd w:id="367"/>
      <w:bookmarkStart w:id="368" w:name="_Toc88505269"/>
      <w:bookmarkEnd w:id="368"/>
      <w:bookmarkStart w:id="369" w:name="_Toc88503953"/>
      <w:bookmarkEnd w:id="369"/>
      <w:bookmarkStart w:id="370" w:name="_Toc88507626"/>
      <w:bookmarkEnd w:id="370"/>
      <w:bookmarkStart w:id="371" w:name="_Toc87531001"/>
      <w:bookmarkEnd w:id="371"/>
      <w:bookmarkStart w:id="372" w:name="_Toc87531105"/>
      <w:bookmarkEnd w:id="372"/>
      <w:bookmarkStart w:id="373" w:name="_Toc88504917"/>
      <w:bookmarkEnd w:id="373"/>
      <w:bookmarkStart w:id="374" w:name="_Toc88505276"/>
      <w:bookmarkEnd w:id="374"/>
      <w:bookmarkStart w:id="375" w:name="_Toc88507614"/>
      <w:bookmarkEnd w:id="375"/>
      <w:bookmarkStart w:id="376" w:name="_Toc88505396"/>
      <w:bookmarkEnd w:id="376"/>
      <w:bookmarkStart w:id="377" w:name="_Toc88504562"/>
      <w:bookmarkEnd w:id="377"/>
      <w:bookmarkStart w:id="378" w:name="_Toc88504929"/>
      <w:bookmarkEnd w:id="378"/>
      <w:bookmarkStart w:id="379" w:name="_Toc88161803"/>
      <w:bookmarkEnd w:id="379"/>
      <w:bookmarkStart w:id="380" w:name="_Toc88504112"/>
      <w:bookmarkEnd w:id="380"/>
      <w:bookmarkStart w:id="381" w:name="_Toc88504504"/>
      <w:bookmarkEnd w:id="381"/>
      <w:bookmarkStart w:id="382" w:name="_Toc87462088"/>
      <w:bookmarkEnd w:id="382"/>
      <w:bookmarkStart w:id="383" w:name="_Toc88507478"/>
      <w:bookmarkEnd w:id="383"/>
      <w:bookmarkStart w:id="384" w:name="_Toc88507468"/>
      <w:bookmarkEnd w:id="384"/>
      <w:bookmarkStart w:id="385" w:name="_Toc88504947"/>
      <w:bookmarkEnd w:id="385"/>
      <w:bookmarkStart w:id="386" w:name="_Toc88503989"/>
      <w:bookmarkEnd w:id="386"/>
      <w:bookmarkStart w:id="387" w:name="_Toc88503990"/>
      <w:bookmarkEnd w:id="387"/>
      <w:bookmarkStart w:id="388" w:name="_Toc87530820"/>
      <w:bookmarkEnd w:id="388"/>
      <w:bookmarkStart w:id="389" w:name="_Toc88503932"/>
      <w:bookmarkEnd w:id="389"/>
      <w:bookmarkStart w:id="390" w:name="_Toc88504572"/>
      <w:bookmarkEnd w:id="390"/>
      <w:bookmarkStart w:id="391" w:name="_Toc88504993"/>
      <w:bookmarkEnd w:id="391"/>
      <w:bookmarkStart w:id="392" w:name="_Toc88503795"/>
      <w:bookmarkEnd w:id="392"/>
      <w:bookmarkStart w:id="393" w:name="_Toc87517189"/>
      <w:bookmarkEnd w:id="393"/>
      <w:bookmarkStart w:id="394" w:name="_Toc88504559"/>
      <w:bookmarkEnd w:id="394"/>
      <w:bookmarkStart w:id="395" w:name="_Toc88503963"/>
      <w:bookmarkEnd w:id="395"/>
      <w:bookmarkStart w:id="396" w:name="_Toc87530664"/>
      <w:bookmarkEnd w:id="396"/>
      <w:bookmarkStart w:id="397" w:name="_Toc88505082"/>
      <w:bookmarkEnd w:id="397"/>
      <w:bookmarkStart w:id="398" w:name="_Toc88504948"/>
      <w:bookmarkEnd w:id="398"/>
      <w:bookmarkStart w:id="399" w:name="_Toc87517218"/>
      <w:bookmarkEnd w:id="399"/>
      <w:bookmarkStart w:id="400" w:name="_Toc88161793"/>
      <w:bookmarkEnd w:id="400"/>
      <w:bookmarkStart w:id="401" w:name="_Toc88505413"/>
      <w:bookmarkEnd w:id="401"/>
      <w:bookmarkStart w:id="402" w:name="_Toc88507605"/>
      <w:bookmarkEnd w:id="402"/>
      <w:bookmarkStart w:id="403" w:name="_Toc88507616"/>
      <w:bookmarkEnd w:id="403"/>
      <w:bookmarkStart w:id="404" w:name="_Toc88508213"/>
      <w:bookmarkEnd w:id="404"/>
      <w:bookmarkStart w:id="405" w:name="_Toc88504815"/>
      <w:bookmarkEnd w:id="405"/>
      <w:bookmarkStart w:id="406" w:name="_Toc86589411"/>
      <w:bookmarkEnd w:id="406"/>
      <w:bookmarkStart w:id="407" w:name="_Toc88503999"/>
      <w:bookmarkEnd w:id="407"/>
      <w:bookmarkStart w:id="408" w:name="_Toc88507435"/>
      <w:bookmarkEnd w:id="408"/>
      <w:bookmarkStart w:id="409" w:name="_Toc88505355"/>
      <w:bookmarkEnd w:id="409"/>
      <w:bookmarkStart w:id="410" w:name="_Toc86919206"/>
      <w:bookmarkEnd w:id="410"/>
      <w:bookmarkStart w:id="411" w:name="_Toc88505093"/>
      <w:bookmarkEnd w:id="411"/>
      <w:bookmarkStart w:id="412" w:name="_Toc88503784"/>
      <w:bookmarkEnd w:id="412"/>
      <w:bookmarkStart w:id="413" w:name="_Toc88503986"/>
      <w:bookmarkEnd w:id="413"/>
      <w:bookmarkStart w:id="414" w:name="_Toc88504243"/>
      <w:bookmarkEnd w:id="414"/>
      <w:bookmarkStart w:id="415" w:name="_Toc88504579"/>
      <w:bookmarkEnd w:id="415"/>
      <w:bookmarkStart w:id="416" w:name="_Toc88504223"/>
      <w:bookmarkEnd w:id="416"/>
      <w:bookmarkStart w:id="417" w:name="_Toc87531258"/>
      <w:bookmarkEnd w:id="417"/>
      <w:bookmarkStart w:id="418" w:name="_Toc88504955"/>
      <w:bookmarkEnd w:id="418"/>
      <w:bookmarkStart w:id="419" w:name="_Toc88505267"/>
      <w:bookmarkEnd w:id="419"/>
      <w:bookmarkStart w:id="420" w:name="_Toc88504422"/>
      <w:bookmarkEnd w:id="420"/>
      <w:bookmarkStart w:id="421" w:name="_Toc87530997"/>
      <w:bookmarkEnd w:id="421"/>
      <w:bookmarkStart w:id="422" w:name="_Toc88505051"/>
      <w:bookmarkEnd w:id="422"/>
      <w:bookmarkStart w:id="423" w:name="_Toc88508257"/>
      <w:bookmarkEnd w:id="423"/>
      <w:bookmarkStart w:id="424" w:name="_Toc88507505"/>
      <w:bookmarkEnd w:id="424"/>
      <w:bookmarkStart w:id="425" w:name="_Toc88504850"/>
      <w:bookmarkEnd w:id="425"/>
      <w:bookmarkStart w:id="426" w:name="_Toc88505219"/>
      <w:bookmarkEnd w:id="426"/>
      <w:bookmarkStart w:id="427" w:name="_Toc88505066"/>
      <w:bookmarkEnd w:id="427"/>
      <w:bookmarkStart w:id="428" w:name="_Toc87530840"/>
      <w:bookmarkEnd w:id="428"/>
      <w:bookmarkStart w:id="429" w:name="_Toc88503815"/>
      <w:bookmarkEnd w:id="429"/>
      <w:bookmarkStart w:id="430" w:name="_Toc88503794"/>
      <w:bookmarkEnd w:id="430"/>
      <w:bookmarkStart w:id="431" w:name="_Toc88161795"/>
      <w:bookmarkEnd w:id="431"/>
      <w:bookmarkStart w:id="432" w:name="_Toc88504814"/>
      <w:bookmarkEnd w:id="432"/>
      <w:bookmarkStart w:id="433" w:name="_Toc87530709"/>
      <w:bookmarkEnd w:id="433"/>
      <w:bookmarkStart w:id="434" w:name="_Toc88505201"/>
      <w:bookmarkEnd w:id="434"/>
      <w:bookmarkStart w:id="435" w:name="_Toc88505406"/>
      <w:bookmarkEnd w:id="435"/>
      <w:bookmarkStart w:id="436" w:name="_Toc88507661"/>
      <w:bookmarkEnd w:id="436"/>
      <w:bookmarkStart w:id="437" w:name="_Toc87462089"/>
      <w:bookmarkEnd w:id="437"/>
      <w:bookmarkStart w:id="438" w:name="_Toc87530700"/>
      <w:bookmarkEnd w:id="438"/>
      <w:bookmarkStart w:id="439" w:name="_Toc88064703"/>
      <w:bookmarkEnd w:id="439"/>
      <w:bookmarkStart w:id="440" w:name="_Toc85731988"/>
      <w:bookmarkEnd w:id="440"/>
      <w:bookmarkStart w:id="441" w:name="_Toc88503972"/>
      <w:bookmarkEnd w:id="441"/>
      <w:bookmarkStart w:id="442" w:name="_Toc88505242"/>
      <w:bookmarkEnd w:id="442"/>
      <w:bookmarkStart w:id="443" w:name="_Toc88504081"/>
      <w:bookmarkEnd w:id="443"/>
      <w:bookmarkStart w:id="444" w:name="_Toc88504956"/>
      <w:bookmarkEnd w:id="444"/>
      <w:bookmarkStart w:id="445" w:name="_Toc88504531"/>
      <w:bookmarkEnd w:id="445"/>
      <w:bookmarkStart w:id="446" w:name="_Toc88505076"/>
      <w:bookmarkEnd w:id="446"/>
      <w:bookmarkStart w:id="447" w:name="_Toc85731901"/>
      <w:bookmarkEnd w:id="447"/>
      <w:bookmarkStart w:id="448" w:name="_Toc88504432"/>
      <w:bookmarkEnd w:id="448"/>
      <w:bookmarkStart w:id="449" w:name="_Toc87530863"/>
      <w:bookmarkEnd w:id="449"/>
      <w:bookmarkStart w:id="450" w:name="_Toc88505132"/>
      <w:bookmarkEnd w:id="450"/>
      <w:bookmarkStart w:id="451" w:name="_Toc87531251"/>
      <w:bookmarkEnd w:id="451"/>
      <w:bookmarkStart w:id="452" w:name="_Toc88504138"/>
      <w:bookmarkEnd w:id="452"/>
      <w:bookmarkStart w:id="453" w:name="_Toc88505228"/>
      <w:bookmarkEnd w:id="453"/>
      <w:bookmarkStart w:id="454" w:name="_Toc88504213"/>
      <w:bookmarkEnd w:id="454"/>
      <w:bookmarkStart w:id="455" w:name="_Toc88505379"/>
      <w:bookmarkEnd w:id="455"/>
      <w:bookmarkStart w:id="456" w:name="_Toc88503950"/>
      <w:bookmarkEnd w:id="456"/>
      <w:bookmarkStart w:id="457" w:name="_Toc88505212"/>
      <w:bookmarkEnd w:id="457"/>
      <w:bookmarkStart w:id="458" w:name="_Toc87461905"/>
      <w:bookmarkEnd w:id="458"/>
      <w:bookmarkStart w:id="459" w:name="_Toc88504289"/>
      <w:bookmarkEnd w:id="459"/>
      <w:bookmarkStart w:id="460" w:name="_Toc88505106"/>
      <w:bookmarkEnd w:id="460"/>
      <w:bookmarkStart w:id="461" w:name="_Toc88505392"/>
      <w:bookmarkEnd w:id="461"/>
      <w:bookmarkStart w:id="462" w:name="_Toc88507643"/>
      <w:bookmarkEnd w:id="462"/>
      <w:bookmarkStart w:id="463" w:name="_Toc88507458"/>
      <w:bookmarkEnd w:id="463"/>
      <w:bookmarkStart w:id="464" w:name="_Toc88504101"/>
      <w:bookmarkEnd w:id="464"/>
      <w:bookmarkStart w:id="465" w:name="_Toc87530665"/>
      <w:bookmarkEnd w:id="465"/>
      <w:bookmarkStart w:id="466" w:name="_Toc88504986"/>
      <w:bookmarkEnd w:id="466"/>
      <w:bookmarkStart w:id="467" w:name="_Toc87461929"/>
      <w:bookmarkEnd w:id="467"/>
      <w:bookmarkStart w:id="468" w:name="_Toc88504225"/>
      <w:bookmarkEnd w:id="468"/>
      <w:bookmarkStart w:id="469" w:name="_Toc88504398"/>
      <w:bookmarkEnd w:id="469"/>
      <w:bookmarkStart w:id="470" w:name="_Toc88504842"/>
      <w:bookmarkEnd w:id="470"/>
      <w:bookmarkStart w:id="471" w:name="_Toc88505218"/>
      <w:bookmarkEnd w:id="471"/>
      <w:bookmarkStart w:id="472" w:name="_Toc87459822"/>
      <w:bookmarkEnd w:id="472"/>
      <w:bookmarkStart w:id="473" w:name="_Toc88504254"/>
      <w:bookmarkEnd w:id="473"/>
      <w:bookmarkStart w:id="474" w:name="_Toc88505369"/>
      <w:bookmarkEnd w:id="474"/>
      <w:bookmarkStart w:id="475" w:name="_Toc87459796"/>
      <w:bookmarkEnd w:id="475"/>
      <w:bookmarkStart w:id="476" w:name="_Toc87531007"/>
      <w:bookmarkEnd w:id="476"/>
      <w:bookmarkStart w:id="477" w:name="_Toc88505086"/>
      <w:bookmarkEnd w:id="477"/>
      <w:bookmarkStart w:id="478" w:name="_Toc87531248"/>
      <w:bookmarkEnd w:id="478"/>
      <w:bookmarkStart w:id="479" w:name="_Toc87517192"/>
      <w:bookmarkEnd w:id="479"/>
      <w:bookmarkStart w:id="480" w:name="_Toc88508233"/>
      <w:bookmarkEnd w:id="480"/>
      <w:bookmarkStart w:id="481" w:name="_Toc87530832"/>
      <w:bookmarkEnd w:id="481"/>
      <w:bookmarkStart w:id="482" w:name="_Toc87530828"/>
      <w:bookmarkEnd w:id="482"/>
      <w:bookmarkStart w:id="483" w:name="_Toc88507573"/>
      <w:bookmarkEnd w:id="483"/>
      <w:bookmarkStart w:id="484" w:name="_Toc88504521"/>
      <w:bookmarkEnd w:id="484"/>
      <w:bookmarkStart w:id="485" w:name="_Toc88504524"/>
      <w:bookmarkEnd w:id="485"/>
      <w:bookmarkStart w:id="486" w:name="_Toc88504212"/>
      <w:bookmarkEnd w:id="486"/>
      <w:bookmarkStart w:id="487" w:name="_Toc88507467"/>
      <w:bookmarkEnd w:id="487"/>
      <w:bookmarkStart w:id="488" w:name="_Toc87530852"/>
      <w:bookmarkEnd w:id="488"/>
      <w:bookmarkStart w:id="489" w:name="_Toc88504824"/>
      <w:bookmarkEnd w:id="489"/>
      <w:bookmarkStart w:id="490" w:name="_Toc87531260"/>
      <w:bookmarkEnd w:id="490"/>
      <w:bookmarkStart w:id="491" w:name="_Toc86589869"/>
      <w:bookmarkEnd w:id="491"/>
      <w:bookmarkStart w:id="492" w:name="_Toc88504515"/>
      <w:bookmarkEnd w:id="492"/>
      <w:bookmarkStart w:id="493" w:name="_Toc88504503"/>
      <w:bookmarkEnd w:id="493"/>
      <w:bookmarkStart w:id="494" w:name="_Toc88503862"/>
      <w:bookmarkEnd w:id="494"/>
      <w:bookmarkStart w:id="495" w:name="_Toc88504265"/>
      <w:bookmarkEnd w:id="495"/>
      <w:bookmarkStart w:id="496" w:name="_Toc88505232"/>
      <w:bookmarkEnd w:id="496"/>
      <w:bookmarkStart w:id="497" w:name="_Toc88503860"/>
      <w:bookmarkEnd w:id="497"/>
      <w:bookmarkStart w:id="498" w:name="_Toc88503851"/>
      <w:bookmarkEnd w:id="498"/>
      <w:bookmarkStart w:id="499" w:name="_Toc87462114"/>
      <w:bookmarkEnd w:id="499"/>
      <w:bookmarkStart w:id="500" w:name="_Toc88064709"/>
      <w:bookmarkEnd w:id="500"/>
      <w:bookmarkStart w:id="501" w:name="_Toc87462079"/>
      <w:bookmarkEnd w:id="501"/>
      <w:bookmarkStart w:id="502" w:name="_Toc88504852"/>
      <w:bookmarkEnd w:id="502"/>
      <w:bookmarkStart w:id="503" w:name="_Toc88505222"/>
      <w:bookmarkEnd w:id="503"/>
      <w:bookmarkStart w:id="504" w:name="_Toc88505123"/>
      <w:bookmarkEnd w:id="504"/>
      <w:bookmarkStart w:id="505" w:name="_Toc86859364"/>
      <w:bookmarkEnd w:id="505"/>
      <w:bookmarkStart w:id="506" w:name="_Toc88504407"/>
      <w:bookmarkEnd w:id="506"/>
      <w:bookmarkStart w:id="507" w:name="_Toc87531139"/>
      <w:bookmarkEnd w:id="507"/>
      <w:bookmarkStart w:id="508" w:name="_Toc88505190"/>
      <w:bookmarkEnd w:id="508"/>
      <w:bookmarkStart w:id="509" w:name="_Toc87459838"/>
      <w:bookmarkEnd w:id="509"/>
      <w:bookmarkStart w:id="510" w:name="_Toc88504916"/>
      <w:bookmarkEnd w:id="510"/>
      <w:bookmarkStart w:id="511" w:name="_Toc87530984"/>
      <w:bookmarkEnd w:id="511"/>
      <w:bookmarkStart w:id="512" w:name="_Toc87531150"/>
      <w:bookmarkEnd w:id="512"/>
      <w:bookmarkStart w:id="513" w:name="_Toc88505380"/>
      <w:bookmarkEnd w:id="513"/>
      <w:bookmarkStart w:id="514" w:name="_Toc88504490"/>
      <w:bookmarkEnd w:id="514"/>
      <w:bookmarkStart w:id="515" w:name="_Toc88504985"/>
      <w:bookmarkEnd w:id="515"/>
      <w:bookmarkStart w:id="516" w:name="_Toc88504235"/>
      <w:bookmarkEnd w:id="516"/>
      <w:bookmarkStart w:id="517" w:name="_Toc88505221"/>
      <w:bookmarkEnd w:id="517"/>
      <w:bookmarkStart w:id="518" w:name="_Toc87462112"/>
      <w:bookmarkEnd w:id="518"/>
      <w:bookmarkStart w:id="519" w:name="_Toc88505220"/>
      <w:bookmarkEnd w:id="519"/>
      <w:bookmarkStart w:id="520" w:name="_Toc88503852"/>
      <w:bookmarkEnd w:id="520"/>
      <w:bookmarkStart w:id="521" w:name="_Toc88505229"/>
      <w:bookmarkEnd w:id="521"/>
      <w:bookmarkStart w:id="522" w:name="_Toc87530674"/>
      <w:bookmarkEnd w:id="522"/>
      <w:bookmarkStart w:id="523" w:name="_Toc88504367"/>
      <w:bookmarkEnd w:id="523"/>
      <w:bookmarkStart w:id="524" w:name="_Toc88504366"/>
      <w:bookmarkEnd w:id="524"/>
      <w:bookmarkStart w:id="525" w:name="_Toc88161797"/>
      <w:bookmarkEnd w:id="525"/>
      <w:bookmarkStart w:id="526" w:name="_Toc86589607"/>
      <w:bookmarkEnd w:id="526"/>
      <w:bookmarkStart w:id="527" w:name="_Toc88507596"/>
      <w:bookmarkEnd w:id="527"/>
      <w:bookmarkStart w:id="528" w:name="_Toc88504388"/>
      <w:bookmarkEnd w:id="528"/>
      <w:bookmarkStart w:id="529" w:name="_Toc88504851"/>
      <w:bookmarkEnd w:id="529"/>
      <w:bookmarkStart w:id="530" w:name="_Toc88507574"/>
      <w:bookmarkEnd w:id="530"/>
      <w:bookmarkStart w:id="531" w:name="_Toc87530854"/>
      <w:bookmarkEnd w:id="531"/>
      <w:bookmarkStart w:id="532" w:name="_Toc88504108"/>
      <w:bookmarkEnd w:id="532"/>
      <w:bookmarkStart w:id="533" w:name="_Toc88507606"/>
      <w:bookmarkEnd w:id="533"/>
      <w:bookmarkStart w:id="534" w:name="_Toc87461915"/>
      <w:bookmarkEnd w:id="534"/>
      <w:bookmarkStart w:id="535" w:name="_Toc88507628"/>
      <w:bookmarkEnd w:id="535"/>
      <w:bookmarkStart w:id="536" w:name="_Toc88503796"/>
      <w:bookmarkEnd w:id="536"/>
      <w:bookmarkStart w:id="537" w:name="_Toc87531259"/>
      <w:bookmarkEnd w:id="537"/>
      <w:bookmarkStart w:id="538" w:name="_Toc88505119"/>
      <w:bookmarkEnd w:id="538"/>
      <w:bookmarkStart w:id="539" w:name="_Toc88508259"/>
      <w:bookmarkEnd w:id="539"/>
      <w:bookmarkStart w:id="540" w:name="_Toc88505395"/>
      <w:bookmarkEnd w:id="540"/>
      <w:bookmarkStart w:id="541" w:name="_Toc88503870"/>
      <w:bookmarkEnd w:id="541"/>
      <w:bookmarkStart w:id="542" w:name="_Toc88505083"/>
      <w:bookmarkEnd w:id="542"/>
      <w:bookmarkStart w:id="543" w:name="_Toc88507446"/>
      <w:bookmarkEnd w:id="543"/>
      <w:bookmarkStart w:id="544" w:name="_Toc88504139"/>
      <w:bookmarkEnd w:id="544"/>
      <w:bookmarkStart w:id="545" w:name="_Toc88507475"/>
      <w:bookmarkEnd w:id="545"/>
      <w:bookmarkStart w:id="546" w:name="_Toc87531284"/>
      <w:bookmarkEnd w:id="546"/>
      <w:bookmarkStart w:id="547" w:name="_Toc88508220"/>
      <w:bookmarkEnd w:id="547"/>
      <w:bookmarkStart w:id="548" w:name="_Toc88505378"/>
      <w:bookmarkEnd w:id="548"/>
      <w:bookmarkStart w:id="549" w:name="_Toc88505325"/>
      <w:bookmarkEnd w:id="549"/>
      <w:bookmarkStart w:id="550" w:name="_Toc88508270"/>
      <w:bookmarkEnd w:id="550"/>
      <w:bookmarkStart w:id="551" w:name="_Toc87530818"/>
      <w:bookmarkEnd w:id="551"/>
      <w:bookmarkStart w:id="552" w:name="_Toc87530699"/>
      <w:bookmarkEnd w:id="552"/>
      <w:bookmarkStart w:id="553" w:name="_Toc87459805"/>
      <w:bookmarkEnd w:id="553"/>
      <w:bookmarkStart w:id="554" w:name="_Toc87530847"/>
      <w:bookmarkEnd w:id="554"/>
      <w:bookmarkStart w:id="555" w:name="_Toc88507488"/>
      <w:bookmarkEnd w:id="555"/>
      <w:bookmarkStart w:id="556" w:name="_Toc88507607"/>
      <w:bookmarkEnd w:id="556"/>
      <w:bookmarkStart w:id="557" w:name="_Toc87530676"/>
      <w:bookmarkEnd w:id="557"/>
      <w:bookmarkStart w:id="558" w:name="_Toc88505357"/>
      <w:bookmarkEnd w:id="558"/>
      <w:bookmarkStart w:id="559" w:name="_Toc88508258"/>
      <w:bookmarkEnd w:id="559"/>
      <w:bookmarkStart w:id="560" w:name="_Toc88503805"/>
      <w:bookmarkEnd w:id="560"/>
      <w:bookmarkStart w:id="561" w:name="_Toc88504968"/>
      <w:bookmarkEnd w:id="561"/>
      <w:bookmarkStart w:id="562" w:name="_Toc87462078"/>
      <w:bookmarkEnd w:id="562"/>
      <w:bookmarkStart w:id="563" w:name="_Toc88505075"/>
      <w:bookmarkEnd w:id="563"/>
      <w:bookmarkStart w:id="564" w:name="_Toc88504492"/>
      <w:bookmarkEnd w:id="564"/>
      <w:bookmarkStart w:id="565" w:name="_Toc88507642"/>
      <w:bookmarkEnd w:id="565"/>
      <w:bookmarkStart w:id="566" w:name="_Toc86589694"/>
      <w:bookmarkEnd w:id="566"/>
      <w:bookmarkStart w:id="567" w:name="_Toc88504811"/>
      <w:bookmarkEnd w:id="567"/>
      <w:bookmarkStart w:id="568" w:name="_Toc87461930"/>
      <w:bookmarkEnd w:id="568"/>
      <w:bookmarkStart w:id="569" w:name="_Toc88508189"/>
      <w:bookmarkEnd w:id="569"/>
      <w:bookmarkStart w:id="570" w:name="_Toc88505367"/>
      <w:bookmarkEnd w:id="570"/>
      <w:bookmarkStart w:id="571" w:name="_Toc87887233"/>
      <w:bookmarkEnd w:id="571"/>
      <w:bookmarkStart w:id="572" w:name="_Toc87530667"/>
      <w:bookmarkEnd w:id="572"/>
      <w:bookmarkStart w:id="573" w:name="_Toc88505405"/>
      <w:bookmarkEnd w:id="573"/>
      <w:bookmarkStart w:id="574" w:name="_Toc88505140"/>
      <w:bookmarkEnd w:id="574"/>
      <w:bookmarkStart w:id="575" w:name="_Toc88504264"/>
      <w:bookmarkEnd w:id="575"/>
      <w:bookmarkStart w:id="576" w:name="_Toc87530964"/>
      <w:bookmarkEnd w:id="576"/>
      <w:bookmarkStart w:id="577" w:name="_Toc88508232"/>
      <w:bookmarkEnd w:id="577"/>
      <w:bookmarkStart w:id="578" w:name="_Toc87517200"/>
      <w:bookmarkEnd w:id="578"/>
      <w:bookmarkStart w:id="579" w:name="_Toc88064699"/>
      <w:bookmarkEnd w:id="579"/>
      <w:bookmarkStart w:id="580" w:name="_Toc88504070"/>
      <w:bookmarkEnd w:id="580"/>
      <w:bookmarkStart w:id="581" w:name="_Toc87461916"/>
      <w:bookmarkEnd w:id="581"/>
      <w:bookmarkStart w:id="582" w:name="_Toc88504433"/>
      <w:bookmarkEnd w:id="582"/>
      <w:bookmarkStart w:id="583" w:name="_Toc88507651"/>
      <w:bookmarkEnd w:id="583"/>
      <w:bookmarkStart w:id="584" w:name="_Toc88504356"/>
      <w:bookmarkEnd w:id="584"/>
      <w:bookmarkStart w:id="585" w:name="_Toc86589781"/>
      <w:bookmarkEnd w:id="585"/>
      <w:bookmarkStart w:id="586" w:name="_Toc88507502"/>
      <w:bookmarkEnd w:id="586"/>
      <w:bookmarkStart w:id="587" w:name="_Toc88507503"/>
      <w:bookmarkEnd w:id="587"/>
      <w:bookmarkStart w:id="588" w:name="_Toc87531283"/>
      <w:bookmarkEnd w:id="588"/>
      <w:bookmarkStart w:id="589" w:name="_Toc88504421"/>
      <w:bookmarkEnd w:id="589"/>
      <w:bookmarkStart w:id="590" w:name="_Toc88504958"/>
      <w:bookmarkEnd w:id="590"/>
      <w:bookmarkStart w:id="591" w:name="_Toc87530678"/>
      <w:bookmarkEnd w:id="591"/>
      <w:bookmarkStart w:id="592" w:name="_Toc86393654"/>
      <w:bookmarkEnd w:id="592"/>
      <w:bookmarkStart w:id="593" w:name="_Toc87531106"/>
      <w:bookmarkEnd w:id="593"/>
      <w:bookmarkStart w:id="594" w:name="_Toc88504122"/>
      <w:bookmarkEnd w:id="594"/>
      <w:bookmarkStart w:id="595" w:name="_Toc88504805"/>
      <w:bookmarkEnd w:id="595"/>
      <w:bookmarkStart w:id="596" w:name="_Toc88505256"/>
      <w:bookmarkEnd w:id="596"/>
      <w:bookmarkStart w:id="597" w:name="_Toc88507474"/>
      <w:bookmarkEnd w:id="597"/>
      <w:bookmarkStart w:id="598" w:name="_Toc88504561"/>
      <w:bookmarkEnd w:id="598"/>
      <w:bookmarkStart w:id="599" w:name="_Toc85732159"/>
      <w:bookmarkEnd w:id="599"/>
      <w:bookmarkStart w:id="600" w:name="_Toc88504560"/>
      <w:bookmarkEnd w:id="600"/>
      <w:bookmarkStart w:id="601" w:name="_Toc88504544"/>
      <w:bookmarkEnd w:id="601"/>
      <w:bookmarkStart w:id="602" w:name="_Toc88507487"/>
      <w:bookmarkEnd w:id="602"/>
      <w:bookmarkStart w:id="603" w:name="_Toc87887237"/>
      <w:bookmarkEnd w:id="603"/>
      <w:bookmarkStart w:id="604" w:name="_Toc88504378"/>
      <w:bookmarkEnd w:id="604"/>
      <w:bookmarkStart w:id="605" w:name="_Toc88504068"/>
      <w:bookmarkEnd w:id="605"/>
      <w:bookmarkStart w:id="606" w:name="_Toc88503814"/>
      <w:bookmarkEnd w:id="606"/>
      <w:bookmarkStart w:id="607" w:name="_Toc88504784"/>
      <w:bookmarkEnd w:id="607"/>
      <w:bookmarkStart w:id="608" w:name="_Toc88504442"/>
      <w:bookmarkEnd w:id="608"/>
      <w:bookmarkStart w:id="609" w:name="_Toc88505003"/>
      <w:bookmarkEnd w:id="609"/>
      <w:bookmarkStart w:id="610" w:name="_Toc87530821"/>
      <w:bookmarkEnd w:id="610"/>
      <w:bookmarkStart w:id="611" w:name="_Toc88504785"/>
      <w:bookmarkEnd w:id="611"/>
      <w:bookmarkStart w:id="612" w:name="_Toc88505258"/>
      <w:bookmarkEnd w:id="612"/>
      <w:bookmarkStart w:id="613" w:name="_Toc88503949"/>
      <w:bookmarkEnd w:id="613"/>
      <w:bookmarkStart w:id="614" w:name="_Toc88505243"/>
      <w:bookmarkEnd w:id="614"/>
      <w:bookmarkStart w:id="615" w:name="_Toc88505338"/>
      <w:bookmarkEnd w:id="615"/>
      <w:bookmarkStart w:id="616" w:name="_Toc87459828"/>
      <w:bookmarkEnd w:id="616"/>
      <w:bookmarkStart w:id="617" w:name="_Toc88504772"/>
      <w:bookmarkEnd w:id="617"/>
      <w:bookmarkStart w:id="618" w:name="_Toc88504525"/>
      <w:bookmarkEnd w:id="618"/>
      <w:bookmarkStart w:id="619" w:name="_Toc88508230"/>
      <w:bookmarkEnd w:id="619"/>
      <w:bookmarkStart w:id="620" w:name="_Toc88505189"/>
      <w:bookmarkEnd w:id="620"/>
      <w:bookmarkStart w:id="621" w:name="_Toc88503920"/>
      <w:bookmarkEnd w:id="621"/>
      <w:bookmarkStart w:id="622" w:name="_Toc88508244"/>
      <w:bookmarkEnd w:id="622"/>
      <w:bookmarkStart w:id="623" w:name="_Toc88503918"/>
      <w:bookmarkEnd w:id="623"/>
      <w:bookmarkStart w:id="624" w:name="_Toc87531262"/>
      <w:bookmarkEnd w:id="624"/>
      <w:bookmarkStart w:id="625" w:name="_Toc88504849"/>
      <w:bookmarkEnd w:id="625"/>
      <w:bookmarkStart w:id="626" w:name="_Toc88504292"/>
      <w:bookmarkEnd w:id="626"/>
      <w:bookmarkStart w:id="627" w:name="_Toc88504069"/>
      <w:bookmarkEnd w:id="627"/>
      <w:bookmarkStart w:id="628" w:name="_Toc88504099"/>
      <w:bookmarkEnd w:id="628"/>
      <w:bookmarkStart w:id="629" w:name="_Toc88504949"/>
      <w:bookmarkEnd w:id="629"/>
      <w:bookmarkStart w:id="630" w:name="_Toc88504957"/>
      <w:bookmarkEnd w:id="630"/>
      <w:bookmarkStart w:id="631" w:name="_Toc87530819"/>
      <w:bookmarkEnd w:id="631"/>
      <w:bookmarkStart w:id="632" w:name="_Toc87459807"/>
      <w:bookmarkEnd w:id="632"/>
      <w:bookmarkStart w:id="633" w:name="_Toc88504137"/>
      <w:bookmarkEnd w:id="633"/>
      <w:bookmarkStart w:id="634" w:name="_Toc88507615"/>
      <w:bookmarkEnd w:id="634"/>
      <w:bookmarkStart w:id="635" w:name="_Toc88504278"/>
      <w:bookmarkEnd w:id="635"/>
      <w:bookmarkStart w:id="636" w:name="_Toc88508260"/>
      <w:bookmarkEnd w:id="636"/>
      <w:bookmarkStart w:id="637" w:name="_Toc87530976"/>
      <w:bookmarkEnd w:id="637"/>
      <w:bookmarkStart w:id="638" w:name="_Toc87530857"/>
      <w:bookmarkEnd w:id="638"/>
      <w:bookmarkStart w:id="639" w:name="_Toc87517199"/>
      <w:bookmarkEnd w:id="639"/>
      <w:bookmarkStart w:id="640" w:name="_Toc88503781"/>
      <w:bookmarkEnd w:id="640"/>
      <w:bookmarkStart w:id="641" w:name="_Toc87530686"/>
      <w:bookmarkEnd w:id="641"/>
      <w:bookmarkStart w:id="642" w:name="_Toc88503919"/>
      <w:bookmarkEnd w:id="642"/>
      <w:bookmarkStart w:id="643" w:name="_Toc87462099"/>
      <w:bookmarkEnd w:id="643"/>
      <w:bookmarkStart w:id="644" w:name="_Toc88505337"/>
      <w:bookmarkEnd w:id="644"/>
      <w:bookmarkStart w:id="645" w:name="_Toc88504938"/>
      <w:bookmarkEnd w:id="645"/>
      <w:bookmarkStart w:id="646" w:name="_Toc88507575"/>
      <w:bookmarkEnd w:id="646"/>
      <w:bookmarkStart w:id="647" w:name="_Toc87531287"/>
      <w:bookmarkEnd w:id="647"/>
      <w:bookmarkStart w:id="648" w:name="_Toc88504915"/>
      <w:bookmarkEnd w:id="648"/>
      <w:bookmarkStart w:id="649" w:name="_Toc88505188"/>
      <w:bookmarkEnd w:id="649"/>
      <w:bookmarkStart w:id="650" w:name="_Toc87461897"/>
      <w:bookmarkEnd w:id="650"/>
      <w:bookmarkStart w:id="651" w:name="_Toc88504804"/>
      <w:bookmarkEnd w:id="651"/>
      <w:bookmarkStart w:id="652" w:name="_Toc87530991"/>
      <w:bookmarkEnd w:id="652"/>
      <w:bookmarkStart w:id="653" w:name="_Toc88504826"/>
      <w:bookmarkEnd w:id="653"/>
      <w:bookmarkStart w:id="654" w:name="_Toc88505403"/>
      <w:bookmarkEnd w:id="654"/>
      <w:bookmarkStart w:id="655" w:name="_Toc88504244"/>
      <w:bookmarkEnd w:id="655"/>
      <w:bookmarkStart w:id="656" w:name="_Toc88504281"/>
      <w:bookmarkEnd w:id="656"/>
      <w:bookmarkStart w:id="657" w:name="_Toc88504241"/>
      <w:bookmarkEnd w:id="657"/>
      <w:bookmarkStart w:id="658" w:name="_Toc88065181"/>
      <w:bookmarkEnd w:id="658"/>
      <w:bookmarkStart w:id="659" w:name="_Toc88507654"/>
      <w:bookmarkEnd w:id="659"/>
      <w:bookmarkStart w:id="660" w:name="_Toc88505404"/>
      <w:bookmarkEnd w:id="660"/>
      <w:bookmarkStart w:id="661" w:name="_Toc88504368"/>
      <w:bookmarkEnd w:id="661"/>
      <w:bookmarkStart w:id="662" w:name="_Toc88508231"/>
      <w:bookmarkEnd w:id="662"/>
      <w:bookmarkStart w:id="663" w:name="_Toc88505054"/>
      <w:bookmarkEnd w:id="663"/>
      <w:bookmarkStart w:id="664" w:name="_Toc88504280"/>
      <w:bookmarkEnd w:id="664"/>
      <w:bookmarkStart w:id="665" w:name="_Toc88504571"/>
      <w:bookmarkEnd w:id="665"/>
      <w:bookmarkStart w:id="666" w:name="_Toc87530962"/>
      <w:bookmarkEnd w:id="666"/>
      <w:bookmarkStart w:id="667" w:name="_Toc88507513"/>
      <w:bookmarkEnd w:id="667"/>
      <w:bookmarkStart w:id="668" w:name="_Toc88504969"/>
      <w:bookmarkEnd w:id="668"/>
      <w:bookmarkStart w:id="669" w:name="_Toc88508242"/>
      <w:bookmarkEnd w:id="669"/>
      <w:bookmarkStart w:id="670" w:name="_Toc88504100"/>
      <w:bookmarkEnd w:id="670"/>
      <w:bookmarkStart w:id="671" w:name="_Toc87462092"/>
      <w:bookmarkEnd w:id="671"/>
      <w:bookmarkStart w:id="672" w:name="_Toc87459794"/>
      <w:bookmarkEnd w:id="672"/>
      <w:bookmarkStart w:id="673" w:name="_Toc88505393"/>
      <w:bookmarkEnd w:id="673"/>
      <w:bookmarkStart w:id="674" w:name="_Toc88507604"/>
      <w:bookmarkEnd w:id="674"/>
      <w:bookmarkStart w:id="675" w:name="_Toc88503823"/>
      <w:bookmarkEnd w:id="675"/>
      <w:bookmarkStart w:id="676" w:name="_Toc88504994"/>
      <w:bookmarkEnd w:id="676"/>
      <w:bookmarkStart w:id="677" w:name="_Toc87517191"/>
      <w:bookmarkEnd w:id="677"/>
      <w:bookmarkStart w:id="678" w:name="_Toc88505230"/>
      <w:bookmarkEnd w:id="678"/>
      <w:bookmarkStart w:id="679" w:name="_Toc88504408"/>
      <w:bookmarkEnd w:id="679"/>
      <w:bookmarkStart w:id="680" w:name="_Toc88504377"/>
      <w:bookmarkEnd w:id="680"/>
      <w:bookmarkStart w:id="681" w:name="_Toc87531140"/>
      <w:bookmarkEnd w:id="681"/>
      <w:bookmarkStart w:id="682" w:name="_Toc87461939"/>
      <w:bookmarkEnd w:id="682"/>
      <w:bookmarkStart w:id="683" w:name="_Toc88505211"/>
      <w:bookmarkEnd w:id="683"/>
      <w:bookmarkStart w:id="684" w:name="_Toc87462123"/>
      <w:bookmarkEnd w:id="684"/>
      <w:bookmarkStart w:id="685" w:name="_Toc88505053"/>
      <w:bookmarkEnd w:id="685"/>
      <w:bookmarkStart w:id="686" w:name="_Toc88505200"/>
      <w:bookmarkEnd w:id="686"/>
      <w:bookmarkStart w:id="687" w:name="_Toc88508243"/>
      <w:bookmarkEnd w:id="687"/>
      <w:bookmarkStart w:id="688" w:name="_Toc86918582"/>
      <w:bookmarkEnd w:id="688"/>
      <w:bookmarkStart w:id="689" w:name="_Toc88504783"/>
      <w:bookmarkEnd w:id="689"/>
      <w:bookmarkStart w:id="690" w:name="_Toc87530839"/>
      <w:bookmarkEnd w:id="690"/>
      <w:bookmarkStart w:id="691" w:name="_Toc88503997"/>
      <w:bookmarkEnd w:id="691"/>
      <w:bookmarkStart w:id="692" w:name="_Toc88505359"/>
      <w:bookmarkEnd w:id="692"/>
      <w:bookmarkStart w:id="693" w:name="_Toc88505356"/>
      <w:bookmarkEnd w:id="693"/>
      <w:bookmarkStart w:id="694" w:name="_Toc88504102"/>
      <w:bookmarkEnd w:id="694"/>
      <w:bookmarkStart w:id="695" w:name="_Toc87531126"/>
      <w:bookmarkEnd w:id="695"/>
      <w:bookmarkStart w:id="696" w:name="_Toc88505358"/>
      <w:bookmarkEnd w:id="696"/>
      <w:bookmarkStart w:id="697" w:name="_Toc88504224"/>
      <w:bookmarkEnd w:id="697"/>
      <w:bookmarkStart w:id="698" w:name="_Toc88503812"/>
      <w:bookmarkEnd w:id="698"/>
      <w:bookmarkStart w:id="699" w:name="_Toc88505268"/>
      <w:bookmarkEnd w:id="699"/>
      <w:bookmarkStart w:id="700" w:name="_Toc88508221"/>
      <w:bookmarkEnd w:id="700"/>
      <w:bookmarkStart w:id="701" w:name="_Toc87531144"/>
      <w:bookmarkEnd w:id="701"/>
      <w:bookmarkStart w:id="702" w:name="_Toc88508256"/>
      <w:bookmarkEnd w:id="702"/>
      <w:bookmarkStart w:id="703" w:name="_Toc87517211"/>
      <w:bookmarkEnd w:id="703"/>
      <w:bookmarkStart w:id="704" w:name="_Toc87461906"/>
      <w:bookmarkEnd w:id="704"/>
      <w:bookmarkStart w:id="705" w:name="_Toc88504067"/>
      <w:bookmarkEnd w:id="705"/>
      <w:bookmarkStart w:id="706" w:name="_Toc88505105"/>
      <w:bookmarkEnd w:id="706"/>
      <w:bookmarkStart w:id="707" w:name="_Toc88507644"/>
      <w:bookmarkEnd w:id="707"/>
      <w:bookmarkStart w:id="708" w:name="_Toc87462080"/>
      <w:bookmarkEnd w:id="708"/>
      <w:bookmarkStart w:id="709" w:name="_Toc88503931"/>
      <w:bookmarkEnd w:id="709"/>
      <w:bookmarkStart w:id="710" w:name="_Toc87459804"/>
      <w:bookmarkEnd w:id="710"/>
      <w:bookmarkStart w:id="711" w:name="_Toc88504251"/>
      <w:bookmarkEnd w:id="711"/>
      <w:bookmarkStart w:id="712" w:name="_Toc88504110"/>
      <w:bookmarkEnd w:id="712"/>
      <w:bookmarkStart w:id="713" w:name="_Toc88504149"/>
      <w:bookmarkEnd w:id="713"/>
      <w:bookmarkStart w:id="714" w:name="_Toc88504802"/>
      <w:bookmarkEnd w:id="714"/>
      <w:bookmarkStart w:id="715" w:name="_Toc87530666"/>
      <w:bookmarkEnd w:id="715"/>
      <w:bookmarkStart w:id="716" w:name="_Toc88507627"/>
      <w:bookmarkEnd w:id="716"/>
      <w:bookmarkStart w:id="717" w:name="_Toc88507464"/>
      <w:bookmarkEnd w:id="717"/>
      <w:bookmarkStart w:id="718" w:name="_Toc88504532"/>
      <w:bookmarkEnd w:id="718"/>
      <w:bookmarkStart w:id="719" w:name="_Toc88503863"/>
      <w:bookmarkEnd w:id="719"/>
      <w:bookmarkStart w:id="720" w:name="_Toc88504533"/>
      <w:bookmarkEnd w:id="720"/>
      <w:bookmarkStart w:id="721" w:name="_Toc88505266"/>
      <w:bookmarkEnd w:id="721"/>
      <w:bookmarkStart w:id="722" w:name="_Toc88504146"/>
      <w:bookmarkEnd w:id="722"/>
      <w:bookmarkStart w:id="723" w:name="_Toc87531282"/>
      <w:bookmarkEnd w:id="723"/>
      <w:bookmarkStart w:id="724" w:name="_Toc88505092"/>
      <w:bookmarkEnd w:id="724"/>
      <w:bookmarkStart w:id="725" w:name="_Toc88505120"/>
      <w:bookmarkEnd w:id="725"/>
      <w:bookmarkStart w:id="726" w:name="_Toc88504007"/>
      <w:bookmarkEnd w:id="726"/>
      <w:bookmarkStart w:id="727" w:name="_Toc88505131"/>
      <w:bookmarkEnd w:id="727"/>
      <w:bookmarkStart w:id="728" w:name="_Toc88504291"/>
      <w:bookmarkEnd w:id="728"/>
      <w:bookmarkStart w:id="729" w:name="_Toc88504569"/>
      <w:bookmarkEnd w:id="729"/>
      <w:bookmarkStart w:id="730" w:name="_Toc88504299"/>
      <w:bookmarkEnd w:id="730"/>
      <w:bookmarkStart w:id="731" w:name="_Toc88504534"/>
      <w:bookmarkEnd w:id="731"/>
      <w:bookmarkStart w:id="732" w:name="_Toc88504773"/>
      <w:bookmarkEnd w:id="732"/>
      <w:bookmarkStart w:id="733" w:name="_Toc88505064"/>
      <w:bookmarkEnd w:id="733"/>
      <w:bookmarkStart w:id="734" w:name="_Toc88507641"/>
      <w:bookmarkEnd w:id="734"/>
      <w:bookmarkStart w:id="735" w:name="_Toc88065185"/>
      <w:bookmarkEnd w:id="735"/>
      <w:bookmarkStart w:id="736" w:name="_Toc88507504"/>
      <w:bookmarkEnd w:id="736"/>
      <w:bookmarkStart w:id="737" w:name="_Toc87517224"/>
      <w:bookmarkEnd w:id="737"/>
      <w:bookmarkStart w:id="738" w:name="_Toc88507514"/>
      <w:bookmarkEnd w:id="738"/>
      <w:bookmarkStart w:id="739" w:name="_Toc88504493"/>
      <w:bookmarkEnd w:id="739"/>
      <w:bookmarkStart w:id="740" w:name="_Toc88507640"/>
      <w:bookmarkEnd w:id="740"/>
      <w:bookmarkStart w:id="741" w:name="_Toc87531250"/>
      <w:bookmarkEnd w:id="741"/>
      <w:bookmarkStart w:id="742" w:name="_Toc87461908"/>
      <w:bookmarkEnd w:id="742"/>
      <w:bookmarkStart w:id="743" w:name="_Toc88504505"/>
      <w:bookmarkEnd w:id="743"/>
      <w:bookmarkStart w:id="744" w:name="_Toc87531108"/>
      <w:bookmarkEnd w:id="744"/>
      <w:bookmarkStart w:id="745" w:name="_Toc88504000"/>
      <w:bookmarkEnd w:id="745"/>
      <w:bookmarkStart w:id="746" w:name="_Toc87517234"/>
      <w:bookmarkEnd w:id="746"/>
      <w:bookmarkStart w:id="747" w:name="_Toc88065175"/>
      <w:bookmarkEnd w:id="747"/>
      <w:bookmarkStart w:id="748" w:name="_Toc87462090"/>
      <w:bookmarkEnd w:id="748"/>
      <w:bookmarkStart w:id="749" w:name="_Toc88504253"/>
      <w:bookmarkEnd w:id="749"/>
      <w:bookmarkStart w:id="750" w:name="_Toc88504409"/>
      <w:bookmarkEnd w:id="750"/>
      <w:bookmarkStart w:id="751" w:name="_Toc88505366"/>
      <w:bookmarkEnd w:id="751"/>
      <w:bookmarkStart w:id="752" w:name="_Toc88505326"/>
      <w:bookmarkEnd w:id="752"/>
      <w:bookmarkStart w:id="753" w:name="_Toc87531293"/>
      <w:bookmarkEnd w:id="753"/>
      <w:bookmarkStart w:id="754" w:name="_Toc88504111"/>
      <w:bookmarkEnd w:id="754"/>
      <w:bookmarkStart w:id="755" w:name="_Toc87461894"/>
      <w:bookmarkEnd w:id="755"/>
      <w:bookmarkStart w:id="756" w:name="_Toc88504435"/>
      <w:bookmarkEnd w:id="756"/>
      <w:bookmarkStart w:id="757" w:name="_Toc87530998"/>
      <w:bookmarkEnd w:id="757"/>
      <w:bookmarkStart w:id="758" w:name="_Toc87461904"/>
      <w:bookmarkEnd w:id="758"/>
      <w:bookmarkStart w:id="759" w:name="_Toc88503850"/>
      <w:bookmarkEnd w:id="759"/>
      <w:bookmarkStart w:id="760" w:name="_Toc88508191"/>
      <w:bookmarkEnd w:id="760"/>
      <w:bookmarkStart w:id="761" w:name="_Toc87530703"/>
      <w:bookmarkEnd w:id="761"/>
      <w:bookmarkStart w:id="762" w:name="_Toc87530693"/>
      <w:bookmarkEnd w:id="762"/>
      <w:bookmarkStart w:id="763" w:name="_Toc88508269"/>
      <w:bookmarkEnd w:id="763"/>
      <w:bookmarkStart w:id="764" w:name="_Toc88503837"/>
      <w:bookmarkEnd w:id="764"/>
      <w:bookmarkStart w:id="765" w:name="_Toc86589520"/>
      <w:bookmarkEnd w:id="765"/>
      <w:bookmarkStart w:id="766" w:name="_Toc87530965"/>
      <w:bookmarkEnd w:id="766"/>
      <w:bookmarkStart w:id="767" w:name="_Toc88504234"/>
      <w:bookmarkEnd w:id="767"/>
      <w:bookmarkStart w:id="768" w:name="_Toc88504210"/>
      <w:bookmarkEnd w:id="768"/>
      <w:bookmarkStart w:id="769" w:name="_Toc88507572"/>
      <w:bookmarkEnd w:id="769"/>
      <w:bookmarkStart w:id="770" w:name="_Toc88505202"/>
      <w:bookmarkEnd w:id="770"/>
      <w:bookmarkStart w:id="771" w:name="_Toc88504387"/>
      <w:bookmarkEnd w:id="771"/>
      <w:bookmarkStart w:id="772" w:name="_Toc88505255"/>
      <w:bookmarkEnd w:id="772"/>
      <w:bookmarkStart w:id="773" w:name="_Toc88504423"/>
      <w:bookmarkEnd w:id="773"/>
      <w:bookmarkStart w:id="774" w:name="_Toc88504355"/>
      <w:bookmarkEnd w:id="774"/>
      <w:bookmarkStart w:id="775" w:name="_Toc88504839"/>
      <w:bookmarkEnd w:id="775"/>
      <w:bookmarkStart w:id="776" w:name="_Toc88504282"/>
      <w:bookmarkEnd w:id="776"/>
      <w:bookmarkStart w:id="777" w:name="_Toc88505257"/>
      <w:bookmarkEnd w:id="777"/>
      <w:bookmarkStart w:id="778" w:name="_Toc88505339"/>
      <w:bookmarkEnd w:id="778"/>
      <w:bookmarkStart w:id="779" w:name="_Toc87531107"/>
      <w:bookmarkEnd w:id="779"/>
      <w:bookmarkStart w:id="780" w:name="_Toc87459793"/>
      <w:bookmarkEnd w:id="780"/>
      <w:bookmarkStart w:id="781" w:name="_Toc88503835"/>
      <w:bookmarkEnd w:id="781"/>
      <w:bookmarkStart w:id="782" w:name="_Toc86685814"/>
      <w:bookmarkEnd w:id="782"/>
      <w:bookmarkStart w:id="783" w:name="_Toc88504354"/>
      <w:bookmarkEnd w:id="783"/>
      <w:bookmarkStart w:id="784" w:name="_Toc88504535"/>
      <w:bookmarkEnd w:id="784"/>
      <w:bookmarkStart w:id="785" w:name="_Toc88503959"/>
      <w:bookmarkEnd w:id="785"/>
      <w:bookmarkStart w:id="786" w:name="_Toc88505394"/>
      <w:bookmarkEnd w:id="786"/>
      <w:bookmarkStart w:id="787" w:name="_Toc88508212"/>
      <w:bookmarkEnd w:id="787"/>
      <w:bookmarkStart w:id="788" w:name="_Toc87530996"/>
      <w:bookmarkEnd w:id="788"/>
      <w:bookmarkStart w:id="789" w:name="_Toc87517223"/>
      <w:bookmarkEnd w:id="789"/>
      <w:bookmarkStart w:id="790" w:name="_Toc88508190"/>
      <w:bookmarkEnd w:id="790"/>
      <w:bookmarkStart w:id="791" w:name="_Toc88504156"/>
      <w:bookmarkEnd w:id="791"/>
      <w:bookmarkStart w:id="792" w:name="_Toc88508219"/>
      <w:bookmarkEnd w:id="792"/>
      <w:bookmarkStart w:id="793" w:name="_Toc88504859"/>
      <w:bookmarkEnd w:id="793"/>
      <w:bookmarkStart w:id="794" w:name="_Toc88507489"/>
      <w:bookmarkEnd w:id="794"/>
      <w:bookmarkStart w:id="795" w:name="_Toc88504252"/>
      <w:bookmarkEnd w:id="795"/>
      <w:bookmarkStart w:id="796" w:name="_Toc87530830"/>
      <w:bookmarkEnd w:id="796"/>
      <w:bookmarkStart w:id="797" w:name="_Toc88507512"/>
      <w:bookmarkEnd w:id="797"/>
      <w:bookmarkStart w:id="798" w:name="_Toc87531134"/>
      <w:bookmarkEnd w:id="798"/>
      <w:bookmarkStart w:id="799" w:name="_Toc87531270"/>
      <w:bookmarkEnd w:id="799"/>
      <w:bookmarkStart w:id="800" w:name="_Toc88507466"/>
      <w:bookmarkEnd w:id="800"/>
      <w:bookmarkStart w:id="801" w:name="_Toc88504558"/>
      <w:bookmarkEnd w:id="801"/>
      <w:bookmarkStart w:id="802" w:name="_Toc88503961"/>
      <w:bookmarkEnd w:id="802"/>
      <w:bookmarkStart w:id="803" w:name="_Toc88504545"/>
      <w:bookmarkEnd w:id="803"/>
      <w:bookmarkStart w:id="804" w:name="_Toc87531141"/>
      <w:bookmarkEnd w:id="804"/>
      <w:bookmarkStart w:id="805" w:name="_Toc88507434"/>
      <w:bookmarkEnd w:id="805"/>
      <w:bookmarkStart w:id="806" w:name="_Toc87517228"/>
      <w:bookmarkEnd w:id="806"/>
      <w:bookmarkStart w:id="807" w:name="_Toc88505121"/>
      <w:bookmarkEnd w:id="807"/>
      <w:bookmarkStart w:id="808" w:name="_Toc88504082"/>
      <w:bookmarkEnd w:id="808"/>
      <w:bookmarkStart w:id="809" w:name="_Toc88505327"/>
      <w:bookmarkEnd w:id="809"/>
      <w:bookmarkStart w:id="810" w:name="_Toc87530853"/>
      <w:bookmarkEnd w:id="810"/>
      <w:bookmarkStart w:id="811" w:name="_Toc88504825"/>
      <w:bookmarkEnd w:id="811"/>
      <w:bookmarkStart w:id="812" w:name="_Toc88504080"/>
      <w:bookmarkEnd w:id="812"/>
      <w:bookmarkStart w:id="813" w:name="_Toc87530973"/>
      <w:bookmarkEnd w:id="813"/>
      <w:bookmarkStart w:id="814" w:name="_Toc87459829"/>
      <w:bookmarkEnd w:id="814"/>
      <w:bookmarkStart w:id="815" w:name="_Toc88508268"/>
      <w:bookmarkEnd w:id="815"/>
      <w:bookmarkStart w:id="816" w:name="_Toc87530685"/>
      <w:bookmarkEnd w:id="816"/>
      <w:bookmarkStart w:id="817" w:name="_Toc87530675"/>
      <w:bookmarkEnd w:id="817"/>
      <w:bookmarkStart w:id="818" w:name="_Toc88504136"/>
      <w:bookmarkEnd w:id="818"/>
      <w:bookmarkStart w:id="819" w:name="_Toc88504770"/>
      <w:bookmarkEnd w:id="819"/>
      <w:bookmarkStart w:id="820" w:name="_Toc88508203"/>
      <w:bookmarkEnd w:id="820"/>
      <w:bookmarkStart w:id="821" w:name="_Toc87531277"/>
      <w:bookmarkEnd w:id="821"/>
      <w:bookmarkStart w:id="822" w:name="_Toc88505241"/>
      <w:bookmarkEnd w:id="822"/>
      <w:bookmarkStart w:id="823" w:name="_Toc88507476"/>
      <w:bookmarkEnd w:id="823"/>
      <w:bookmarkStart w:id="824" w:name="_Toc88507586"/>
      <w:bookmarkEnd w:id="824"/>
      <w:bookmarkStart w:id="825" w:name="_Toc88504394"/>
      <w:bookmarkEnd w:id="825"/>
      <w:bookmarkStart w:id="826" w:name="_Toc87887522"/>
      <w:bookmarkEnd w:id="826"/>
      <w:bookmarkStart w:id="827" w:name="_Toc88508202"/>
      <w:bookmarkEnd w:id="827"/>
      <w:bookmarkStart w:id="828" w:name="_Toc88507597"/>
      <w:bookmarkEnd w:id="828"/>
      <w:bookmarkStart w:id="829" w:name="_Toc88503782"/>
      <w:bookmarkEnd w:id="829"/>
      <w:bookmarkStart w:id="830" w:name="_Toc88064713"/>
      <w:bookmarkEnd w:id="830"/>
      <w:bookmarkStart w:id="831" w:name="_Toc88507457"/>
      <w:bookmarkEnd w:id="831"/>
      <w:bookmarkStart w:id="832" w:name="_Toc87517203"/>
      <w:bookmarkEnd w:id="832"/>
      <w:bookmarkStart w:id="833" w:name="_Toc88504386"/>
      <w:bookmarkEnd w:id="833"/>
      <w:bookmarkStart w:id="834" w:name="_Toc88504584"/>
      <w:bookmarkStart w:id="835" w:name="_Toc80114676"/>
      <w:bookmarkStart w:id="836" w:name="_Toc2127465934"/>
      <w:bookmarkStart w:id="837" w:name="_Toc88504012"/>
      <w:r>
        <w:rPr>
          <w:rFonts w:hint="eastAsia"/>
        </w:rPr>
        <w:t>加强海洋生态文明建设</w:t>
      </w:r>
      <w:bookmarkEnd w:id="834"/>
      <w:bookmarkEnd w:id="835"/>
      <w:bookmarkEnd w:id="836"/>
      <w:bookmarkEnd w:id="837"/>
    </w:p>
    <w:p>
      <w:pPr>
        <w:pStyle w:val="3"/>
        <w:numPr>
          <w:ilvl w:val="0"/>
          <w:numId w:val="15"/>
        </w:numPr>
        <w:spacing w:before="190" w:after="76"/>
        <w:rPr>
          <w:lang w:eastAsia="zh-CN"/>
        </w:rPr>
      </w:pPr>
      <w:bookmarkStart w:id="838" w:name="_Toc87531580"/>
      <w:bookmarkEnd w:id="838"/>
      <w:bookmarkStart w:id="839" w:name="_Toc88064721"/>
      <w:bookmarkEnd w:id="839"/>
      <w:bookmarkStart w:id="840" w:name="_Toc87461943"/>
      <w:bookmarkEnd w:id="840"/>
      <w:bookmarkStart w:id="841" w:name="_Toc87531590"/>
      <w:bookmarkEnd w:id="841"/>
      <w:bookmarkStart w:id="842" w:name="_Toc87530874"/>
      <w:bookmarkEnd w:id="842"/>
      <w:bookmarkStart w:id="843" w:name="_Toc87531160"/>
      <w:bookmarkEnd w:id="843"/>
      <w:bookmarkStart w:id="844" w:name="_Toc87293259"/>
      <w:bookmarkEnd w:id="844"/>
      <w:bookmarkStart w:id="845" w:name="_Toc87531023"/>
      <w:bookmarkEnd w:id="845"/>
      <w:bookmarkStart w:id="846" w:name="_Toc87531162"/>
      <w:bookmarkEnd w:id="846"/>
      <w:bookmarkStart w:id="847" w:name="_Toc87530878"/>
      <w:bookmarkEnd w:id="847"/>
      <w:bookmarkStart w:id="848" w:name="_Toc87531163"/>
      <w:bookmarkEnd w:id="848"/>
      <w:bookmarkStart w:id="849" w:name="_Toc87531305"/>
      <w:bookmarkEnd w:id="849"/>
      <w:bookmarkStart w:id="850" w:name="_Toc87531310"/>
      <w:bookmarkEnd w:id="850"/>
      <w:bookmarkStart w:id="851" w:name="_Toc87531309"/>
      <w:bookmarkEnd w:id="851"/>
      <w:bookmarkStart w:id="852" w:name="_Toc87531586"/>
      <w:bookmarkEnd w:id="852"/>
      <w:bookmarkStart w:id="853" w:name="_Toc87459852"/>
      <w:bookmarkEnd w:id="853"/>
      <w:bookmarkStart w:id="854" w:name="_Toc87459851"/>
      <w:bookmarkEnd w:id="854"/>
      <w:bookmarkStart w:id="855" w:name="_Toc87459857"/>
      <w:bookmarkEnd w:id="855"/>
      <w:bookmarkStart w:id="856" w:name="_Toc87530720"/>
      <w:bookmarkEnd w:id="856"/>
      <w:bookmarkStart w:id="857" w:name="_Toc87531167"/>
      <w:bookmarkEnd w:id="857"/>
      <w:bookmarkStart w:id="858" w:name="_Toc87293248"/>
      <w:bookmarkEnd w:id="858"/>
      <w:bookmarkStart w:id="859" w:name="_Toc87530870"/>
      <w:bookmarkEnd w:id="859"/>
      <w:bookmarkStart w:id="860" w:name="_Toc87531594"/>
      <w:bookmarkEnd w:id="860"/>
      <w:bookmarkStart w:id="861" w:name="_Toc87531581"/>
      <w:bookmarkEnd w:id="861"/>
      <w:bookmarkStart w:id="862" w:name="_Toc87531582"/>
      <w:bookmarkEnd w:id="862"/>
      <w:bookmarkStart w:id="863" w:name="_Toc87459847"/>
      <w:bookmarkEnd w:id="863"/>
      <w:bookmarkStart w:id="864" w:name="_Toc87459856"/>
      <w:bookmarkEnd w:id="864"/>
      <w:bookmarkStart w:id="865" w:name="_Toc87530726"/>
      <w:bookmarkEnd w:id="865"/>
      <w:bookmarkStart w:id="866" w:name="_Toc87531020"/>
      <w:bookmarkEnd w:id="866"/>
      <w:bookmarkStart w:id="867" w:name="_Toc88065190"/>
      <w:bookmarkEnd w:id="867"/>
      <w:bookmarkStart w:id="868" w:name="_Toc87461950"/>
      <w:bookmarkEnd w:id="868"/>
      <w:bookmarkStart w:id="869" w:name="_Toc87517238"/>
      <w:bookmarkEnd w:id="869"/>
      <w:bookmarkStart w:id="870" w:name="_Toc87531015"/>
      <w:bookmarkEnd w:id="870"/>
      <w:bookmarkStart w:id="871" w:name="_Toc87461955"/>
      <w:bookmarkEnd w:id="871"/>
      <w:bookmarkStart w:id="872" w:name="_Toc87530728"/>
      <w:bookmarkEnd w:id="872"/>
      <w:bookmarkStart w:id="873" w:name="_Toc87459853"/>
      <w:bookmarkEnd w:id="873"/>
      <w:bookmarkStart w:id="874" w:name="_Toc87531593"/>
      <w:bookmarkEnd w:id="874"/>
      <w:bookmarkStart w:id="875" w:name="_Toc87531159"/>
      <w:bookmarkEnd w:id="875"/>
      <w:bookmarkStart w:id="876" w:name="_Toc87517253"/>
      <w:bookmarkEnd w:id="876"/>
      <w:bookmarkStart w:id="877" w:name="_Toc87462136"/>
      <w:bookmarkEnd w:id="877"/>
      <w:bookmarkStart w:id="878" w:name="_Toc87531302"/>
      <w:bookmarkEnd w:id="878"/>
      <w:bookmarkStart w:id="879" w:name="_Toc87530881"/>
      <w:bookmarkEnd w:id="879"/>
      <w:bookmarkStart w:id="880" w:name="_Toc87293263"/>
      <w:bookmarkEnd w:id="880"/>
      <w:bookmarkStart w:id="881" w:name="_Toc88064724"/>
      <w:bookmarkEnd w:id="881"/>
      <w:bookmarkStart w:id="882" w:name="_Toc87461953"/>
      <w:bookmarkEnd w:id="882"/>
      <w:bookmarkStart w:id="883" w:name="_Toc87531018"/>
      <w:bookmarkEnd w:id="883"/>
      <w:bookmarkStart w:id="884" w:name="_Toc87517245"/>
      <w:bookmarkEnd w:id="884"/>
      <w:bookmarkStart w:id="885" w:name="_Toc87531300"/>
      <w:bookmarkEnd w:id="885"/>
      <w:bookmarkStart w:id="886" w:name="_Toc87293250"/>
      <w:bookmarkEnd w:id="886"/>
      <w:bookmarkStart w:id="887" w:name="_Toc87530868"/>
      <w:bookmarkEnd w:id="887"/>
      <w:bookmarkStart w:id="888" w:name="_Toc87462134"/>
      <w:bookmarkEnd w:id="888"/>
      <w:bookmarkStart w:id="889" w:name="_Toc87461958"/>
      <w:bookmarkEnd w:id="889"/>
      <w:bookmarkStart w:id="890" w:name="_Toc87531584"/>
      <w:bookmarkEnd w:id="890"/>
      <w:bookmarkStart w:id="891" w:name="_Toc87531311"/>
      <w:bookmarkEnd w:id="891"/>
      <w:bookmarkStart w:id="892" w:name="_Toc87530871"/>
      <w:bookmarkEnd w:id="892"/>
      <w:bookmarkStart w:id="893" w:name="_Toc87459846"/>
      <w:bookmarkEnd w:id="893"/>
      <w:bookmarkStart w:id="894" w:name="_Toc87530882"/>
      <w:bookmarkEnd w:id="894"/>
      <w:bookmarkStart w:id="895" w:name="_Toc87461949"/>
      <w:bookmarkEnd w:id="895"/>
      <w:bookmarkStart w:id="896" w:name="_Toc88065196"/>
      <w:bookmarkEnd w:id="896"/>
      <w:bookmarkStart w:id="897" w:name="_Toc87531025"/>
      <w:bookmarkEnd w:id="897"/>
      <w:bookmarkStart w:id="898" w:name="_Toc88064717"/>
      <w:bookmarkEnd w:id="898"/>
      <w:bookmarkStart w:id="899" w:name="_Toc87517250"/>
      <w:bookmarkEnd w:id="899"/>
      <w:bookmarkStart w:id="900" w:name="_Toc87530725"/>
      <w:bookmarkEnd w:id="900"/>
      <w:bookmarkStart w:id="901" w:name="_Toc87531304"/>
      <w:bookmarkEnd w:id="901"/>
      <w:bookmarkStart w:id="902" w:name="_Toc87462139"/>
      <w:bookmarkEnd w:id="902"/>
      <w:bookmarkStart w:id="903" w:name="_Toc87530723"/>
      <w:bookmarkEnd w:id="903"/>
      <w:bookmarkStart w:id="904" w:name="_Toc87462129"/>
      <w:bookmarkEnd w:id="904"/>
      <w:bookmarkStart w:id="905" w:name="_Toc87461954"/>
      <w:bookmarkEnd w:id="905"/>
      <w:bookmarkStart w:id="906" w:name="_Toc87517249"/>
      <w:bookmarkEnd w:id="906"/>
      <w:bookmarkStart w:id="907" w:name="_Toc87462128"/>
      <w:bookmarkEnd w:id="907"/>
      <w:bookmarkStart w:id="908" w:name="_Toc87530876"/>
      <w:bookmarkEnd w:id="908"/>
      <w:bookmarkStart w:id="909" w:name="_Toc87531592"/>
      <w:bookmarkEnd w:id="909"/>
      <w:bookmarkStart w:id="910" w:name="_Toc87531164"/>
      <w:bookmarkEnd w:id="910"/>
      <w:bookmarkStart w:id="911" w:name="_Toc88064718"/>
      <w:bookmarkEnd w:id="911"/>
      <w:bookmarkStart w:id="912" w:name="_Toc87461956"/>
      <w:bookmarkEnd w:id="912"/>
      <w:bookmarkStart w:id="913" w:name="_Toc87293257"/>
      <w:bookmarkEnd w:id="913"/>
      <w:bookmarkStart w:id="914" w:name="_Toc87517244"/>
      <w:bookmarkEnd w:id="914"/>
      <w:bookmarkStart w:id="915" w:name="_Toc87531017"/>
      <w:bookmarkEnd w:id="915"/>
      <w:bookmarkStart w:id="916" w:name="_Toc87530724"/>
      <w:bookmarkEnd w:id="916"/>
      <w:bookmarkStart w:id="917" w:name="_Toc88065188"/>
      <w:bookmarkEnd w:id="917"/>
      <w:bookmarkStart w:id="918" w:name="_Toc87530721"/>
      <w:bookmarkEnd w:id="918"/>
      <w:bookmarkStart w:id="919" w:name="_Toc87517243"/>
      <w:bookmarkEnd w:id="919"/>
      <w:bookmarkStart w:id="920" w:name="_Toc87461946"/>
      <w:bookmarkEnd w:id="920"/>
      <w:bookmarkStart w:id="921" w:name="_Toc88064719"/>
      <w:bookmarkEnd w:id="921"/>
      <w:bookmarkStart w:id="922" w:name="_Toc87293254"/>
      <w:bookmarkEnd w:id="922"/>
      <w:bookmarkStart w:id="923" w:name="_Toc87530873"/>
      <w:bookmarkEnd w:id="923"/>
      <w:bookmarkStart w:id="924" w:name="_Toc87531019"/>
      <w:bookmarkEnd w:id="924"/>
      <w:bookmarkStart w:id="925" w:name="_Toc87459842"/>
      <w:bookmarkEnd w:id="925"/>
      <w:bookmarkStart w:id="926" w:name="_Toc87459850"/>
      <w:bookmarkEnd w:id="926"/>
      <w:bookmarkStart w:id="927" w:name="_Toc87461947"/>
      <w:bookmarkEnd w:id="927"/>
      <w:bookmarkStart w:id="928" w:name="_Toc87531301"/>
      <w:bookmarkEnd w:id="928"/>
      <w:bookmarkStart w:id="929" w:name="_Toc87530717"/>
      <w:bookmarkEnd w:id="929"/>
      <w:bookmarkStart w:id="930" w:name="_Toc87531012"/>
      <w:bookmarkEnd w:id="930"/>
      <w:bookmarkStart w:id="931" w:name="_Toc87531154"/>
      <w:bookmarkEnd w:id="931"/>
      <w:bookmarkStart w:id="932" w:name="_Toc88161814"/>
      <w:bookmarkEnd w:id="932"/>
      <w:bookmarkStart w:id="933" w:name="_Toc87531158"/>
      <w:bookmarkEnd w:id="933"/>
      <w:bookmarkStart w:id="934" w:name="_Toc87530869"/>
      <w:bookmarkEnd w:id="934"/>
      <w:bookmarkStart w:id="935" w:name="_Toc87531588"/>
      <w:bookmarkEnd w:id="935"/>
      <w:bookmarkStart w:id="936" w:name="_Toc87531165"/>
      <w:bookmarkEnd w:id="936"/>
      <w:bookmarkStart w:id="937" w:name="_Toc87293252"/>
      <w:bookmarkEnd w:id="937"/>
      <w:bookmarkStart w:id="938" w:name="_Toc87531297"/>
      <w:bookmarkEnd w:id="938"/>
      <w:bookmarkStart w:id="939" w:name="_Toc88161813"/>
      <w:bookmarkEnd w:id="939"/>
      <w:bookmarkStart w:id="940" w:name="_Toc87293260"/>
      <w:bookmarkEnd w:id="940"/>
      <w:bookmarkStart w:id="941" w:name="_Toc87462140"/>
      <w:bookmarkEnd w:id="941"/>
      <w:bookmarkStart w:id="942" w:name="_Toc87459849"/>
      <w:bookmarkEnd w:id="942"/>
      <w:bookmarkStart w:id="943" w:name="_Toc87461948"/>
      <w:bookmarkEnd w:id="943"/>
      <w:bookmarkStart w:id="944" w:name="_Toc87517247"/>
      <w:bookmarkEnd w:id="944"/>
      <w:bookmarkStart w:id="945" w:name="_Toc87517240"/>
      <w:bookmarkEnd w:id="945"/>
      <w:bookmarkStart w:id="946" w:name="_Toc87461945"/>
      <w:bookmarkEnd w:id="946"/>
      <w:bookmarkStart w:id="947" w:name="_Toc87531021"/>
      <w:bookmarkEnd w:id="947"/>
      <w:bookmarkStart w:id="948" w:name="_Toc87530718"/>
      <w:bookmarkEnd w:id="948"/>
      <w:bookmarkStart w:id="949" w:name="_Toc87531308"/>
      <w:bookmarkEnd w:id="949"/>
      <w:bookmarkStart w:id="950" w:name="_Toc87531155"/>
      <w:bookmarkEnd w:id="950"/>
      <w:bookmarkStart w:id="951" w:name="_Toc87462137"/>
      <w:bookmarkEnd w:id="951"/>
      <w:bookmarkStart w:id="952" w:name="_Toc87531303"/>
      <w:bookmarkEnd w:id="952"/>
      <w:bookmarkStart w:id="953" w:name="_Toc87293249"/>
      <w:bookmarkEnd w:id="953"/>
      <w:bookmarkStart w:id="954" w:name="_Toc87531591"/>
      <w:bookmarkEnd w:id="954"/>
      <w:bookmarkStart w:id="955" w:name="_Toc87462142"/>
      <w:bookmarkEnd w:id="955"/>
      <w:bookmarkStart w:id="956" w:name="_Toc87462133"/>
      <w:bookmarkEnd w:id="956"/>
      <w:bookmarkStart w:id="957" w:name="_Toc87462127"/>
      <w:bookmarkEnd w:id="957"/>
      <w:bookmarkStart w:id="958" w:name="_Toc87530716"/>
      <w:bookmarkEnd w:id="958"/>
      <w:bookmarkStart w:id="959" w:name="_Toc87531307"/>
      <w:bookmarkEnd w:id="959"/>
      <w:bookmarkStart w:id="960" w:name="_Toc87531306"/>
      <w:bookmarkEnd w:id="960"/>
      <w:bookmarkStart w:id="961" w:name="_Toc87531312"/>
      <w:bookmarkEnd w:id="961"/>
      <w:bookmarkStart w:id="962" w:name="_Toc87293261"/>
      <w:bookmarkEnd w:id="962"/>
      <w:bookmarkStart w:id="963" w:name="_Toc87531016"/>
      <w:bookmarkEnd w:id="963"/>
      <w:bookmarkStart w:id="964" w:name="_Toc87462132"/>
      <w:bookmarkEnd w:id="964"/>
      <w:bookmarkStart w:id="965" w:name="_Toc87459855"/>
      <w:bookmarkEnd w:id="965"/>
      <w:bookmarkStart w:id="966" w:name="_Toc88065192"/>
      <w:bookmarkEnd w:id="966"/>
      <w:bookmarkStart w:id="967" w:name="_Toc87530872"/>
      <w:bookmarkEnd w:id="967"/>
      <w:bookmarkStart w:id="968" w:name="_Toc88065195"/>
      <w:bookmarkEnd w:id="968"/>
      <w:bookmarkStart w:id="969" w:name="_Toc87531298"/>
      <w:bookmarkEnd w:id="969"/>
      <w:bookmarkStart w:id="970" w:name="_Toc87293253"/>
      <w:bookmarkEnd w:id="970"/>
      <w:bookmarkStart w:id="971" w:name="_Toc87531169"/>
      <w:bookmarkEnd w:id="971"/>
      <w:bookmarkStart w:id="972" w:name="_Toc87517241"/>
      <w:bookmarkEnd w:id="972"/>
      <w:bookmarkStart w:id="973" w:name="_Toc87531168"/>
      <w:bookmarkEnd w:id="973"/>
      <w:bookmarkStart w:id="974" w:name="_Toc88161810"/>
      <w:bookmarkEnd w:id="974"/>
      <w:bookmarkStart w:id="975" w:name="_Toc87462135"/>
      <w:bookmarkEnd w:id="975"/>
      <w:bookmarkStart w:id="976" w:name="_Toc88161811"/>
      <w:bookmarkEnd w:id="976"/>
      <w:bookmarkStart w:id="977" w:name="_Toc87462131"/>
      <w:bookmarkEnd w:id="977"/>
      <w:bookmarkStart w:id="978" w:name="_Toc88161817"/>
      <w:bookmarkEnd w:id="978"/>
      <w:bookmarkStart w:id="979" w:name="_Toc87531156"/>
      <w:bookmarkEnd w:id="979"/>
      <w:bookmarkStart w:id="980" w:name="_Toc87517248"/>
      <w:bookmarkEnd w:id="980"/>
      <w:bookmarkStart w:id="981" w:name="_Toc87531587"/>
      <w:bookmarkEnd w:id="981"/>
      <w:bookmarkStart w:id="982" w:name="_Toc87530722"/>
      <w:bookmarkEnd w:id="982"/>
      <w:bookmarkStart w:id="983" w:name="_Toc87531013"/>
      <w:bookmarkEnd w:id="983"/>
      <w:bookmarkStart w:id="984" w:name="_Toc87293258"/>
      <w:bookmarkEnd w:id="984"/>
      <w:bookmarkStart w:id="985" w:name="_Toc87531157"/>
      <w:bookmarkEnd w:id="985"/>
      <w:bookmarkStart w:id="986" w:name="_Toc87517251"/>
      <w:bookmarkEnd w:id="986"/>
      <w:bookmarkStart w:id="987" w:name="_Toc87530867"/>
      <w:bookmarkEnd w:id="987"/>
      <w:bookmarkStart w:id="988" w:name="_Toc87517252"/>
      <w:bookmarkEnd w:id="988"/>
      <w:bookmarkStart w:id="989" w:name="_Toc87531583"/>
      <w:bookmarkEnd w:id="989"/>
      <w:bookmarkStart w:id="990" w:name="_Toc87293262"/>
      <w:bookmarkEnd w:id="990"/>
      <w:bookmarkStart w:id="991" w:name="_Toc88064722"/>
      <w:bookmarkEnd w:id="991"/>
      <w:bookmarkStart w:id="992" w:name="_Toc87461951"/>
      <w:bookmarkEnd w:id="992"/>
      <w:bookmarkStart w:id="993" w:name="_Toc87461944"/>
      <w:bookmarkEnd w:id="993"/>
      <w:bookmarkStart w:id="994" w:name="_Toc87293251"/>
      <w:bookmarkEnd w:id="994"/>
      <w:bookmarkStart w:id="995" w:name="_Toc87531299"/>
      <w:bookmarkEnd w:id="995"/>
      <w:bookmarkStart w:id="996" w:name="_Toc88161818"/>
      <w:bookmarkEnd w:id="996"/>
      <w:bookmarkStart w:id="997" w:name="_Toc88161815"/>
      <w:bookmarkEnd w:id="997"/>
      <w:bookmarkStart w:id="998" w:name="_Toc88161816"/>
      <w:bookmarkEnd w:id="998"/>
      <w:bookmarkStart w:id="999" w:name="_Toc87517246"/>
      <w:bookmarkEnd w:id="999"/>
      <w:bookmarkStart w:id="1000" w:name="_Toc87530877"/>
      <w:bookmarkEnd w:id="1000"/>
      <w:bookmarkStart w:id="1001" w:name="_Toc87459843"/>
      <w:bookmarkEnd w:id="1001"/>
      <w:bookmarkStart w:id="1002" w:name="_Toc87462130"/>
      <w:bookmarkEnd w:id="1002"/>
      <w:bookmarkStart w:id="1003" w:name="_Toc87462141"/>
      <w:bookmarkEnd w:id="1003"/>
      <w:bookmarkStart w:id="1004" w:name="_Toc87531161"/>
      <w:bookmarkEnd w:id="1004"/>
      <w:bookmarkStart w:id="1005" w:name="_Toc87531011"/>
      <w:bookmarkEnd w:id="1005"/>
      <w:bookmarkStart w:id="1006" w:name="_Toc87531014"/>
      <w:bookmarkEnd w:id="1006"/>
      <w:bookmarkStart w:id="1007" w:name="_Toc87531022"/>
      <w:bookmarkEnd w:id="1007"/>
      <w:bookmarkStart w:id="1008" w:name="_Toc87531595"/>
      <w:bookmarkEnd w:id="1008"/>
      <w:bookmarkStart w:id="1009" w:name="_Toc87459854"/>
      <w:bookmarkEnd w:id="1009"/>
      <w:bookmarkStart w:id="1010" w:name="_Toc87530875"/>
      <w:bookmarkEnd w:id="1010"/>
      <w:bookmarkStart w:id="1011" w:name="_Toc87531589"/>
      <w:bookmarkEnd w:id="1011"/>
      <w:bookmarkStart w:id="1012" w:name="_Toc87461952"/>
      <w:bookmarkEnd w:id="1012"/>
      <w:bookmarkStart w:id="1013" w:name="_Toc87459844"/>
      <w:bookmarkEnd w:id="1013"/>
      <w:bookmarkStart w:id="1014" w:name="_Toc87459845"/>
      <w:bookmarkEnd w:id="1014"/>
      <w:bookmarkStart w:id="1015" w:name="_Toc88065193"/>
      <w:bookmarkEnd w:id="1015"/>
      <w:bookmarkStart w:id="1016" w:name="_Toc88064723"/>
      <w:bookmarkEnd w:id="1016"/>
      <w:bookmarkStart w:id="1017" w:name="_Toc88064720"/>
      <w:bookmarkEnd w:id="1017"/>
      <w:bookmarkStart w:id="1018" w:name="_Toc88064716"/>
      <w:bookmarkEnd w:id="1018"/>
      <w:bookmarkStart w:id="1019" w:name="_Toc88161812"/>
      <w:bookmarkEnd w:id="1019"/>
      <w:bookmarkStart w:id="1020" w:name="_Toc87293256"/>
      <w:bookmarkEnd w:id="1020"/>
      <w:bookmarkStart w:id="1021" w:name="_Toc87462138"/>
      <w:bookmarkEnd w:id="1021"/>
      <w:bookmarkStart w:id="1022" w:name="_Toc87530727"/>
      <w:bookmarkEnd w:id="1022"/>
      <w:bookmarkStart w:id="1023" w:name="_Toc87531026"/>
      <w:bookmarkEnd w:id="1023"/>
      <w:bookmarkStart w:id="1024" w:name="_Toc87531585"/>
      <w:bookmarkEnd w:id="1024"/>
      <w:bookmarkStart w:id="1025" w:name="_Toc87530879"/>
      <w:bookmarkEnd w:id="1025"/>
      <w:bookmarkStart w:id="1026" w:name="_Toc88065191"/>
      <w:bookmarkEnd w:id="1026"/>
      <w:bookmarkStart w:id="1027" w:name="_Toc87531166"/>
      <w:bookmarkEnd w:id="1027"/>
      <w:bookmarkStart w:id="1028" w:name="_Toc87530880"/>
      <w:bookmarkEnd w:id="1028"/>
      <w:bookmarkStart w:id="1029" w:name="_Toc87531024"/>
      <w:bookmarkEnd w:id="1029"/>
      <w:bookmarkStart w:id="1030" w:name="_Toc87517239"/>
      <w:bookmarkEnd w:id="1030"/>
      <w:bookmarkStart w:id="1031" w:name="_Toc87530715"/>
      <w:bookmarkEnd w:id="1031"/>
      <w:bookmarkStart w:id="1032" w:name="_Toc88065194"/>
      <w:bookmarkEnd w:id="1032"/>
      <w:bookmarkStart w:id="1033" w:name="_Toc87461957"/>
      <w:bookmarkEnd w:id="1033"/>
      <w:bookmarkStart w:id="1034" w:name="_Toc87459848"/>
      <w:bookmarkEnd w:id="1034"/>
      <w:bookmarkStart w:id="1035" w:name="_Toc87530714"/>
      <w:bookmarkEnd w:id="1035"/>
      <w:bookmarkStart w:id="1036" w:name="_Toc87530719"/>
      <w:bookmarkEnd w:id="1036"/>
      <w:bookmarkStart w:id="1037" w:name="_Toc87517242"/>
      <w:bookmarkEnd w:id="1037"/>
      <w:bookmarkStart w:id="1038" w:name="_Toc87530713"/>
      <w:bookmarkEnd w:id="1038"/>
      <w:bookmarkStart w:id="1039" w:name="_Toc87293255"/>
      <w:bookmarkEnd w:id="1039"/>
      <w:bookmarkStart w:id="1040" w:name="_Toc88065189"/>
      <w:bookmarkEnd w:id="1040"/>
      <w:bookmarkStart w:id="1041" w:name="_Toc88504586"/>
      <w:bookmarkStart w:id="1042" w:name="_Toc88504014"/>
      <w:bookmarkStart w:id="1043" w:name="_Toc87531579"/>
      <w:bookmarkStart w:id="1044" w:name="_Toc1084668732"/>
      <w:r>
        <w:rPr>
          <w:rFonts w:hint="eastAsia"/>
          <w:lang w:eastAsia="zh-CN"/>
        </w:rPr>
        <w:t>推进</w:t>
      </w:r>
      <w:r>
        <w:rPr>
          <w:rFonts w:hint="eastAsia"/>
        </w:rPr>
        <w:t>海洋</w:t>
      </w:r>
      <w:r>
        <w:rPr>
          <w:rFonts w:hint="eastAsia"/>
          <w:lang w:eastAsia="zh-CN"/>
        </w:rPr>
        <w:t>生态保护与修复</w:t>
      </w:r>
      <w:bookmarkEnd w:id="1041"/>
      <w:bookmarkEnd w:id="1042"/>
      <w:bookmarkEnd w:id="1043"/>
      <w:r>
        <w:rPr>
          <w:rFonts w:hint="eastAsia"/>
          <w:lang w:eastAsia="zh-CN"/>
        </w:rPr>
        <w:t>示范</w:t>
      </w:r>
      <w:bookmarkEnd w:id="1044"/>
    </w:p>
    <w:p>
      <w:pPr>
        <w:pStyle w:val="50"/>
      </w:pPr>
      <w:r>
        <w:rPr>
          <w:rFonts w:hint="eastAsia"/>
          <w:b/>
          <w:bCs/>
        </w:rPr>
        <w:t>开展海洋生态系统基础调查。</w:t>
      </w:r>
      <w:r>
        <w:rPr>
          <w:rFonts w:hint="eastAsia"/>
        </w:rPr>
        <w:t>开展海洋资源基础调查，建立生态系统本底台账；加强海洋污染基线调查，针对管辖海域缺氧区、微塑料和放射性核素等开展海洋生态环境专项调查。</w:t>
      </w:r>
    </w:p>
    <w:p>
      <w:pPr>
        <w:pStyle w:val="50"/>
      </w:pPr>
      <w:r>
        <w:rPr>
          <w:rFonts w:hint="eastAsia"/>
          <w:b/>
          <w:bCs/>
        </w:rPr>
        <w:t>加强海洋生态系统保护</w:t>
      </w:r>
      <w:r>
        <w:rPr>
          <w:rFonts w:hint="eastAsia"/>
        </w:rPr>
        <w:t>。严格实施海洋生态红线管控制度，统筹海岸带、海岛和自然保护地的整体保护。推进落实分类科学、布局合理、保护有力、管理有效的自然保护地体系。保护重要海洋生物产卵场、索饵场及洄游通道，构建海洋生态廊道和生物多样性保护网络。</w:t>
      </w:r>
    </w:p>
    <w:p>
      <w:pPr>
        <w:pStyle w:val="50"/>
      </w:pPr>
      <w:r>
        <w:rPr>
          <w:rFonts w:hint="eastAsia"/>
          <w:b/>
          <w:bCs/>
        </w:rPr>
        <w:t>实施陆海污染综合治理。</w:t>
      </w:r>
      <w:r>
        <w:rPr>
          <w:rFonts w:hint="eastAsia"/>
        </w:rPr>
        <w:t>实行入海污染物排放总量控制，建立入海排放口分类管控体系，健全排水精细化管理体制机制，开展深圳湾污染治理；坚持污染物源头减排，建立健全落后产能退出机制，严格实施沿海产业和重大项目、用海企业的环境准入和监管，建立健全海洋垃圾管理制度，加强海洋垃圾接收、管理和处置。协调经济发展方式和海洋生态环境保护，实现可持续发展。</w:t>
      </w:r>
    </w:p>
    <w:p>
      <w:pPr>
        <w:pStyle w:val="50"/>
      </w:pPr>
      <w:r>
        <w:rPr>
          <w:rFonts w:hint="eastAsia"/>
          <w:b/>
          <w:bCs/>
        </w:rPr>
        <w:t>创新海洋生态</w:t>
      </w:r>
      <w:r>
        <w:rPr>
          <w:rFonts w:hint="eastAsia"/>
          <w:b/>
          <w:bCs/>
          <w:lang w:val="en-US" w:eastAsia="zh-CN"/>
        </w:rPr>
        <w:t>保护与</w:t>
      </w:r>
      <w:r>
        <w:rPr>
          <w:rFonts w:hint="eastAsia"/>
          <w:b/>
          <w:bCs/>
        </w:rPr>
        <w:t>修复示范。</w:t>
      </w:r>
      <w:r>
        <w:rPr>
          <w:rFonts w:hint="eastAsia"/>
        </w:rPr>
        <w:t>统筹推动“三湾一口”及深汕海域整体保护和修复，实施海岸带生态修复工程，推进水环境治理、岸线修复和鸟类栖息地修复，增强海岸带生态服务能力。建成一批红树林、珊瑚礁、砂质海岸等典型海洋生态系统保护修复、海湾整治等示范项目。</w:t>
      </w:r>
    </w:p>
    <w:tbl>
      <w:tblPr>
        <w:tblStyle w:val="3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83"/>
              <w:keepNext w:val="0"/>
              <w:keepLines w:val="0"/>
              <w:suppressLineNumbers w:val="0"/>
              <w:spacing w:before="190" w:beforeAutospacing="0" w:after="190" w:afterAutospacing="0"/>
              <w:ind w:left="0" w:right="0"/>
              <w:rPr>
                <w:rFonts w:hint="eastAsia"/>
                <w:b w:val="0"/>
                <w:bCs w:val="0"/>
              </w:rPr>
            </w:pPr>
            <w:r>
              <w:rPr>
                <w:rFonts w:hint="eastAsia"/>
              </w:rPr>
              <w:t>专栏</w:t>
            </w:r>
            <w:r>
              <w:rPr>
                <w:rFonts w:hint="default"/>
                <w:lang w:val="en"/>
              </w:rPr>
              <w:t>14</w:t>
            </w:r>
            <w:r>
              <w:rPr>
                <w:rFonts w:hint="eastAsia"/>
              </w:rPr>
              <w:t>：生态保护和修复示范</w:t>
            </w:r>
          </w:p>
          <w:p>
            <w:pPr>
              <w:pStyle w:val="82"/>
              <w:keepNext w:val="0"/>
              <w:keepLines w:val="0"/>
              <w:suppressLineNumbers w:val="0"/>
              <w:spacing w:before="0" w:beforeAutospacing="0" w:afterAutospacing="0"/>
              <w:ind w:left="0" w:right="0"/>
              <w:rPr>
                <w:rFonts w:hint="eastAsia"/>
              </w:rPr>
            </w:pPr>
            <w:r>
              <w:rPr>
                <w:rFonts w:hint="eastAsia"/>
                <w:b/>
              </w:rPr>
              <w:t>深圳市海岸带生物多样性保护修复示范工程：</w:t>
            </w:r>
            <w:r>
              <w:rPr>
                <w:rFonts w:hint="eastAsia"/>
              </w:rPr>
              <w:t>实施西湾、前海城市新中心、深圳湾、大小梅沙-南澳、桔钓沙-龙岐湾等海岸带生态修复工程。开展红树林营造、珊瑚保育与生态修复等示范工程，维护海岸带生物多样性重要生境。重点在福田红树林保护区、西湾公园南侧、东宝河口、坝光盐灶村西段开展红树林保育修复工程，形成科学合理的红树林湿地格局，推动深圳湾红树林湿地纳入拉姆萨尔国际重要湿地名录。以杨梅坑、东西涌、大鹿港、大澳湾等海域为重点，科学有序进行珊瑚保育与生态修复，并进行效果监测和评估，维护珊瑚群落及其栖息地的生态环境，促进珊瑚群落的可持续发展。</w:t>
            </w:r>
          </w:p>
          <w:p>
            <w:pPr>
              <w:pStyle w:val="82"/>
              <w:keepNext w:val="0"/>
              <w:keepLines w:val="0"/>
              <w:suppressLineNumbers w:val="0"/>
              <w:spacing w:before="0" w:beforeAutospacing="0" w:afterAutospacing="0"/>
              <w:ind w:left="0" w:right="0"/>
              <w:rPr>
                <w:rFonts w:hint="eastAsia"/>
              </w:rPr>
            </w:pPr>
            <w:r>
              <w:rPr>
                <w:rFonts w:hint="eastAsia"/>
                <w:b/>
                <w:bCs/>
              </w:rPr>
              <w:t>深圳市无居民海岛保护利用：</w:t>
            </w:r>
            <w:r>
              <w:rPr>
                <w:rFonts w:hint="eastAsia"/>
              </w:rPr>
              <w:t>开展对内伶仃岛的保护和科普教育基地建设。</w:t>
            </w:r>
            <w:r>
              <w:rPr>
                <w:rFonts w:hint="eastAsia"/>
                <w:lang w:val="en-US" w:eastAsia="zh-CN"/>
              </w:rPr>
              <w:t>开展海岛生态状况评估，加强对生态环境脆弱海岛的监测、保护和修复。</w:t>
            </w:r>
          </w:p>
          <w:p>
            <w:pPr>
              <w:pStyle w:val="82"/>
              <w:keepNext w:val="0"/>
              <w:keepLines w:val="0"/>
              <w:suppressLineNumbers w:val="0"/>
              <w:spacing w:before="0" w:beforeAutospacing="0" w:afterAutospacing="0"/>
              <w:ind w:left="0" w:right="0"/>
              <w:rPr>
                <w:rFonts w:hint="eastAsia"/>
              </w:rPr>
            </w:pPr>
            <w:r>
              <w:rPr>
                <w:rFonts w:hint="eastAsia"/>
                <w:b/>
              </w:rPr>
              <w:t>“一带一路”海洋绿色技术创新孵化基地建设：</w:t>
            </w:r>
            <w:r>
              <w:rPr>
                <w:rFonts w:hint="eastAsia"/>
              </w:rPr>
              <w:t>依托“一带一路”环境技术交流与转移中心（深圳）建设“一带一路”国家海洋绿色高新技术启动器、加速器及成果转化平台，吸引国内外相关企业科研院所、初创团队、高端技术人才以及国家、省级重点实验室落户深圳。</w:t>
            </w:r>
          </w:p>
        </w:tc>
      </w:tr>
    </w:tbl>
    <w:p>
      <w:pPr>
        <w:pStyle w:val="3"/>
        <w:numPr>
          <w:ilvl w:val="0"/>
          <w:numId w:val="15"/>
        </w:numPr>
        <w:spacing w:before="190" w:after="76"/>
      </w:pPr>
      <w:bookmarkStart w:id="1045" w:name="_Toc88504013"/>
      <w:bookmarkStart w:id="1046" w:name="_Toc909654682"/>
      <w:bookmarkStart w:id="1047" w:name="_Toc87531578"/>
      <w:bookmarkStart w:id="1048" w:name="_Toc88504585"/>
      <w:bookmarkStart w:id="1049" w:name="_Toc88504015"/>
      <w:bookmarkStart w:id="1050" w:name="_Toc88504587"/>
      <w:r>
        <w:rPr>
          <w:rFonts w:hint="eastAsia"/>
        </w:rPr>
        <w:t>加强蓝碳研究和探索</w:t>
      </w:r>
      <w:bookmarkEnd w:id="1045"/>
      <w:bookmarkEnd w:id="1046"/>
      <w:bookmarkEnd w:id="1047"/>
      <w:bookmarkEnd w:id="1048"/>
    </w:p>
    <w:p>
      <w:pPr>
        <w:pStyle w:val="50"/>
      </w:pPr>
      <w:r>
        <w:rPr>
          <w:rFonts w:hint="eastAsia"/>
          <w:b/>
          <w:bCs/>
        </w:rPr>
        <w:t>加强深圳蓝色碳汇资源调查和监测研究。</w:t>
      </w:r>
      <w:r>
        <w:rPr>
          <w:rFonts w:hint="eastAsia"/>
        </w:rPr>
        <w:t>探索研究蓝色碳汇价值核算、评估等领域标准体系的研究和制定。探索开展全市蓝碳生态系统分布和碳库摸底，形成蓝碳调查评估和监测方法，建立深圳市蓝碳基础数据库；发挥政府管理和市场调节功能，探索管控碳汇存量和增量，助力碳达峰。</w:t>
      </w:r>
    </w:p>
    <w:p>
      <w:pPr>
        <w:pStyle w:val="50"/>
      </w:pPr>
      <w:r>
        <w:rPr>
          <w:rFonts w:hint="eastAsia"/>
          <w:b/>
          <w:bCs/>
        </w:rPr>
        <w:t>探索布局蓝碳经济。</w:t>
      </w:r>
      <w:r>
        <w:rPr>
          <w:rFonts w:hint="eastAsia"/>
        </w:rPr>
        <w:t>打造海洋低碳新型经济体系，推动海洋产业生态化、海洋生态产业化，鼓励企业探索建设氢能产业、碳捕获、利用与封存(</w:t>
      </w:r>
      <w:r>
        <w:t>CCUS)</w:t>
      </w:r>
      <w:r>
        <w:rPr>
          <w:rFonts w:hint="eastAsia"/>
        </w:rPr>
        <w:t>等，研究探索红树林、海藻场碳汇等海洋碳汇项目。开展蓝碳投融资标准规范研究，探索开展蓝碳市场交易试点，推动蓝碳生态价值货币化进程。</w:t>
      </w:r>
    </w:p>
    <w:p>
      <w:pPr>
        <w:pStyle w:val="3"/>
        <w:spacing w:before="190" w:after="76"/>
      </w:pPr>
      <w:bookmarkStart w:id="1051" w:name="_Toc1088552128"/>
      <w:r>
        <w:rPr>
          <w:rFonts w:hint="eastAsia"/>
        </w:rPr>
        <w:t>提升海洋</w:t>
      </w:r>
      <w:r>
        <w:rPr>
          <w:rFonts w:hint="eastAsia"/>
          <w:lang w:eastAsia="zh-CN"/>
        </w:rPr>
        <w:t>安全与公共服务</w:t>
      </w:r>
      <w:r>
        <w:rPr>
          <w:rFonts w:hint="eastAsia"/>
        </w:rPr>
        <w:t>能力</w:t>
      </w:r>
      <w:bookmarkEnd w:id="1049"/>
      <w:bookmarkEnd w:id="1050"/>
      <w:bookmarkEnd w:id="1051"/>
    </w:p>
    <w:p>
      <w:pPr>
        <w:pStyle w:val="50"/>
      </w:pPr>
      <w:r>
        <w:rPr>
          <w:rFonts w:hint="eastAsia"/>
          <w:b/>
          <w:bCs/>
        </w:rPr>
        <w:t>建立海洋综合立体观测系统。</w:t>
      </w:r>
      <w:r>
        <w:rPr>
          <w:rFonts w:hint="eastAsia"/>
        </w:rPr>
        <w:t>优化海洋观测布局，加强岸基、海基（含水面、水下）、空基及应急移动等观测设施建设。强化雷达探测、光纤传感技术、视频监控等新型技术应用，提升海洋自然灾害的智能感知及监测预警能力。探索建立海洋观测信息共享机制，推动气象、水务、海洋等部门灾害监测信息互通共享。</w:t>
      </w:r>
    </w:p>
    <w:p>
      <w:pPr>
        <w:pStyle w:val="50"/>
      </w:pPr>
      <w:r>
        <w:rPr>
          <w:rFonts w:hint="eastAsia"/>
          <w:b/>
          <w:bCs/>
        </w:rPr>
        <w:t>提高预警报信息化水平。</w:t>
      </w:r>
      <w:r>
        <w:rPr>
          <w:rFonts w:hint="eastAsia"/>
        </w:rPr>
        <w:t>提升海洋灾害预警服务水平，加强智能监测预警预报一体化平台建设。推进海洋灾害辅助决策支撑，充分利用数值预报、云平台、人工智能等信息化技术，加强统一指挥、快速响应、信息共享、可视化管理。充分利用多渠道平台建设海洋信息精准靶向发布和服务系统，提供日常预报、灾害预警、专项预报等内容。加强海上交通安全风险预警及监测，实现深圳辖区海上交通安全风险预警预控智能化和重点水域预警预控全覆盖。建设海洋智能应答及服务引擎，实现海洋预警报信息、紧急避险指南、海洋科普等信息的主动推送和综合检索集成。探索建设大湾区关港贸信息服务平台，支持进口货物防疫跟踪，提升疫情防控能力和水平。</w:t>
      </w:r>
    </w:p>
    <w:p>
      <w:pPr>
        <w:pStyle w:val="50"/>
      </w:pPr>
      <w:r>
        <w:rPr>
          <w:rFonts w:hint="eastAsia"/>
          <w:b/>
          <w:bCs/>
        </w:rPr>
        <w:t>提升海上执法和应急救援能力</w:t>
      </w:r>
      <w:r>
        <w:rPr>
          <w:rFonts w:hint="eastAsia"/>
        </w:rPr>
        <w:t>。持续加强海上执法能力建设，推动执法基地建设，促进执法装备现代化、智能化发展。建设深圳东部海域大鹏应急救援基地，提升应急管理能力。推动政府海上搜救应急基地、飞行基地、搜救应急救助点及其配套设施建设，提高搜寻、救助、溢油应急等综合效率。加大水上搜救力量建设力度，培育社会搜救力量，建立健全利用政府购买社会服务方式加强台风等特殊敏感时期社会力量参与水上搜救工作救助机制。</w:t>
      </w:r>
    </w:p>
    <w:tbl>
      <w:tblPr>
        <w:tblStyle w:val="3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pPr>
              <w:pStyle w:val="83"/>
              <w:keepNext w:val="0"/>
              <w:keepLines w:val="0"/>
              <w:suppressLineNumbers w:val="0"/>
              <w:spacing w:before="190" w:beforeAutospacing="0" w:after="190" w:afterAutospacing="0"/>
              <w:ind w:left="0" w:right="0"/>
              <w:rPr>
                <w:rFonts w:hint="eastAsia"/>
              </w:rPr>
            </w:pPr>
            <w:bookmarkStart w:id="1052" w:name="_Toc87462194"/>
            <w:bookmarkEnd w:id="1052"/>
            <w:bookmarkStart w:id="1053" w:name="_Toc87517272"/>
            <w:bookmarkEnd w:id="1053"/>
            <w:bookmarkStart w:id="1054" w:name="_Toc87517284"/>
            <w:bookmarkEnd w:id="1054"/>
            <w:bookmarkStart w:id="1055" w:name="_Toc87461974"/>
            <w:bookmarkEnd w:id="1055"/>
            <w:bookmarkStart w:id="1056" w:name="_Toc87461985"/>
            <w:bookmarkEnd w:id="1056"/>
            <w:bookmarkStart w:id="1057" w:name="_Toc87462172"/>
            <w:bookmarkEnd w:id="1057"/>
            <w:bookmarkStart w:id="1058" w:name="_Toc87462160"/>
            <w:bookmarkEnd w:id="1058"/>
            <w:bookmarkStart w:id="1059" w:name="_Toc87517271"/>
            <w:bookmarkEnd w:id="1059"/>
            <w:bookmarkStart w:id="1060" w:name="_Toc87462169"/>
            <w:bookmarkEnd w:id="1060"/>
            <w:bookmarkStart w:id="1061" w:name="_Toc87461977"/>
            <w:bookmarkEnd w:id="1061"/>
            <w:bookmarkStart w:id="1062" w:name="_Toc87461975"/>
            <w:bookmarkEnd w:id="1062"/>
            <w:bookmarkStart w:id="1063" w:name="_Toc87517305"/>
            <w:bookmarkEnd w:id="1063"/>
            <w:bookmarkStart w:id="1064" w:name="_Toc87462185"/>
            <w:bookmarkEnd w:id="1064"/>
            <w:bookmarkStart w:id="1065" w:name="_Toc87517280"/>
            <w:bookmarkEnd w:id="1065"/>
            <w:bookmarkStart w:id="1066" w:name="_Toc87462168"/>
            <w:bookmarkEnd w:id="1066"/>
            <w:bookmarkStart w:id="1067" w:name="_Toc87461988"/>
            <w:bookmarkEnd w:id="1067"/>
            <w:bookmarkStart w:id="1068" w:name="_Toc87461976"/>
            <w:bookmarkEnd w:id="1068"/>
            <w:bookmarkStart w:id="1069" w:name="_Toc87462161"/>
            <w:bookmarkEnd w:id="1069"/>
            <w:bookmarkStart w:id="1070" w:name="_Toc87517296"/>
            <w:bookmarkEnd w:id="1070"/>
            <w:bookmarkStart w:id="1071" w:name="_Toc87461986"/>
            <w:bookmarkEnd w:id="1071"/>
            <w:bookmarkStart w:id="1072" w:name="_Toc87517283"/>
            <w:bookmarkEnd w:id="1072"/>
            <w:bookmarkStart w:id="1073" w:name="_Toc87462001"/>
            <w:bookmarkEnd w:id="1073"/>
            <w:bookmarkStart w:id="1074" w:name="_Toc87461998"/>
            <w:bookmarkEnd w:id="1074"/>
            <w:bookmarkStart w:id="1075" w:name="_Toc87462181"/>
            <w:bookmarkEnd w:id="1075"/>
            <w:bookmarkStart w:id="1076" w:name="_Toc87462182"/>
            <w:bookmarkEnd w:id="1076"/>
            <w:bookmarkStart w:id="1077" w:name="_Toc87517269"/>
            <w:bookmarkEnd w:id="1077"/>
            <w:bookmarkStart w:id="1078" w:name="_Toc87517293"/>
            <w:bookmarkEnd w:id="1078"/>
            <w:bookmarkStart w:id="1079" w:name="_Toc87461990"/>
            <w:bookmarkEnd w:id="1079"/>
            <w:bookmarkStart w:id="1080" w:name="_Toc87461987"/>
            <w:bookmarkEnd w:id="1080"/>
            <w:bookmarkStart w:id="1081" w:name="_Toc87462170"/>
            <w:bookmarkEnd w:id="1081"/>
            <w:bookmarkStart w:id="1082" w:name="_Toc87517279"/>
            <w:bookmarkEnd w:id="1082"/>
            <w:bookmarkStart w:id="1083" w:name="_Toc87462183"/>
            <w:bookmarkEnd w:id="1083"/>
            <w:bookmarkStart w:id="1084" w:name="_Toc87462184"/>
            <w:bookmarkEnd w:id="1084"/>
            <w:bookmarkStart w:id="1085" w:name="_Toc87517295"/>
            <w:bookmarkEnd w:id="1085"/>
            <w:bookmarkStart w:id="1086" w:name="_Toc87462159"/>
            <w:bookmarkEnd w:id="1086"/>
            <w:bookmarkStart w:id="1087" w:name="_Toc87462174"/>
            <w:bookmarkEnd w:id="1087"/>
            <w:bookmarkStart w:id="1088" w:name="_Toc87462000"/>
            <w:bookmarkEnd w:id="1088"/>
            <w:bookmarkStart w:id="1089" w:name="_Toc87517281"/>
            <w:bookmarkEnd w:id="1089"/>
            <w:bookmarkStart w:id="1090" w:name="_Toc87462158"/>
            <w:bookmarkEnd w:id="1090"/>
            <w:bookmarkStart w:id="1091" w:name="_Toc87461997"/>
            <w:bookmarkEnd w:id="1091"/>
            <w:bookmarkStart w:id="1092" w:name="_Toc87517282"/>
            <w:bookmarkEnd w:id="1092"/>
            <w:bookmarkStart w:id="1093" w:name="_Toc87517285"/>
            <w:bookmarkEnd w:id="1093"/>
            <w:bookmarkStart w:id="1094" w:name="_Toc87462173"/>
            <w:bookmarkEnd w:id="1094"/>
            <w:bookmarkStart w:id="1095" w:name="_Toc87517294"/>
            <w:bookmarkEnd w:id="1095"/>
            <w:bookmarkStart w:id="1096" w:name="_Toc87461984"/>
            <w:bookmarkEnd w:id="1096"/>
            <w:bookmarkStart w:id="1097" w:name="_Toc87462010"/>
            <w:bookmarkEnd w:id="1097"/>
            <w:bookmarkStart w:id="1098" w:name="_Toc87517292"/>
            <w:bookmarkEnd w:id="1098"/>
            <w:bookmarkStart w:id="1099" w:name="_Toc87461989"/>
            <w:bookmarkEnd w:id="1099"/>
            <w:bookmarkStart w:id="1100" w:name="_Toc87517270"/>
            <w:bookmarkEnd w:id="1100"/>
            <w:bookmarkStart w:id="1101" w:name="_Toc87461999"/>
            <w:bookmarkEnd w:id="1101"/>
            <w:bookmarkStart w:id="1102" w:name="_Toc87462171"/>
            <w:bookmarkEnd w:id="1102"/>
            <w:r>
              <w:rPr>
                <w:rFonts w:hint="eastAsia"/>
              </w:rPr>
              <w:t>专栏</w:t>
            </w:r>
            <w:r>
              <w:rPr>
                <w:rFonts w:hint="default"/>
                <w:lang w:val="en"/>
              </w:rPr>
              <w:t>15</w:t>
            </w:r>
            <w:r>
              <w:rPr>
                <w:rFonts w:hint="eastAsia"/>
              </w:rPr>
              <w:t>：海洋安全与公共服务能力提升</w:t>
            </w:r>
          </w:p>
          <w:p>
            <w:pPr>
              <w:pStyle w:val="82"/>
              <w:keepNext w:val="0"/>
              <w:keepLines w:val="0"/>
              <w:suppressLineNumbers w:val="0"/>
              <w:spacing w:before="0" w:beforeAutospacing="0" w:afterAutospacing="0"/>
              <w:ind w:left="0" w:right="0"/>
              <w:rPr>
                <w:rFonts w:hint="eastAsia"/>
              </w:rPr>
            </w:pPr>
            <w:r>
              <w:rPr>
                <w:rFonts w:hint="eastAsia"/>
                <w:b/>
                <w:bCs/>
              </w:rPr>
              <w:t>深圳立体化综合海洋观测网建设工程：</w:t>
            </w:r>
            <w:r>
              <w:rPr>
                <w:rFonts w:hint="eastAsia"/>
              </w:rPr>
              <w:t>在深圳及深汕特别合作区海洋灾害隐患区、预警报重点关注区、重点保障目标、人口密集区等，新建11个海洋观测站位（其中2个永久性测站、9个简易验潮点）；保障现有的2对高频地波雷达站正常工作，并在深圳西部沿岸新建1对高频地波雷达站，在深汕特别合作区新建1对高频地波雷达站；新增7个波浪浮标，以实现深圳市近岸到近海波浪观测的全覆盖。</w:t>
            </w:r>
          </w:p>
          <w:p>
            <w:pPr>
              <w:pStyle w:val="82"/>
              <w:keepNext w:val="0"/>
              <w:keepLines w:val="0"/>
              <w:suppressLineNumbers w:val="0"/>
              <w:spacing w:before="0" w:beforeAutospacing="0" w:afterAutospacing="0"/>
              <w:ind w:left="0" w:right="0"/>
              <w:rPr>
                <w:rFonts w:hint="eastAsia"/>
              </w:rPr>
            </w:pPr>
            <w:r>
              <w:rPr>
                <w:rFonts w:hint="eastAsia"/>
                <w:b/>
                <w:bCs/>
              </w:rPr>
              <w:t>加强海上交通安全风险预警及监测：</w:t>
            </w:r>
            <w:r>
              <w:rPr>
                <w:rFonts w:hint="eastAsia"/>
              </w:rPr>
              <w:t>开展海上交通安全风险预警预控智能化应用，探索建立风险预警预控联动机制;推动建立航运公司分级分类信用新型监管机制，实施海事差异化监管;加强船舶排放控制区监测监管，开展“空陆水”一体化立体监测；构建船员职业保障公共服务体系，优化船员职业发展保障机制。实现深圳辖区海上交通安全风险预警预控智能化和重点水域预警预控全覆盖，航运公司分类分级信用监管机制有效运行，航运企业本质安全有效提升，船舶排放控制区监测监管示范工程全面建成，船舶大气污染防治新模式持续完善，船员职业保障公共服务体系更加健全，海上人命救助应急响应辅助决策功能更加完善，为建设交通强国海事建设示范区提供重要支撑。</w:t>
            </w:r>
          </w:p>
          <w:p>
            <w:pPr>
              <w:pStyle w:val="82"/>
              <w:keepNext w:val="0"/>
              <w:keepLines w:val="0"/>
              <w:suppressLineNumbers w:val="0"/>
              <w:spacing w:before="0" w:beforeAutospacing="0" w:afterAutospacing="0"/>
              <w:ind w:left="0" w:right="0"/>
              <w:rPr>
                <w:rFonts w:hint="eastAsia"/>
              </w:rPr>
            </w:pPr>
            <w:r>
              <w:rPr>
                <w:rFonts w:hint="eastAsia"/>
                <w:b/>
                <w:bCs/>
              </w:rPr>
              <w:t>深圳东部海域大鹏应急救援基地：</w:t>
            </w:r>
            <w:r>
              <w:rPr>
                <w:rFonts w:hint="eastAsia"/>
              </w:rPr>
              <w:t>提升深圳东部大鹏港区应急管理能力，建成深圳东部海域大鹏应急救援基地，对国际LNG 枢纽港、海上休闲旅游区、核电海上安全形成同步应急保障。</w:t>
            </w:r>
          </w:p>
          <w:p>
            <w:pPr>
              <w:pStyle w:val="82"/>
              <w:keepNext w:val="0"/>
              <w:keepLines w:val="0"/>
              <w:suppressLineNumbers w:val="0"/>
              <w:spacing w:before="0" w:beforeAutospacing="0" w:afterAutospacing="0"/>
              <w:ind w:left="0" w:right="0"/>
              <w:rPr>
                <w:rFonts w:hint="eastAsia"/>
              </w:rPr>
            </w:pPr>
            <w:r>
              <w:rPr>
                <w:rFonts w:hint="eastAsia"/>
                <w:b/>
                <w:bCs/>
              </w:rPr>
              <w:t>海洋气象灾害监测及风险预警能力提升工程：</w:t>
            </w:r>
            <w:r>
              <w:rPr>
                <w:rFonts w:hint="eastAsia"/>
              </w:rPr>
              <w:t>建设深汕特别合作区综合气象观测基地，完善西涌海洋气象综合观测基地和海上气象观测系统，提升海洋气象灾害链监测能力；升级陆海一体气象灾害风险监测预警服务平台，对接应急、海洋等指挥平台；通过“突发事件预警信息发布平台”、“i 深圳”等渠道提供海洋气象预警预报服务。</w:t>
            </w:r>
          </w:p>
        </w:tc>
      </w:tr>
    </w:tbl>
    <w:p>
      <w:pPr>
        <w:pStyle w:val="2"/>
        <w:spacing w:before="190"/>
      </w:pPr>
      <w:bookmarkStart w:id="1103" w:name="_Toc1071254074"/>
      <w:r>
        <w:rPr>
          <w:rFonts w:hint="eastAsia"/>
        </w:rPr>
        <w:t>提升开放合作与全球海洋治理能力</w:t>
      </w:r>
      <w:bookmarkEnd w:id="1103"/>
    </w:p>
    <w:p>
      <w:pPr>
        <w:pStyle w:val="3"/>
        <w:numPr>
          <w:ilvl w:val="0"/>
          <w:numId w:val="16"/>
        </w:numPr>
        <w:spacing w:before="190" w:after="76"/>
        <w:rPr>
          <w:rFonts w:ascii="仿宋" w:hAnsi="仿宋" w:cs="仿宋_GB2312"/>
          <w:szCs w:val="28"/>
        </w:rPr>
      </w:pPr>
      <w:bookmarkStart w:id="1104" w:name="_Toc91164653"/>
      <w:bookmarkEnd w:id="1104"/>
      <w:bookmarkStart w:id="1105" w:name="_Toc90991500"/>
      <w:bookmarkEnd w:id="1105"/>
      <w:bookmarkStart w:id="1106" w:name="_Toc90990660"/>
      <w:bookmarkEnd w:id="1106"/>
      <w:bookmarkStart w:id="1107" w:name="_Toc91151987"/>
      <w:bookmarkEnd w:id="1107"/>
      <w:bookmarkStart w:id="1108" w:name="_Toc90551215"/>
      <w:bookmarkEnd w:id="1108"/>
      <w:bookmarkStart w:id="1109" w:name="_Toc90912668"/>
      <w:bookmarkEnd w:id="1109"/>
      <w:bookmarkStart w:id="1110" w:name="_Toc90547667"/>
      <w:bookmarkEnd w:id="1110"/>
      <w:bookmarkStart w:id="1111" w:name="_Toc90990216"/>
      <w:bookmarkEnd w:id="1111"/>
      <w:bookmarkStart w:id="1112" w:name="_Toc91152053"/>
      <w:bookmarkEnd w:id="1112"/>
      <w:bookmarkStart w:id="1113" w:name="_Toc88504581"/>
      <w:bookmarkStart w:id="1114" w:name="_Toc1298582776"/>
      <w:bookmarkStart w:id="1115" w:name="_Toc88508279"/>
      <w:bookmarkStart w:id="1116" w:name="_Toc92909031"/>
      <w:bookmarkStart w:id="1117" w:name="_Toc88504009"/>
      <w:bookmarkStart w:id="1118" w:name="_Toc88508281"/>
      <w:bookmarkStart w:id="1119" w:name="_Toc88504011"/>
      <w:bookmarkStart w:id="1120" w:name="_Toc88504583"/>
      <w:r>
        <w:rPr>
          <w:rFonts w:hint="eastAsia"/>
        </w:rPr>
        <w:t>聚合湾区海洋发展动能</w:t>
      </w:r>
      <w:bookmarkEnd w:id="1113"/>
      <w:bookmarkEnd w:id="1114"/>
      <w:bookmarkEnd w:id="1115"/>
      <w:bookmarkEnd w:id="1116"/>
      <w:bookmarkEnd w:id="1117"/>
    </w:p>
    <w:p>
      <w:pPr>
        <w:pStyle w:val="50"/>
        <w:ind w:firstLine="642" w:firstLineChars="200"/>
        <w:rPr>
          <w:rFonts w:ascii="仿宋" w:hAnsi="仿宋" w:cs="仿宋_GB2312"/>
          <w:szCs w:val="28"/>
        </w:rPr>
      </w:pPr>
      <w:bookmarkStart w:id="1121" w:name="_Hlk90545776"/>
      <w:bookmarkStart w:id="1122" w:name="_Hlk90544989"/>
      <w:r>
        <w:rPr>
          <w:rFonts w:hint="eastAsia" w:ascii="仿宋" w:hAnsi="仿宋" w:cs="仿宋_GB2312"/>
          <w:b/>
          <w:bCs/>
          <w:szCs w:val="28"/>
        </w:rPr>
        <w:t>推进湾区海洋产业科技服务合作。</w:t>
      </w:r>
      <w:r>
        <w:rPr>
          <w:rFonts w:hint="eastAsia"/>
        </w:rPr>
        <w:t>强化深港海洋现代服务与科技教育合作，发挥香港在涉海金融、法律仲裁、船舶管理、航运服务等领域的优势，实现海洋科技</w:t>
      </w:r>
      <w:r>
        <w:t>人才、技术、信息的有序自由流动</w:t>
      </w:r>
      <w:r>
        <w:rPr>
          <w:rFonts w:hint="eastAsia"/>
        </w:rPr>
        <w:t>与高水平合作，推进标准对接、要素流动、制度优化，共建专业化智慧化的国际航运与海事服务枢纽。强化广深合作、“双城联动”，发挥广州基础创新与深圳应用创新优势，</w:t>
      </w:r>
      <w:r>
        <w:rPr>
          <w:rFonts w:hint="eastAsia" w:ascii="仿宋" w:hAnsi="仿宋" w:cs="仿宋_GB2312"/>
          <w:szCs w:val="28"/>
        </w:rPr>
        <w:t>与南沙科学城、南方海洋科学与工程广东省实验室战略合作。推动建立湾区海洋产业联盟及常态化合作平台，建立利益共享机制，打造湾区海洋产业的合作枢纽。</w:t>
      </w:r>
    </w:p>
    <w:bookmarkEnd w:id="1121"/>
    <w:bookmarkEnd w:id="1122"/>
    <w:p>
      <w:pPr>
        <w:pStyle w:val="50"/>
        <w:rPr>
          <w:b/>
          <w:bCs/>
        </w:rPr>
      </w:pPr>
      <w:r>
        <w:rPr>
          <w:rFonts w:hint="eastAsia"/>
          <w:b/>
          <w:bCs/>
        </w:rPr>
        <w:t>推进湾区海洋重大设施共建共享。</w:t>
      </w:r>
      <w:r>
        <w:rPr>
          <w:rFonts w:hint="eastAsia"/>
        </w:rPr>
        <w:t>推动湾区重大基础基础设施共建共享，实现协同高效利用。探索重要枢纽港口联合建设运营机制，推动盐田港、蛇口港区与周边港口以组合港方式运营，降低企业出入关成本，实现绿色智慧化发展。强化跨珠江口交通设施建设，扩大会展中心、宝安机场辐射范围。协调区域重大能源设施建设，保障湾区能源供应安全。</w:t>
      </w:r>
    </w:p>
    <w:p>
      <w:pPr>
        <w:pStyle w:val="50"/>
        <w:ind w:firstLine="642" w:firstLineChars="200"/>
      </w:pPr>
      <w:r>
        <w:rPr>
          <w:rFonts w:hint="eastAsia"/>
          <w:b/>
          <w:bCs/>
        </w:rPr>
        <w:t>推进湾区海洋自然资源共保共用。</w:t>
      </w:r>
      <w:r>
        <w:rPr>
          <w:rFonts w:hint="eastAsia"/>
        </w:rPr>
        <w:t>实现深港在</w:t>
      </w:r>
      <w:r>
        <w:t>海洋空间规划</w:t>
      </w:r>
      <w:r>
        <w:rPr>
          <w:rFonts w:hint="eastAsia"/>
        </w:rPr>
        <w:t>、生态环境保护、海事管理方面政策的</w:t>
      </w:r>
      <w:r>
        <w:t>对接</w:t>
      </w:r>
      <w:r>
        <w:rPr>
          <w:rFonts w:hint="eastAsia"/>
        </w:rPr>
        <w:t>。统筹滨海生态休闲资源合理</w:t>
      </w:r>
      <w:r>
        <w:t>利用</w:t>
      </w:r>
      <w:r>
        <w:rPr>
          <w:rFonts w:hint="eastAsia"/>
        </w:rPr>
        <w:t>，促进湾区海岸带、海岛、海域等</w:t>
      </w:r>
      <w:r>
        <w:t>资源</w:t>
      </w:r>
      <w:r>
        <w:rPr>
          <w:rFonts w:hint="eastAsia"/>
        </w:rPr>
        <w:t>联合保护；建立湾区海洋生态环境、渔业共管机制。统筹深圳湾、大鹏湾、大亚湾、珠江口滨海旅游资源与海岛资源，塑造精品景区，搭建海上交通体系与跳岛游休闲线路，共同打造世界级滨海旅游度假区。</w:t>
      </w:r>
    </w:p>
    <w:p>
      <w:pPr>
        <w:pStyle w:val="3"/>
        <w:spacing w:before="190" w:after="76"/>
      </w:pPr>
      <w:bookmarkStart w:id="1123" w:name="_Toc88508280"/>
      <w:bookmarkStart w:id="1124" w:name="_Toc1182010890"/>
      <w:bookmarkStart w:id="1125" w:name="_Toc88504582"/>
      <w:bookmarkStart w:id="1126" w:name="_Toc92909032"/>
      <w:bookmarkStart w:id="1127" w:name="_Toc88504010"/>
      <w:bookmarkStart w:id="1128" w:name="_Toc86919224"/>
      <w:r>
        <w:rPr>
          <w:rFonts w:hint="eastAsia"/>
        </w:rPr>
        <w:t>全方位多层次开展国内海洋合作</w:t>
      </w:r>
      <w:bookmarkEnd w:id="1123"/>
      <w:bookmarkEnd w:id="1124"/>
      <w:bookmarkEnd w:id="1125"/>
      <w:bookmarkEnd w:id="1126"/>
      <w:bookmarkEnd w:id="1127"/>
    </w:p>
    <w:bookmarkEnd w:id="1128"/>
    <w:p>
      <w:pPr>
        <w:pStyle w:val="50"/>
      </w:pPr>
      <w:r>
        <w:rPr>
          <w:rFonts w:hint="eastAsia"/>
          <w:b/>
          <w:bCs/>
        </w:rPr>
        <w:t>加强国内协作，立足南方辐射全国</w:t>
      </w:r>
      <w:r>
        <w:rPr>
          <w:rFonts w:hint="eastAsia"/>
        </w:rPr>
        <w:t>。以海洋科技创新为突破点，探索市场化方式配置海洋资源，以开放包容的营商环境增强吸引力，加快涉海要素在深圳集聚。积极引进国家级涉海战略资源，</w:t>
      </w:r>
      <w:r>
        <w:t>鼓励</w:t>
      </w:r>
      <w:r>
        <w:rPr>
          <w:rFonts w:hint="eastAsia"/>
        </w:rPr>
        <w:t>与中央部委、涉海央企、</w:t>
      </w:r>
      <w:r>
        <w:t>国家</w:t>
      </w:r>
      <w:r>
        <w:rPr>
          <w:rFonts w:hint="eastAsia"/>
        </w:rPr>
        <w:t>涉海科研院所合作，</w:t>
      </w:r>
      <w:r>
        <w:t>共建联合实验室、工程技术中心等</w:t>
      </w:r>
      <w:r>
        <w:rPr>
          <w:rFonts w:hint="eastAsia"/>
        </w:rPr>
        <w:t>。支持企业与机构在深圳建立新型研发或技术转化平台。</w:t>
      </w:r>
    </w:p>
    <w:p>
      <w:pPr>
        <w:pStyle w:val="50"/>
        <w:rPr>
          <w:b/>
          <w:bCs/>
        </w:rPr>
      </w:pPr>
      <w:r>
        <w:rPr>
          <w:rFonts w:hint="eastAsia"/>
          <w:b/>
          <w:bCs/>
        </w:rPr>
        <w:t>联动琼桂，提升南海综合服务水平。</w:t>
      </w:r>
      <w:r>
        <w:rPr>
          <w:rFonts w:hint="eastAsia"/>
        </w:rPr>
        <w:t>发挥深圳辐射带动作用，战略联动海南自贸港、北部湾经济区，</w:t>
      </w:r>
      <w:r>
        <w:rPr>
          <w:rFonts w:hint="eastAsia"/>
          <w:lang w:val="en-US" w:eastAsia="zh-CN"/>
        </w:rPr>
        <w:t>提升</w:t>
      </w:r>
      <w:r>
        <w:rPr>
          <w:rFonts w:hint="eastAsia"/>
        </w:rPr>
        <w:t>航运、渔业、海难救援、岛礁保护利用等综合服务</w:t>
      </w:r>
      <w:r>
        <w:rPr>
          <w:rFonts w:hint="eastAsia"/>
          <w:lang w:val="en-US" w:eastAsia="zh-CN"/>
        </w:rPr>
        <w:t>水平</w:t>
      </w:r>
      <w:r>
        <w:rPr>
          <w:rFonts w:hint="eastAsia"/>
        </w:rPr>
        <w:t>。推动建立优势互补的“深</w:t>
      </w:r>
      <w:r>
        <w:t>-琼</w:t>
      </w:r>
      <w:r>
        <w:rPr>
          <w:rFonts w:hint="eastAsia"/>
        </w:rPr>
        <w:t>”</w:t>
      </w:r>
      <w:r>
        <w:t>战略合作平台机制</w:t>
      </w:r>
      <w:r>
        <w:rPr>
          <w:rFonts w:hint="eastAsia"/>
        </w:rPr>
        <w:t>，促进深圳涉海项目在海南落地。</w:t>
      </w:r>
    </w:p>
    <w:p>
      <w:pPr>
        <w:pStyle w:val="3"/>
        <w:spacing w:before="190" w:after="76"/>
      </w:pPr>
      <w:bookmarkStart w:id="1129" w:name="_Toc240905190"/>
      <w:r>
        <w:rPr>
          <w:rFonts w:hint="eastAsia"/>
        </w:rPr>
        <w:t>提升资源配置能力、参与</w:t>
      </w:r>
      <w:r>
        <w:rPr>
          <w:rFonts w:hint="eastAsia"/>
          <w:lang w:eastAsia="zh-CN"/>
        </w:rPr>
        <w:t>全球</w:t>
      </w:r>
      <w:r>
        <w:rPr>
          <w:rFonts w:hint="eastAsia"/>
        </w:rPr>
        <w:t>海洋治理</w:t>
      </w:r>
      <w:bookmarkEnd w:id="1129"/>
    </w:p>
    <w:p>
      <w:pPr>
        <w:pStyle w:val="50"/>
      </w:pPr>
      <w:r>
        <w:rPr>
          <w:rFonts w:hint="eastAsia"/>
          <w:b/>
          <w:bCs/>
        </w:rPr>
        <w:t>积极参与国家“21世纪海上丝绸之路”建设。</w:t>
      </w:r>
      <w:r>
        <w:rPr>
          <w:rFonts w:hint="eastAsia"/>
        </w:rPr>
        <w:t>以经济合作为纽带，在海洋产业、技术等领域引导资本输出，拓展海洋经济合作空间。开展海洋产业、海陆交通基建建设、资源开发、能源利用与保障、海上公共服务等领域合作，为沿线国家、城市提供智能信息化平台支撑，促进形成互利互补的一体化发展模式。在减碳目标指引下，加强与沿线国家、城市在海洋生态保护修复领域的交流合作。</w:t>
      </w:r>
    </w:p>
    <w:p>
      <w:pPr>
        <w:pStyle w:val="50"/>
      </w:pPr>
      <w:r>
        <w:rPr>
          <w:rFonts w:hint="eastAsia"/>
          <w:b/>
          <w:bCs/>
        </w:rPr>
        <w:t>深入参与中国-东盟海洋合作。</w:t>
      </w:r>
      <w:r>
        <w:rPr>
          <w:rFonts w:hint="eastAsia"/>
        </w:rPr>
        <w:t>借助“区域全面经济伙伴关系协定”（RCEP）势能，凝聚海洋合作共识，打造稳定合作环境，全方位深化与南海周边国家及城市的海上经济合作，参与南</w:t>
      </w:r>
      <w:r>
        <w:rPr>
          <w:rFonts w:hint="eastAsia"/>
          <w:lang w:val="en-US" w:eastAsia="zh-CN"/>
        </w:rPr>
        <w:t>部海洋</w:t>
      </w:r>
      <w:r>
        <w:rPr>
          <w:rFonts w:hint="eastAsia"/>
        </w:rPr>
        <w:t>经济圈建设。深度参与中国-东盟博览年，依托中国-东盟海上合作基金、海洋环境合作战略与行动计划框架，开展海洋科研、金融贸易、生态环境等领域合作，鼓励深圳与东盟国家合作兴建港口及海洋产业园，将深圳打造成南海经济合作中心和资源整合地。</w:t>
      </w:r>
    </w:p>
    <w:p>
      <w:pPr>
        <w:pStyle w:val="50"/>
      </w:pPr>
      <w:r>
        <w:rPr>
          <w:rFonts w:hint="eastAsia"/>
          <w:b/>
          <w:bCs/>
        </w:rPr>
        <w:t>积极参与全球海洋治理协作。</w:t>
      </w:r>
      <w:r>
        <w:rPr>
          <w:rFonts w:hint="eastAsia"/>
        </w:rPr>
        <w:t>积极引进高端论坛、国际组织等常态化交流机制，吸引海洋</w:t>
      </w:r>
      <w:r>
        <w:rPr>
          <w:rFonts w:hint="eastAsia"/>
          <w:highlight w:val="none"/>
        </w:rPr>
        <w:t>行业组织落户。</w:t>
      </w:r>
      <w:r>
        <w:rPr>
          <w:rFonts w:hint="eastAsia" w:ascii="仿宋" w:hAnsi="仿宋" w:eastAsia="仿宋" w:cs="仿宋"/>
          <w:b w:val="0"/>
          <w:bCs/>
          <w:kern w:val="2"/>
          <w:sz w:val="32"/>
          <w:szCs w:val="32"/>
          <w:highlight w:val="none"/>
          <w:lang w:val="en-US" w:eastAsia="zh-CN" w:bidi="ar-SA"/>
        </w:rPr>
        <w:t>提升中国海洋经济博览会品牌影响力</w:t>
      </w:r>
      <w:r>
        <w:rPr>
          <w:rFonts w:hint="eastAsia"/>
          <w:highlight w:val="none"/>
        </w:rPr>
        <w:t>，促进</w:t>
      </w:r>
      <w:r>
        <w:rPr>
          <w:rFonts w:hint="eastAsia"/>
        </w:rPr>
        <w:t>国内外海洋各领域务实合作。积极参与相关行业标准制定，着力提升海洋公共产品及公共服务供给能力。借助友好城市关系，加强与全球海洋强市合作，以城市外交参与全球海洋治理，促进海洋经济要素流动。</w:t>
      </w:r>
    </w:p>
    <w:bookmarkEnd w:id="1118"/>
    <w:bookmarkEnd w:id="1119"/>
    <w:bookmarkEnd w:id="1120"/>
    <w:p>
      <w:pPr>
        <w:pStyle w:val="2"/>
        <w:spacing w:before="190"/>
      </w:pPr>
      <w:bookmarkStart w:id="1130" w:name="_Toc88676760"/>
      <w:bookmarkEnd w:id="1130"/>
      <w:bookmarkStart w:id="1131" w:name="_Toc89354302"/>
      <w:bookmarkEnd w:id="1131"/>
      <w:bookmarkStart w:id="1132" w:name="_Toc88676510"/>
      <w:bookmarkEnd w:id="1132"/>
      <w:bookmarkStart w:id="1133" w:name="_Toc88642856"/>
      <w:bookmarkEnd w:id="1133"/>
      <w:bookmarkStart w:id="1134" w:name="_Toc89693128"/>
      <w:bookmarkEnd w:id="1134"/>
      <w:bookmarkStart w:id="1135" w:name="_Toc88742326"/>
      <w:bookmarkEnd w:id="1135"/>
      <w:bookmarkStart w:id="1136" w:name="_Toc89356619"/>
      <w:bookmarkEnd w:id="1136"/>
      <w:bookmarkStart w:id="1137" w:name="_Toc88682699"/>
      <w:bookmarkEnd w:id="1137"/>
      <w:bookmarkStart w:id="1138" w:name="_Toc89694315"/>
      <w:bookmarkEnd w:id="1138"/>
      <w:bookmarkStart w:id="1139" w:name="_Toc89701344"/>
      <w:bookmarkEnd w:id="1139"/>
      <w:bookmarkStart w:id="1140" w:name="_Toc88756758"/>
      <w:bookmarkEnd w:id="1140"/>
      <w:bookmarkStart w:id="1141" w:name="_Toc89698340"/>
      <w:bookmarkEnd w:id="1141"/>
      <w:bookmarkStart w:id="1142" w:name="_Toc89354400"/>
      <w:bookmarkEnd w:id="1142"/>
      <w:bookmarkStart w:id="1143" w:name="_Toc89693171"/>
      <w:bookmarkEnd w:id="1143"/>
      <w:bookmarkStart w:id="1144" w:name="_Toc89691978"/>
      <w:bookmarkEnd w:id="1144"/>
      <w:bookmarkStart w:id="1145" w:name="_Toc1172851650"/>
      <w:r>
        <w:rPr>
          <w:rFonts w:hint="eastAsia"/>
        </w:rPr>
        <w:t>保障措施</w:t>
      </w:r>
      <w:bookmarkEnd w:id="1145"/>
      <w:bookmarkStart w:id="1146" w:name="_Toc80114682"/>
    </w:p>
    <w:bookmarkEnd w:id="1146"/>
    <w:p>
      <w:pPr>
        <w:pStyle w:val="50"/>
      </w:pPr>
      <w:r>
        <w:rPr>
          <w:rFonts w:hint="eastAsia"/>
          <w:b/>
          <w:bCs/>
        </w:rPr>
        <w:t>加强组织领导。</w:t>
      </w:r>
      <w:r>
        <w:rPr>
          <w:rFonts w:hint="eastAsia"/>
        </w:rPr>
        <w:t>发挥全球海洋中心城市发展委员会领导作用，审议全市重大涉海项目、规划和政策，加强对全市海洋经济发展规划实施的指导、监督和评估。</w:t>
      </w:r>
    </w:p>
    <w:p>
      <w:pPr>
        <w:pStyle w:val="50"/>
      </w:pPr>
      <w:r>
        <w:rPr>
          <w:rFonts w:hint="eastAsia"/>
          <w:b/>
          <w:bCs/>
        </w:rPr>
        <w:t>加强政策支持。</w:t>
      </w:r>
      <w:r>
        <w:rPr>
          <w:rFonts w:hint="eastAsia"/>
        </w:rPr>
        <w:t>加强海洋经济运行和海洋产业发展分析研究，建立动态评估机制，适时调整规划目标任务。出台海洋经济发展促进政策，研究促进海洋经济立法工作，为加快海洋产业转型升级、促进海洋经济高质量发展提供政策保障。</w:t>
      </w:r>
    </w:p>
    <w:p>
      <w:pPr>
        <w:pStyle w:val="50"/>
      </w:pPr>
      <w:r>
        <w:rPr>
          <w:rFonts w:hint="eastAsia"/>
          <w:b/>
          <w:bCs/>
        </w:rPr>
        <w:t>加强资金保障。</w:t>
      </w:r>
      <w:r>
        <w:rPr>
          <w:rFonts w:hint="eastAsia"/>
        </w:rPr>
        <w:t>积极争取国家、省重大专项资金，加大深圳市海洋资金扶持力度，引导带动各类创投资本、信贷资本、社会民间资本流向海洋产业链。鼓励社会资本成立海洋领域投资基金，保障海洋产业资金投入稳定增长。</w:t>
      </w:r>
    </w:p>
    <w:p>
      <w:pPr>
        <w:pStyle w:val="50"/>
        <w:rPr>
          <w:rFonts w:hint="eastAsia"/>
          <w:lang w:val="en-US" w:eastAsia="zh-CN"/>
        </w:rPr>
      </w:pPr>
      <w:r>
        <w:rPr>
          <w:rFonts w:hint="eastAsia"/>
          <w:b/>
          <w:bCs/>
        </w:rPr>
        <w:t>鼓励多方参与。</w:t>
      </w:r>
      <w:r>
        <w:rPr>
          <w:rFonts w:hint="eastAsia"/>
        </w:rPr>
        <w:t>支持组建各类涉海行业协会、商会、联盟等，积极引导社会力量和市场主体参与海洋经济发展。完善海洋文化宣传教育，提高全社会的海洋观念。开展企业专题推介活动及媒体宣传报道，积极推进海洋领域的跨区域合作、全球性交流，不断提升海洋经济发展的影响力</w:t>
      </w:r>
      <w:r>
        <w:rPr>
          <w:rFonts w:hint="default"/>
        </w:rPr>
        <w:t>。</w:t>
      </w:r>
    </w:p>
    <w:p>
      <w:pPr>
        <w:bidi w:val="0"/>
        <w:rPr>
          <w:rFonts w:hint="default"/>
          <w:lang w:val="en-US" w:eastAsia="zh-CN"/>
        </w:rPr>
      </w:pPr>
    </w:p>
    <w:sectPr>
      <w:pgSz w:w="11906" w:h="16838"/>
      <w:pgMar w:top="1440" w:right="1701" w:bottom="1440" w:left="1701"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2"/>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等线">
    <w:altName w:val="华文仿宋"/>
    <w:panose1 w:val="02010600030101010101"/>
    <w:charset w:val="86"/>
    <w:family w:val="auto"/>
    <w:pitch w:val="default"/>
    <w:sig w:usb0="00000000" w:usb1="00000000" w:usb2="00000016" w:usb3="00000000" w:csb0="0004000F" w:csb1="00000000"/>
  </w:font>
  <w:font w:name="华文中宋">
    <w:altName w:val="汉仪中宋简"/>
    <w:panose1 w:val="02010600040101010101"/>
    <w:charset w:val="86"/>
    <w:family w:val="auto"/>
    <w:pitch w:val="default"/>
    <w:sig w:usb0="00000000" w:usb1="00000000" w:usb2="00000000"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微软雅黑 Light">
    <w:altName w:val="方正黑体_GBK"/>
    <w:panose1 w:val="020B0502040204020203"/>
    <w:charset w:val="86"/>
    <w:family w:val="swiss"/>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Wingdings 2">
    <w:altName w:val="方正宋体S-超大字符集(SIP)"/>
    <w:panose1 w:val="05020102010507070707"/>
    <w:charset w:val="02"/>
    <w:family w:val="roman"/>
    <w:pitch w:val="default"/>
    <w:sig w:usb0="00000000" w:usb1="00000000" w:usb2="00000000" w:usb3="00000000" w:csb0="80000000"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after="1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spacing w:after="12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0237135"/>
      <w:docPartObj>
        <w:docPartGallery w:val="autotext"/>
      </w:docPartObj>
    </w:sdtPr>
    <w:sdtContent>
      <w:p>
        <w:pPr>
          <w:pStyle w:val="19"/>
          <w:spacing w:after="120"/>
          <w:jc w:val="center"/>
        </w:pPr>
        <w:r>
          <w:fldChar w:fldCharType="begin"/>
        </w:r>
        <w:r>
          <w:instrText xml:space="preserve">PAGE   \* MERGEFORMAT</w:instrText>
        </w:r>
        <w:r>
          <w:fldChar w:fldCharType="separate"/>
        </w:r>
        <w:r>
          <w:rPr>
            <w:lang w:val="zh-CN"/>
          </w:rPr>
          <w:t>14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4"/>
      </w:pPr>
      <w:r>
        <w:rPr>
          <w:rStyle w:val="41"/>
        </w:rPr>
        <w:sym w:font="Wingdings 2" w:char="F06A"/>
      </w:r>
      <w:r>
        <w:t xml:space="preserve"> </w:t>
      </w:r>
      <w:r>
        <w:rPr>
          <w:rFonts w:hint="eastAsia"/>
        </w:rPr>
        <w:t>备注：指标1、2，参考《深圳市培育发展海洋产业集群行动计划（2022-2025年）》确定，按照当前海洋经济统计标准和方法统计。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77D2E"/>
    <w:multiLevelType w:val="multilevel"/>
    <w:tmpl w:val="0D977D2E"/>
    <w:lvl w:ilvl="0" w:tentative="0">
      <w:start w:val="1"/>
      <w:numFmt w:val="chineseCountingThousand"/>
      <w:pStyle w:val="2"/>
      <w:lvlText w:val="%1、"/>
      <w:lvlJc w:val="left"/>
      <w:rPr>
        <w:rFonts w:ascii="Times New Roman" w:hAnsi="Times New Roman"/>
        <w:b/>
        <w:bCs/>
        <w:i w:val="0"/>
        <w:iCs w:val="0"/>
        <w:caps w:val="0"/>
        <w:smallCaps w:val="0"/>
        <w:strike w:val="0"/>
        <w:dstrike w:val="0"/>
        <w:vanish w:val="0"/>
        <w:color w:val="auto"/>
        <w:spacing w:val="0"/>
        <w:position w:val="0"/>
        <w:sz w:val="36"/>
        <w:szCs w:val="36"/>
        <w:u w:val="none"/>
        <w:vertAlign w:val="baseline"/>
        <w14:shadow w14:blurRad="0" w14:dist="0" w14:dir="0" w14:sx="0" w14:sy="0" w14:kx="0" w14:ky="0" w14:algn="none">
          <w14:srgbClr w14:val="000000"/>
        </w14:shadow>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1AF3600"/>
    <w:multiLevelType w:val="multilevel"/>
    <w:tmpl w:val="31AF3600"/>
    <w:lvl w:ilvl="0" w:tentative="0">
      <w:start w:val="1"/>
      <w:numFmt w:val="decimal"/>
      <w:pStyle w:val="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5238E7"/>
    <w:multiLevelType w:val="multilevel"/>
    <w:tmpl w:val="365238E7"/>
    <w:lvl w:ilvl="0" w:tentative="0">
      <w:start w:val="1"/>
      <w:numFmt w:val="bullet"/>
      <w:pStyle w:val="55"/>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A7141C5"/>
    <w:multiLevelType w:val="multilevel"/>
    <w:tmpl w:val="3A7141C5"/>
    <w:lvl w:ilvl="0" w:tentative="0">
      <w:start w:val="1"/>
      <w:numFmt w:val="decimal"/>
      <w:pStyle w:val="5"/>
      <w:lvlText w:val="表%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0DD0626"/>
    <w:multiLevelType w:val="multilevel"/>
    <w:tmpl w:val="50DD0626"/>
    <w:lvl w:ilvl="0" w:tentative="0">
      <w:start w:val="1"/>
      <w:numFmt w:val="chineseCountingThousand"/>
      <w:pStyle w:val="3"/>
      <w:lvlText w:val="(%1)"/>
      <w:lvlJc w:val="left"/>
      <w:rPr>
        <w:lang w:bidi="zh-C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54091EB5"/>
    <w:multiLevelType w:val="multilevel"/>
    <w:tmpl w:val="54091EB5"/>
    <w:lvl w:ilvl="0" w:tentative="0">
      <w:start w:val="1"/>
      <w:numFmt w:val="bullet"/>
      <w:pStyle w:val="82"/>
      <w:lvlText w:val="•"/>
      <w:lvlJc w:val="left"/>
      <w:pPr>
        <w:ind w:left="420" w:hanging="420"/>
      </w:pPr>
      <w:rPr>
        <w:rFonts w:hint="eastAsia" w:ascii="微软雅黑 Light" w:hAnsi="微软雅黑 Light" w:eastAsia="微软雅黑 Light"/>
        <w:lang w:val="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61BE0D65"/>
    <w:multiLevelType w:val="multilevel"/>
    <w:tmpl w:val="61BE0D65"/>
    <w:lvl w:ilvl="0" w:tentative="0">
      <w:start w:val="1"/>
      <w:numFmt w:val="decimal"/>
      <w:pStyle w:val="67"/>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 w:numId="2">
    <w:abstractNumId w:val="4"/>
  </w:num>
  <w:num w:numId="3">
    <w:abstractNumId w:val="1"/>
  </w:num>
  <w:num w:numId="4">
    <w:abstractNumId w:val="3"/>
  </w:num>
  <w:num w:numId="5">
    <w:abstractNumId w:val="2"/>
  </w:num>
  <w:num w:numId="6">
    <w:abstractNumId w:val="6"/>
  </w:num>
  <w:num w:numId="7">
    <w:abstractNumId w:val="5"/>
  </w:num>
  <w:num w:numId="8">
    <w:abstractNumId w:val="0"/>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doNotCompress"/>
  <w:footnotePr>
    <w:footnote w:id="2"/>
    <w:footnote w:id="3"/>
  </w:foot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8AB"/>
    <w:rsid w:val="000000F0"/>
    <w:rsid w:val="0000042F"/>
    <w:rsid w:val="000015CF"/>
    <w:rsid w:val="0000184D"/>
    <w:rsid w:val="00001934"/>
    <w:rsid w:val="00002058"/>
    <w:rsid w:val="000025F4"/>
    <w:rsid w:val="00002EE1"/>
    <w:rsid w:val="000033C4"/>
    <w:rsid w:val="00003B5A"/>
    <w:rsid w:val="00003DF0"/>
    <w:rsid w:val="0000450E"/>
    <w:rsid w:val="00004DCD"/>
    <w:rsid w:val="00004E39"/>
    <w:rsid w:val="00005155"/>
    <w:rsid w:val="000062AE"/>
    <w:rsid w:val="00007241"/>
    <w:rsid w:val="000073D8"/>
    <w:rsid w:val="00007667"/>
    <w:rsid w:val="00010BA0"/>
    <w:rsid w:val="00013B7C"/>
    <w:rsid w:val="00014928"/>
    <w:rsid w:val="00014E7E"/>
    <w:rsid w:val="000151DB"/>
    <w:rsid w:val="000159CF"/>
    <w:rsid w:val="00015F30"/>
    <w:rsid w:val="00016710"/>
    <w:rsid w:val="0001676F"/>
    <w:rsid w:val="00016846"/>
    <w:rsid w:val="000173F8"/>
    <w:rsid w:val="00017AA1"/>
    <w:rsid w:val="00017C1C"/>
    <w:rsid w:val="00017ED7"/>
    <w:rsid w:val="00020308"/>
    <w:rsid w:val="00020A1B"/>
    <w:rsid w:val="00020D53"/>
    <w:rsid w:val="00021262"/>
    <w:rsid w:val="000214C6"/>
    <w:rsid w:val="0002163D"/>
    <w:rsid w:val="00021F3F"/>
    <w:rsid w:val="0002346E"/>
    <w:rsid w:val="00024BCB"/>
    <w:rsid w:val="0002514C"/>
    <w:rsid w:val="00025858"/>
    <w:rsid w:val="00025B7C"/>
    <w:rsid w:val="00026CA0"/>
    <w:rsid w:val="00027CEB"/>
    <w:rsid w:val="00027EA2"/>
    <w:rsid w:val="00030CC5"/>
    <w:rsid w:val="0003137E"/>
    <w:rsid w:val="000321C4"/>
    <w:rsid w:val="00032AC6"/>
    <w:rsid w:val="000331E1"/>
    <w:rsid w:val="000338AA"/>
    <w:rsid w:val="00033C23"/>
    <w:rsid w:val="00033FA4"/>
    <w:rsid w:val="000343B5"/>
    <w:rsid w:val="00034ECB"/>
    <w:rsid w:val="000357F2"/>
    <w:rsid w:val="000364EE"/>
    <w:rsid w:val="00036D08"/>
    <w:rsid w:val="00037118"/>
    <w:rsid w:val="000373B1"/>
    <w:rsid w:val="00037F02"/>
    <w:rsid w:val="000408A9"/>
    <w:rsid w:val="000410CE"/>
    <w:rsid w:val="00042478"/>
    <w:rsid w:val="0004348C"/>
    <w:rsid w:val="00045984"/>
    <w:rsid w:val="0004652A"/>
    <w:rsid w:val="0004659F"/>
    <w:rsid w:val="00051760"/>
    <w:rsid w:val="0005266A"/>
    <w:rsid w:val="00052EFC"/>
    <w:rsid w:val="00053E50"/>
    <w:rsid w:val="000541F9"/>
    <w:rsid w:val="00054C6E"/>
    <w:rsid w:val="000560DA"/>
    <w:rsid w:val="000565C5"/>
    <w:rsid w:val="00057571"/>
    <w:rsid w:val="00057600"/>
    <w:rsid w:val="0006046E"/>
    <w:rsid w:val="00060D30"/>
    <w:rsid w:val="0006203B"/>
    <w:rsid w:val="00062D3C"/>
    <w:rsid w:val="00062D87"/>
    <w:rsid w:val="00062ECD"/>
    <w:rsid w:val="00062F41"/>
    <w:rsid w:val="00063D7F"/>
    <w:rsid w:val="00064249"/>
    <w:rsid w:val="00064992"/>
    <w:rsid w:val="00065E53"/>
    <w:rsid w:val="00070AEE"/>
    <w:rsid w:val="000718AB"/>
    <w:rsid w:val="00071C54"/>
    <w:rsid w:val="00071D5C"/>
    <w:rsid w:val="00071D76"/>
    <w:rsid w:val="00073F4B"/>
    <w:rsid w:val="00074791"/>
    <w:rsid w:val="000748FF"/>
    <w:rsid w:val="00076B05"/>
    <w:rsid w:val="00080D52"/>
    <w:rsid w:val="00081F3B"/>
    <w:rsid w:val="00082315"/>
    <w:rsid w:val="00085F23"/>
    <w:rsid w:val="00086175"/>
    <w:rsid w:val="000862C0"/>
    <w:rsid w:val="00086411"/>
    <w:rsid w:val="000866C6"/>
    <w:rsid w:val="00086D7D"/>
    <w:rsid w:val="00087CDD"/>
    <w:rsid w:val="000901A2"/>
    <w:rsid w:val="00091540"/>
    <w:rsid w:val="0009157B"/>
    <w:rsid w:val="0009175A"/>
    <w:rsid w:val="00091C76"/>
    <w:rsid w:val="00091FE7"/>
    <w:rsid w:val="00092028"/>
    <w:rsid w:val="000920BD"/>
    <w:rsid w:val="000934C6"/>
    <w:rsid w:val="000941FB"/>
    <w:rsid w:val="0009427C"/>
    <w:rsid w:val="00095C7F"/>
    <w:rsid w:val="000A03CA"/>
    <w:rsid w:val="000A0CC4"/>
    <w:rsid w:val="000A0DDA"/>
    <w:rsid w:val="000A18AE"/>
    <w:rsid w:val="000A1C33"/>
    <w:rsid w:val="000A2660"/>
    <w:rsid w:val="000A3119"/>
    <w:rsid w:val="000A3A44"/>
    <w:rsid w:val="000A42BE"/>
    <w:rsid w:val="000A67E6"/>
    <w:rsid w:val="000A7373"/>
    <w:rsid w:val="000A7497"/>
    <w:rsid w:val="000B0216"/>
    <w:rsid w:val="000B2FFC"/>
    <w:rsid w:val="000B322E"/>
    <w:rsid w:val="000B3975"/>
    <w:rsid w:val="000B4A0B"/>
    <w:rsid w:val="000B5AA7"/>
    <w:rsid w:val="000B5CCF"/>
    <w:rsid w:val="000B6172"/>
    <w:rsid w:val="000B6814"/>
    <w:rsid w:val="000B71B0"/>
    <w:rsid w:val="000B7272"/>
    <w:rsid w:val="000C0665"/>
    <w:rsid w:val="000C06D2"/>
    <w:rsid w:val="000C0BAA"/>
    <w:rsid w:val="000C1023"/>
    <w:rsid w:val="000C1C88"/>
    <w:rsid w:val="000C29E8"/>
    <w:rsid w:val="000C2B7E"/>
    <w:rsid w:val="000C2CF4"/>
    <w:rsid w:val="000C31DC"/>
    <w:rsid w:val="000C391D"/>
    <w:rsid w:val="000C3E6B"/>
    <w:rsid w:val="000C4099"/>
    <w:rsid w:val="000C5BC9"/>
    <w:rsid w:val="000C5CEF"/>
    <w:rsid w:val="000C61A4"/>
    <w:rsid w:val="000C6B5E"/>
    <w:rsid w:val="000C746F"/>
    <w:rsid w:val="000C7929"/>
    <w:rsid w:val="000C7A51"/>
    <w:rsid w:val="000C7B82"/>
    <w:rsid w:val="000D0028"/>
    <w:rsid w:val="000D01EB"/>
    <w:rsid w:val="000D048B"/>
    <w:rsid w:val="000D0842"/>
    <w:rsid w:val="000D0D07"/>
    <w:rsid w:val="000D195D"/>
    <w:rsid w:val="000D20FB"/>
    <w:rsid w:val="000D2A9B"/>
    <w:rsid w:val="000D4079"/>
    <w:rsid w:val="000D5674"/>
    <w:rsid w:val="000D6623"/>
    <w:rsid w:val="000D6E62"/>
    <w:rsid w:val="000D7438"/>
    <w:rsid w:val="000D7BAD"/>
    <w:rsid w:val="000E1035"/>
    <w:rsid w:val="000E266B"/>
    <w:rsid w:val="000E2690"/>
    <w:rsid w:val="000E3107"/>
    <w:rsid w:val="000E3DAE"/>
    <w:rsid w:val="000E4FE0"/>
    <w:rsid w:val="000E5049"/>
    <w:rsid w:val="000E5CB8"/>
    <w:rsid w:val="000E62F4"/>
    <w:rsid w:val="000E7109"/>
    <w:rsid w:val="000F00C8"/>
    <w:rsid w:val="000F0CB1"/>
    <w:rsid w:val="000F1136"/>
    <w:rsid w:val="000F126F"/>
    <w:rsid w:val="000F14E1"/>
    <w:rsid w:val="000F2290"/>
    <w:rsid w:val="000F2415"/>
    <w:rsid w:val="000F2880"/>
    <w:rsid w:val="000F2F56"/>
    <w:rsid w:val="000F2FE3"/>
    <w:rsid w:val="000F46AD"/>
    <w:rsid w:val="000F48E2"/>
    <w:rsid w:val="000F4D48"/>
    <w:rsid w:val="000F6590"/>
    <w:rsid w:val="000F6B84"/>
    <w:rsid w:val="000F6BFF"/>
    <w:rsid w:val="000F7716"/>
    <w:rsid w:val="000F7F91"/>
    <w:rsid w:val="00100252"/>
    <w:rsid w:val="001012C0"/>
    <w:rsid w:val="00103335"/>
    <w:rsid w:val="0010384E"/>
    <w:rsid w:val="00104542"/>
    <w:rsid w:val="00104CB8"/>
    <w:rsid w:val="00105584"/>
    <w:rsid w:val="00105B2D"/>
    <w:rsid w:val="00105CB1"/>
    <w:rsid w:val="001064FB"/>
    <w:rsid w:val="00107C5F"/>
    <w:rsid w:val="00107DAC"/>
    <w:rsid w:val="00110F80"/>
    <w:rsid w:val="00111106"/>
    <w:rsid w:val="00112005"/>
    <w:rsid w:val="001121A7"/>
    <w:rsid w:val="001129F9"/>
    <w:rsid w:val="00112F3C"/>
    <w:rsid w:val="001131EC"/>
    <w:rsid w:val="00113810"/>
    <w:rsid w:val="0011445A"/>
    <w:rsid w:val="00115ADB"/>
    <w:rsid w:val="0012077F"/>
    <w:rsid w:val="0012122B"/>
    <w:rsid w:val="001212F3"/>
    <w:rsid w:val="00122874"/>
    <w:rsid w:val="0012332A"/>
    <w:rsid w:val="0012347E"/>
    <w:rsid w:val="00123BEB"/>
    <w:rsid w:val="00124334"/>
    <w:rsid w:val="00124DFF"/>
    <w:rsid w:val="00125026"/>
    <w:rsid w:val="00125289"/>
    <w:rsid w:val="0012690E"/>
    <w:rsid w:val="0012713C"/>
    <w:rsid w:val="0013071F"/>
    <w:rsid w:val="00130EEE"/>
    <w:rsid w:val="00131138"/>
    <w:rsid w:val="00131188"/>
    <w:rsid w:val="0013230E"/>
    <w:rsid w:val="00133363"/>
    <w:rsid w:val="001336EB"/>
    <w:rsid w:val="00133A48"/>
    <w:rsid w:val="00134233"/>
    <w:rsid w:val="0013476B"/>
    <w:rsid w:val="00134D59"/>
    <w:rsid w:val="00135571"/>
    <w:rsid w:val="00135EFA"/>
    <w:rsid w:val="001373C0"/>
    <w:rsid w:val="00137B12"/>
    <w:rsid w:val="0014081D"/>
    <w:rsid w:val="00142164"/>
    <w:rsid w:val="00142495"/>
    <w:rsid w:val="00143270"/>
    <w:rsid w:val="0014541F"/>
    <w:rsid w:val="00146005"/>
    <w:rsid w:val="00146B17"/>
    <w:rsid w:val="00146B5C"/>
    <w:rsid w:val="00150133"/>
    <w:rsid w:val="0015013D"/>
    <w:rsid w:val="0015195E"/>
    <w:rsid w:val="00151F34"/>
    <w:rsid w:val="00153594"/>
    <w:rsid w:val="00153E0F"/>
    <w:rsid w:val="00154E27"/>
    <w:rsid w:val="00156D1C"/>
    <w:rsid w:val="00156D6A"/>
    <w:rsid w:val="00156E9C"/>
    <w:rsid w:val="00160CAB"/>
    <w:rsid w:val="00161110"/>
    <w:rsid w:val="0016183D"/>
    <w:rsid w:val="00162555"/>
    <w:rsid w:val="00162AFF"/>
    <w:rsid w:val="00164035"/>
    <w:rsid w:val="00164DCB"/>
    <w:rsid w:val="00167C69"/>
    <w:rsid w:val="00167EE8"/>
    <w:rsid w:val="00171F73"/>
    <w:rsid w:val="00172B8F"/>
    <w:rsid w:val="00173621"/>
    <w:rsid w:val="001740C3"/>
    <w:rsid w:val="00175832"/>
    <w:rsid w:val="0017697D"/>
    <w:rsid w:val="001805FA"/>
    <w:rsid w:val="00180C30"/>
    <w:rsid w:val="00181041"/>
    <w:rsid w:val="00184072"/>
    <w:rsid w:val="00185A6C"/>
    <w:rsid w:val="00186E6B"/>
    <w:rsid w:val="001903C8"/>
    <w:rsid w:val="0019049E"/>
    <w:rsid w:val="00191706"/>
    <w:rsid w:val="0019372E"/>
    <w:rsid w:val="00193DF7"/>
    <w:rsid w:val="00193E7A"/>
    <w:rsid w:val="001958A2"/>
    <w:rsid w:val="00195FFE"/>
    <w:rsid w:val="001961F2"/>
    <w:rsid w:val="001966CA"/>
    <w:rsid w:val="001967AB"/>
    <w:rsid w:val="00196E69"/>
    <w:rsid w:val="001A0095"/>
    <w:rsid w:val="001A09D9"/>
    <w:rsid w:val="001A195C"/>
    <w:rsid w:val="001A1BD2"/>
    <w:rsid w:val="001A2666"/>
    <w:rsid w:val="001A301B"/>
    <w:rsid w:val="001A40A9"/>
    <w:rsid w:val="001A4A75"/>
    <w:rsid w:val="001A4EFA"/>
    <w:rsid w:val="001A5176"/>
    <w:rsid w:val="001A53BF"/>
    <w:rsid w:val="001A5929"/>
    <w:rsid w:val="001A5F23"/>
    <w:rsid w:val="001A648F"/>
    <w:rsid w:val="001A6A13"/>
    <w:rsid w:val="001B02D6"/>
    <w:rsid w:val="001B0B7A"/>
    <w:rsid w:val="001B0BAA"/>
    <w:rsid w:val="001B104B"/>
    <w:rsid w:val="001B1259"/>
    <w:rsid w:val="001B1B62"/>
    <w:rsid w:val="001B1DE3"/>
    <w:rsid w:val="001B20ED"/>
    <w:rsid w:val="001B2716"/>
    <w:rsid w:val="001B2BF3"/>
    <w:rsid w:val="001B31DF"/>
    <w:rsid w:val="001B4B34"/>
    <w:rsid w:val="001B5291"/>
    <w:rsid w:val="001B5D8E"/>
    <w:rsid w:val="001B63E0"/>
    <w:rsid w:val="001B7658"/>
    <w:rsid w:val="001C0F1C"/>
    <w:rsid w:val="001C141F"/>
    <w:rsid w:val="001C1768"/>
    <w:rsid w:val="001C1F97"/>
    <w:rsid w:val="001C2F5F"/>
    <w:rsid w:val="001C30A1"/>
    <w:rsid w:val="001C562A"/>
    <w:rsid w:val="001C5CE7"/>
    <w:rsid w:val="001C6333"/>
    <w:rsid w:val="001D04A3"/>
    <w:rsid w:val="001D0C92"/>
    <w:rsid w:val="001D2A9E"/>
    <w:rsid w:val="001D58AC"/>
    <w:rsid w:val="001D5B1C"/>
    <w:rsid w:val="001D6DB1"/>
    <w:rsid w:val="001D7731"/>
    <w:rsid w:val="001E1F12"/>
    <w:rsid w:val="001E20BA"/>
    <w:rsid w:val="001E26EC"/>
    <w:rsid w:val="001E28F7"/>
    <w:rsid w:val="001E43A5"/>
    <w:rsid w:val="001E4C44"/>
    <w:rsid w:val="001E673C"/>
    <w:rsid w:val="001E6A3A"/>
    <w:rsid w:val="001E6FC2"/>
    <w:rsid w:val="001E72E2"/>
    <w:rsid w:val="001E77C2"/>
    <w:rsid w:val="001E7B16"/>
    <w:rsid w:val="001E7DD0"/>
    <w:rsid w:val="001F08B2"/>
    <w:rsid w:val="001F1D5E"/>
    <w:rsid w:val="001F202E"/>
    <w:rsid w:val="001F47E9"/>
    <w:rsid w:val="001F5697"/>
    <w:rsid w:val="001F5A2C"/>
    <w:rsid w:val="001F6122"/>
    <w:rsid w:val="001F701F"/>
    <w:rsid w:val="001F76F4"/>
    <w:rsid w:val="00200DCF"/>
    <w:rsid w:val="0020179B"/>
    <w:rsid w:val="0020211E"/>
    <w:rsid w:val="00202375"/>
    <w:rsid w:val="002023A4"/>
    <w:rsid w:val="00204785"/>
    <w:rsid w:val="00205ED4"/>
    <w:rsid w:val="0020669C"/>
    <w:rsid w:val="00207C96"/>
    <w:rsid w:val="00207D41"/>
    <w:rsid w:val="00207E9B"/>
    <w:rsid w:val="00210018"/>
    <w:rsid w:val="00210984"/>
    <w:rsid w:val="00213964"/>
    <w:rsid w:val="00214131"/>
    <w:rsid w:val="002151B2"/>
    <w:rsid w:val="00215213"/>
    <w:rsid w:val="00216D74"/>
    <w:rsid w:val="00217926"/>
    <w:rsid w:val="00217BD0"/>
    <w:rsid w:val="0022032B"/>
    <w:rsid w:val="0022319C"/>
    <w:rsid w:val="00224674"/>
    <w:rsid w:val="002248EA"/>
    <w:rsid w:val="00224BAB"/>
    <w:rsid w:val="002251C7"/>
    <w:rsid w:val="002258E8"/>
    <w:rsid w:val="00225AF5"/>
    <w:rsid w:val="002262AD"/>
    <w:rsid w:val="002275C8"/>
    <w:rsid w:val="00230C25"/>
    <w:rsid w:val="00230E59"/>
    <w:rsid w:val="002312BE"/>
    <w:rsid w:val="002320F3"/>
    <w:rsid w:val="002321C2"/>
    <w:rsid w:val="00232F46"/>
    <w:rsid w:val="00233424"/>
    <w:rsid w:val="00233D5D"/>
    <w:rsid w:val="0023430C"/>
    <w:rsid w:val="00237C14"/>
    <w:rsid w:val="00237D59"/>
    <w:rsid w:val="00240E4A"/>
    <w:rsid w:val="002413DF"/>
    <w:rsid w:val="00241D4E"/>
    <w:rsid w:val="00243394"/>
    <w:rsid w:val="002447F8"/>
    <w:rsid w:val="002470FE"/>
    <w:rsid w:val="00247720"/>
    <w:rsid w:val="00247ABF"/>
    <w:rsid w:val="00247E35"/>
    <w:rsid w:val="00250036"/>
    <w:rsid w:val="002501F7"/>
    <w:rsid w:val="00251EDC"/>
    <w:rsid w:val="002525FF"/>
    <w:rsid w:val="00253D0F"/>
    <w:rsid w:val="002555E4"/>
    <w:rsid w:val="00257F86"/>
    <w:rsid w:val="0026008E"/>
    <w:rsid w:val="00260AEF"/>
    <w:rsid w:val="002619F8"/>
    <w:rsid w:val="002631C4"/>
    <w:rsid w:val="00263C7A"/>
    <w:rsid w:val="00264D7C"/>
    <w:rsid w:val="00265456"/>
    <w:rsid w:val="0026550B"/>
    <w:rsid w:val="00265998"/>
    <w:rsid w:val="00266C71"/>
    <w:rsid w:val="002703D3"/>
    <w:rsid w:val="00270D92"/>
    <w:rsid w:val="0027115D"/>
    <w:rsid w:val="002714BC"/>
    <w:rsid w:val="00271D2E"/>
    <w:rsid w:val="002729B1"/>
    <w:rsid w:val="00272ACE"/>
    <w:rsid w:val="00272E4C"/>
    <w:rsid w:val="00272E59"/>
    <w:rsid w:val="00273269"/>
    <w:rsid w:val="00273D17"/>
    <w:rsid w:val="00275DFE"/>
    <w:rsid w:val="00276253"/>
    <w:rsid w:val="00277416"/>
    <w:rsid w:val="002774B3"/>
    <w:rsid w:val="002778E3"/>
    <w:rsid w:val="00277EBD"/>
    <w:rsid w:val="00280278"/>
    <w:rsid w:val="0028311F"/>
    <w:rsid w:val="002840DE"/>
    <w:rsid w:val="002849F2"/>
    <w:rsid w:val="00284C0D"/>
    <w:rsid w:val="0028620E"/>
    <w:rsid w:val="00286D94"/>
    <w:rsid w:val="0029006E"/>
    <w:rsid w:val="002900D0"/>
    <w:rsid w:val="00290C33"/>
    <w:rsid w:val="0029138F"/>
    <w:rsid w:val="00292263"/>
    <w:rsid w:val="00292408"/>
    <w:rsid w:val="002924F2"/>
    <w:rsid w:val="002932B6"/>
    <w:rsid w:val="00293311"/>
    <w:rsid w:val="00293D20"/>
    <w:rsid w:val="00294E7F"/>
    <w:rsid w:val="00295899"/>
    <w:rsid w:val="00295DCA"/>
    <w:rsid w:val="00295F38"/>
    <w:rsid w:val="00296473"/>
    <w:rsid w:val="0029652A"/>
    <w:rsid w:val="00296C3B"/>
    <w:rsid w:val="00297EE4"/>
    <w:rsid w:val="002A03FB"/>
    <w:rsid w:val="002A06D3"/>
    <w:rsid w:val="002A1022"/>
    <w:rsid w:val="002A104C"/>
    <w:rsid w:val="002A1658"/>
    <w:rsid w:val="002A1828"/>
    <w:rsid w:val="002A206A"/>
    <w:rsid w:val="002A25BA"/>
    <w:rsid w:val="002A342A"/>
    <w:rsid w:val="002A3EE1"/>
    <w:rsid w:val="002A4D88"/>
    <w:rsid w:val="002A525B"/>
    <w:rsid w:val="002A7C88"/>
    <w:rsid w:val="002B0271"/>
    <w:rsid w:val="002B0350"/>
    <w:rsid w:val="002B03A3"/>
    <w:rsid w:val="002B04BE"/>
    <w:rsid w:val="002B0BAF"/>
    <w:rsid w:val="002B0E20"/>
    <w:rsid w:val="002B125B"/>
    <w:rsid w:val="002B1A55"/>
    <w:rsid w:val="002B1F15"/>
    <w:rsid w:val="002B2359"/>
    <w:rsid w:val="002B2F5E"/>
    <w:rsid w:val="002B3394"/>
    <w:rsid w:val="002B4D92"/>
    <w:rsid w:val="002B7B40"/>
    <w:rsid w:val="002C09A7"/>
    <w:rsid w:val="002C0CD4"/>
    <w:rsid w:val="002C1230"/>
    <w:rsid w:val="002C13C3"/>
    <w:rsid w:val="002C1844"/>
    <w:rsid w:val="002C1967"/>
    <w:rsid w:val="002C28F5"/>
    <w:rsid w:val="002C467E"/>
    <w:rsid w:val="002C5DD9"/>
    <w:rsid w:val="002C640C"/>
    <w:rsid w:val="002C6795"/>
    <w:rsid w:val="002D0503"/>
    <w:rsid w:val="002D205E"/>
    <w:rsid w:val="002D251F"/>
    <w:rsid w:val="002D43EC"/>
    <w:rsid w:val="002D472A"/>
    <w:rsid w:val="002D4C91"/>
    <w:rsid w:val="002D4F21"/>
    <w:rsid w:val="002D539B"/>
    <w:rsid w:val="002D5452"/>
    <w:rsid w:val="002D57FE"/>
    <w:rsid w:val="002D59E5"/>
    <w:rsid w:val="002D5D51"/>
    <w:rsid w:val="002D655D"/>
    <w:rsid w:val="002D74B0"/>
    <w:rsid w:val="002E1011"/>
    <w:rsid w:val="002E1865"/>
    <w:rsid w:val="002E1F32"/>
    <w:rsid w:val="002E2084"/>
    <w:rsid w:val="002E2D23"/>
    <w:rsid w:val="002E440D"/>
    <w:rsid w:val="002E57EF"/>
    <w:rsid w:val="002F0102"/>
    <w:rsid w:val="002F02DE"/>
    <w:rsid w:val="002F121F"/>
    <w:rsid w:val="002F13B2"/>
    <w:rsid w:val="002F33F6"/>
    <w:rsid w:val="002F42B5"/>
    <w:rsid w:val="002F4337"/>
    <w:rsid w:val="002F5E31"/>
    <w:rsid w:val="002F6209"/>
    <w:rsid w:val="002F630C"/>
    <w:rsid w:val="002F7058"/>
    <w:rsid w:val="002F79A6"/>
    <w:rsid w:val="002F7D17"/>
    <w:rsid w:val="0030001C"/>
    <w:rsid w:val="0030023D"/>
    <w:rsid w:val="00300847"/>
    <w:rsid w:val="00300AF3"/>
    <w:rsid w:val="00301030"/>
    <w:rsid w:val="0030103C"/>
    <w:rsid w:val="00301170"/>
    <w:rsid w:val="0030137F"/>
    <w:rsid w:val="00302B3E"/>
    <w:rsid w:val="00302BBD"/>
    <w:rsid w:val="003032EE"/>
    <w:rsid w:val="003036B2"/>
    <w:rsid w:val="00303A06"/>
    <w:rsid w:val="00303B14"/>
    <w:rsid w:val="00303F8C"/>
    <w:rsid w:val="0030407C"/>
    <w:rsid w:val="00304668"/>
    <w:rsid w:val="003055FC"/>
    <w:rsid w:val="00305B24"/>
    <w:rsid w:val="003072F5"/>
    <w:rsid w:val="0030739D"/>
    <w:rsid w:val="00307501"/>
    <w:rsid w:val="003102AC"/>
    <w:rsid w:val="003105D9"/>
    <w:rsid w:val="003112D4"/>
    <w:rsid w:val="003117A2"/>
    <w:rsid w:val="003117FC"/>
    <w:rsid w:val="00311B6B"/>
    <w:rsid w:val="003139BA"/>
    <w:rsid w:val="003142F6"/>
    <w:rsid w:val="003143E7"/>
    <w:rsid w:val="00314B11"/>
    <w:rsid w:val="003173A1"/>
    <w:rsid w:val="00320169"/>
    <w:rsid w:val="00321B45"/>
    <w:rsid w:val="00322534"/>
    <w:rsid w:val="003226D8"/>
    <w:rsid w:val="00323921"/>
    <w:rsid w:val="00324A1B"/>
    <w:rsid w:val="00324A3B"/>
    <w:rsid w:val="00331C34"/>
    <w:rsid w:val="00331CF4"/>
    <w:rsid w:val="0033283E"/>
    <w:rsid w:val="00334981"/>
    <w:rsid w:val="00334B91"/>
    <w:rsid w:val="00335050"/>
    <w:rsid w:val="003352A7"/>
    <w:rsid w:val="0033530A"/>
    <w:rsid w:val="003360B1"/>
    <w:rsid w:val="00336829"/>
    <w:rsid w:val="00336F7F"/>
    <w:rsid w:val="00341B64"/>
    <w:rsid w:val="00341FA4"/>
    <w:rsid w:val="00342311"/>
    <w:rsid w:val="0034237C"/>
    <w:rsid w:val="0034275C"/>
    <w:rsid w:val="00342F53"/>
    <w:rsid w:val="003430DD"/>
    <w:rsid w:val="00343326"/>
    <w:rsid w:val="00344730"/>
    <w:rsid w:val="00345463"/>
    <w:rsid w:val="003455B0"/>
    <w:rsid w:val="003463F2"/>
    <w:rsid w:val="003502EB"/>
    <w:rsid w:val="003505F1"/>
    <w:rsid w:val="0035093A"/>
    <w:rsid w:val="00350FC3"/>
    <w:rsid w:val="00350FE3"/>
    <w:rsid w:val="003510A5"/>
    <w:rsid w:val="00351656"/>
    <w:rsid w:val="00353E0F"/>
    <w:rsid w:val="003541FF"/>
    <w:rsid w:val="00354FD6"/>
    <w:rsid w:val="00355524"/>
    <w:rsid w:val="003557BA"/>
    <w:rsid w:val="00356BF4"/>
    <w:rsid w:val="00357943"/>
    <w:rsid w:val="00360014"/>
    <w:rsid w:val="00360A19"/>
    <w:rsid w:val="003613D9"/>
    <w:rsid w:val="00362698"/>
    <w:rsid w:val="00362914"/>
    <w:rsid w:val="00362C59"/>
    <w:rsid w:val="003636D1"/>
    <w:rsid w:val="00364962"/>
    <w:rsid w:val="003652F8"/>
    <w:rsid w:val="003666F7"/>
    <w:rsid w:val="00367522"/>
    <w:rsid w:val="00367E97"/>
    <w:rsid w:val="00367ED9"/>
    <w:rsid w:val="00370430"/>
    <w:rsid w:val="00370A2D"/>
    <w:rsid w:val="00371423"/>
    <w:rsid w:val="0037205C"/>
    <w:rsid w:val="003728EA"/>
    <w:rsid w:val="00372D8A"/>
    <w:rsid w:val="00373C43"/>
    <w:rsid w:val="00373C81"/>
    <w:rsid w:val="00374FEE"/>
    <w:rsid w:val="00375323"/>
    <w:rsid w:val="003753CA"/>
    <w:rsid w:val="003761B8"/>
    <w:rsid w:val="003763FB"/>
    <w:rsid w:val="003774D9"/>
    <w:rsid w:val="003827F7"/>
    <w:rsid w:val="00382A2F"/>
    <w:rsid w:val="00383077"/>
    <w:rsid w:val="0038367E"/>
    <w:rsid w:val="00383787"/>
    <w:rsid w:val="00383FDC"/>
    <w:rsid w:val="00384A88"/>
    <w:rsid w:val="0038570F"/>
    <w:rsid w:val="00385FBB"/>
    <w:rsid w:val="003862B9"/>
    <w:rsid w:val="00386C41"/>
    <w:rsid w:val="00386FE7"/>
    <w:rsid w:val="00387495"/>
    <w:rsid w:val="00391274"/>
    <w:rsid w:val="0039133F"/>
    <w:rsid w:val="003914EA"/>
    <w:rsid w:val="003949E7"/>
    <w:rsid w:val="00395382"/>
    <w:rsid w:val="00395C32"/>
    <w:rsid w:val="00396039"/>
    <w:rsid w:val="00396074"/>
    <w:rsid w:val="0039678A"/>
    <w:rsid w:val="003969A1"/>
    <w:rsid w:val="003972BC"/>
    <w:rsid w:val="00397CB9"/>
    <w:rsid w:val="00397E51"/>
    <w:rsid w:val="003A1166"/>
    <w:rsid w:val="003A24E8"/>
    <w:rsid w:val="003A310C"/>
    <w:rsid w:val="003A3C8C"/>
    <w:rsid w:val="003A4E75"/>
    <w:rsid w:val="003A547B"/>
    <w:rsid w:val="003A7385"/>
    <w:rsid w:val="003A7660"/>
    <w:rsid w:val="003A7ADF"/>
    <w:rsid w:val="003B045B"/>
    <w:rsid w:val="003B06FB"/>
    <w:rsid w:val="003B0785"/>
    <w:rsid w:val="003B1D1E"/>
    <w:rsid w:val="003B2F01"/>
    <w:rsid w:val="003B39CB"/>
    <w:rsid w:val="003B3AE1"/>
    <w:rsid w:val="003B4892"/>
    <w:rsid w:val="003B58E4"/>
    <w:rsid w:val="003B5AD1"/>
    <w:rsid w:val="003B68C1"/>
    <w:rsid w:val="003C0F48"/>
    <w:rsid w:val="003C1010"/>
    <w:rsid w:val="003C144A"/>
    <w:rsid w:val="003C152D"/>
    <w:rsid w:val="003C37CF"/>
    <w:rsid w:val="003C549B"/>
    <w:rsid w:val="003C5D9B"/>
    <w:rsid w:val="003C5DA0"/>
    <w:rsid w:val="003C6783"/>
    <w:rsid w:val="003C67FE"/>
    <w:rsid w:val="003C6E21"/>
    <w:rsid w:val="003C7307"/>
    <w:rsid w:val="003C7D80"/>
    <w:rsid w:val="003D150B"/>
    <w:rsid w:val="003D1F39"/>
    <w:rsid w:val="003D2506"/>
    <w:rsid w:val="003D2F9F"/>
    <w:rsid w:val="003D3A3B"/>
    <w:rsid w:val="003D3B8A"/>
    <w:rsid w:val="003D3DEB"/>
    <w:rsid w:val="003D4C49"/>
    <w:rsid w:val="003D4F45"/>
    <w:rsid w:val="003D6E55"/>
    <w:rsid w:val="003D71D4"/>
    <w:rsid w:val="003D78E9"/>
    <w:rsid w:val="003E0B9C"/>
    <w:rsid w:val="003E12EF"/>
    <w:rsid w:val="003E2173"/>
    <w:rsid w:val="003E3C38"/>
    <w:rsid w:val="003E4D17"/>
    <w:rsid w:val="003E516D"/>
    <w:rsid w:val="003E5BF4"/>
    <w:rsid w:val="003E6D2F"/>
    <w:rsid w:val="003F03AD"/>
    <w:rsid w:val="003F0B1B"/>
    <w:rsid w:val="003F1687"/>
    <w:rsid w:val="003F1DF8"/>
    <w:rsid w:val="003F2002"/>
    <w:rsid w:val="003F24D0"/>
    <w:rsid w:val="003F6237"/>
    <w:rsid w:val="003F635C"/>
    <w:rsid w:val="003F67EE"/>
    <w:rsid w:val="003F79FB"/>
    <w:rsid w:val="0040010E"/>
    <w:rsid w:val="004006C9"/>
    <w:rsid w:val="00401517"/>
    <w:rsid w:val="00401D2B"/>
    <w:rsid w:val="004021E0"/>
    <w:rsid w:val="00402985"/>
    <w:rsid w:val="00403B21"/>
    <w:rsid w:val="00403F69"/>
    <w:rsid w:val="00404085"/>
    <w:rsid w:val="00404396"/>
    <w:rsid w:val="00405B9B"/>
    <w:rsid w:val="00405CD0"/>
    <w:rsid w:val="00407786"/>
    <w:rsid w:val="00407C6C"/>
    <w:rsid w:val="00407F55"/>
    <w:rsid w:val="00410057"/>
    <w:rsid w:val="004104F6"/>
    <w:rsid w:val="00410B19"/>
    <w:rsid w:val="00410FE2"/>
    <w:rsid w:val="0041112A"/>
    <w:rsid w:val="0041118F"/>
    <w:rsid w:val="00411328"/>
    <w:rsid w:val="004113E4"/>
    <w:rsid w:val="00411559"/>
    <w:rsid w:val="00411D7B"/>
    <w:rsid w:val="00413519"/>
    <w:rsid w:val="0041446A"/>
    <w:rsid w:val="00415DD6"/>
    <w:rsid w:val="00415E48"/>
    <w:rsid w:val="00416193"/>
    <w:rsid w:val="0041648D"/>
    <w:rsid w:val="00416775"/>
    <w:rsid w:val="004171D7"/>
    <w:rsid w:val="0041735C"/>
    <w:rsid w:val="00417B73"/>
    <w:rsid w:val="004216FC"/>
    <w:rsid w:val="004216FF"/>
    <w:rsid w:val="00422040"/>
    <w:rsid w:val="0042289C"/>
    <w:rsid w:val="00423D19"/>
    <w:rsid w:val="00424EE9"/>
    <w:rsid w:val="004250AB"/>
    <w:rsid w:val="0042672F"/>
    <w:rsid w:val="00427414"/>
    <w:rsid w:val="004276F6"/>
    <w:rsid w:val="00427815"/>
    <w:rsid w:val="00427AAC"/>
    <w:rsid w:val="0043029B"/>
    <w:rsid w:val="004314B0"/>
    <w:rsid w:val="0043218F"/>
    <w:rsid w:val="004321AC"/>
    <w:rsid w:val="004328CE"/>
    <w:rsid w:val="00432958"/>
    <w:rsid w:val="00432C9E"/>
    <w:rsid w:val="00432E94"/>
    <w:rsid w:val="00433E18"/>
    <w:rsid w:val="00434864"/>
    <w:rsid w:val="00434C65"/>
    <w:rsid w:val="00435928"/>
    <w:rsid w:val="00436231"/>
    <w:rsid w:val="00437673"/>
    <w:rsid w:val="00441A11"/>
    <w:rsid w:val="00441A54"/>
    <w:rsid w:val="00441C09"/>
    <w:rsid w:val="00442157"/>
    <w:rsid w:val="004424C3"/>
    <w:rsid w:val="004449E7"/>
    <w:rsid w:val="00444DDA"/>
    <w:rsid w:val="00445FFF"/>
    <w:rsid w:val="004467B0"/>
    <w:rsid w:val="00447B6C"/>
    <w:rsid w:val="004500AE"/>
    <w:rsid w:val="0045195F"/>
    <w:rsid w:val="00451A21"/>
    <w:rsid w:val="004529FC"/>
    <w:rsid w:val="0045425F"/>
    <w:rsid w:val="00454E35"/>
    <w:rsid w:val="00455454"/>
    <w:rsid w:val="004554BC"/>
    <w:rsid w:val="00455BC6"/>
    <w:rsid w:val="00456A4D"/>
    <w:rsid w:val="00457077"/>
    <w:rsid w:val="00460311"/>
    <w:rsid w:val="004606ED"/>
    <w:rsid w:val="00460B14"/>
    <w:rsid w:val="0046118D"/>
    <w:rsid w:val="004613EC"/>
    <w:rsid w:val="00461415"/>
    <w:rsid w:val="00461BF6"/>
    <w:rsid w:val="00462858"/>
    <w:rsid w:val="00466678"/>
    <w:rsid w:val="00466CBD"/>
    <w:rsid w:val="00467FF4"/>
    <w:rsid w:val="00470017"/>
    <w:rsid w:val="004708A4"/>
    <w:rsid w:val="004710ED"/>
    <w:rsid w:val="00471E26"/>
    <w:rsid w:val="00473645"/>
    <w:rsid w:val="00475A7A"/>
    <w:rsid w:val="00476D14"/>
    <w:rsid w:val="00476EBE"/>
    <w:rsid w:val="00481B37"/>
    <w:rsid w:val="0048283C"/>
    <w:rsid w:val="00482F3E"/>
    <w:rsid w:val="0048490A"/>
    <w:rsid w:val="0048574F"/>
    <w:rsid w:val="0048648B"/>
    <w:rsid w:val="0048658B"/>
    <w:rsid w:val="00486681"/>
    <w:rsid w:val="00486780"/>
    <w:rsid w:val="00487564"/>
    <w:rsid w:val="004877F8"/>
    <w:rsid w:val="0049064B"/>
    <w:rsid w:val="00490B8C"/>
    <w:rsid w:val="00492B01"/>
    <w:rsid w:val="00493125"/>
    <w:rsid w:val="004967BF"/>
    <w:rsid w:val="004A347E"/>
    <w:rsid w:val="004A4E9F"/>
    <w:rsid w:val="004A593F"/>
    <w:rsid w:val="004A63B8"/>
    <w:rsid w:val="004A65AF"/>
    <w:rsid w:val="004A66A9"/>
    <w:rsid w:val="004A67F2"/>
    <w:rsid w:val="004A689D"/>
    <w:rsid w:val="004A6E8C"/>
    <w:rsid w:val="004B093C"/>
    <w:rsid w:val="004B1A2C"/>
    <w:rsid w:val="004B1F44"/>
    <w:rsid w:val="004B21C4"/>
    <w:rsid w:val="004B2998"/>
    <w:rsid w:val="004B2ACA"/>
    <w:rsid w:val="004B3FBA"/>
    <w:rsid w:val="004B47B4"/>
    <w:rsid w:val="004B5176"/>
    <w:rsid w:val="004B5FC0"/>
    <w:rsid w:val="004B788F"/>
    <w:rsid w:val="004B7B29"/>
    <w:rsid w:val="004C17DA"/>
    <w:rsid w:val="004C2425"/>
    <w:rsid w:val="004C2992"/>
    <w:rsid w:val="004C29EC"/>
    <w:rsid w:val="004C2F33"/>
    <w:rsid w:val="004C386D"/>
    <w:rsid w:val="004C5265"/>
    <w:rsid w:val="004C5501"/>
    <w:rsid w:val="004C6279"/>
    <w:rsid w:val="004C6DF8"/>
    <w:rsid w:val="004C7524"/>
    <w:rsid w:val="004D05DF"/>
    <w:rsid w:val="004D1419"/>
    <w:rsid w:val="004D1605"/>
    <w:rsid w:val="004D242A"/>
    <w:rsid w:val="004D3C49"/>
    <w:rsid w:val="004D48AA"/>
    <w:rsid w:val="004D4BA9"/>
    <w:rsid w:val="004D5288"/>
    <w:rsid w:val="004D5638"/>
    <w:rsid w:val="004D5C5A"/>
    <w:rsid w:val="004D5E9F"/>
    <w:rsid w:val="004D5EFF"/>
    <w:rsid w:val="004D7A31"/>
    <w:rsid w:val="004E03C9"/>
    <w:rsid w:val="004E11C2"/>
    <w:rsid w:val="004E1ECA"/>
    <w:rsid w:val="004E2394"/>
    <w:rsid w:val="004E2847"/>
    <w:rsid w:val="004E2BB1"/>
    <w:rsid w:val="004E2F5E"/>
    <w:rsid w:val="004E67C5"/>
    <w:rsid w:val="004E790C"/>
    <w:rsid w:val="004F02E4"/>
    <w:rsid w:val="004F1D98"/>
    <w:rsid w:val="004F3111"/>
    <w:rsid w:val="004F3E63"/>
    <w:rsid w:val="004F434C"/>
    <w:rsid w:val="004F4D63"/>
    <w:rsid w:val="004F5344"/>
    <w:rsid w:val="004F632C"/>
    <w:rsid w:val="004F67D6"/>
    <w:rsid w:val="004F7FA8"/>
    <w:rsid w:val="00500B25"/>
    <w:rsid w:val="00500BF4"/>
    <w:rsid w:val="005011FC"/>
    <w:rsid w:val="00501B3E"/>
    <w:rsid w:val="00501B48"/>
    <w:rsid w:val="00501CA4"/>
    <w:rsid w:val="00501E86"/>
    <w:rsid w:val="0050285A"/>
    <w:rsid w:val="00502A35"/>
    <w:rsid w:val="00503DC1"/>
    <w:rsid w:val="00504818"/>
    <w:rsid w:val="00504D64"/>
    <w:rsid w:val="00505DD6"/>
    <w:rsid w:val="00506D22"/>
    <w:rsid w:val="0050787E"/>
    <w:rsid w:val="00507A65"/>
    <w:rsid w:val="0051054A"/>
    <w:rsid w:val="005105D7"/>
    <w:rsid w:val="00510704"/>
    <w:rsid w:val="00510885"/>
    <w:rsid w:val="005123B3"/>
    <w:rsid w:val="00512F65"/>
    <w:rsid w:val="00513DB0"/>
    <w:rsid w:val="005158D7"/>
    <w:rsid w:val="00516064"/>
    <w:rsid w:val="00516768"/>
    <w:rsid w:val="00517407"/>
    <w:rsid w:val="00517472"/>
    <w:rsid w:val="0051763D"/>
    <w:rsid w:val="0052095D"/>
    <w:rsid w:val="005214BF"/>
    <w:rsid w:val="005221CE"/>
    <w:rsid w:val="00522633"/>
    <w:rsid w:val="0052383E"/>
    <w:rsid w:val="00524061"/>
    <w:rsid w:val="00524805"/>
    <w:rsid w:val="00525162"/>
    <w:rsid w:val="0052572E"/>
    <w:rsid w:val="005259F6"/>
    <w:rsid w:val="005261B2"/>
    <w:rsid w:val="0052691C"/>
    <w:rsid w:val="0053026B"/>
    <w:rsid w:val="0053146F"/>
    <w:rsid w:val="005314AE"/>
    <w:rsid w:val="00531F57"/>
    <w:rsid w:val="0053214B"/>
    <w:rsid w:val="00532651"/>
    <w:rsid w:val="00532C86"/>
    <w:rsid w:val="005340A7"/>
    <w:rsid w:val="00534A6E"/>
    <w:rsid w:val="00535BB4"/>
    <w:rsid w:val="00535DA9"/>
    <w:rsid w:val="005362EF"/>
    <w:rsid w:val="00536A05"/>
    <w:rsid w:val="0053727B"/>
    <w:rsid w:val="0053744C"/>
    <w:rsid w:val="00540DA6"/>
    <w:rsid w:val="0054128B"/>
    <w:rsid w:val="005414D4"/>
    <w:rsid w:val="00541ED2"/>
    <w:rsid w:val="00541FCF"/>
    <w:rsid w:val="005421AD"/>
    <w:rsid w:val="00542591"/>
    <w:rsid w:val="00542925"/>
    <w:rsid w:val="00542A04"/>
    <w:rsid w:val="00543581"/>
    <w:rsid w:val="00543C38"/>
    <w:rsid w:val="00544325"/>
    <w:rsid w:val="00544491"/>
    <w:rsid w:val="0054567E"/>
    <w:rsid w:val="005460DA"/>
    <w:rsid w:val="0054637C"/>
    <w:rsid w:val="00546BEA"/>
    <w:rsid w:val="00547AA4"/>
    <w:rsid w:val="0055103E"/>
    <w:rsid w:val="0055238D"/>
    <w:rsid w:val="00552515"/>
    <w:rsid w:val="0055260B"/>
    <w:rsid w:val="00552E3E"/>
    <w:rsid w:val="00553189"/>
    <w:rsid w:val="0055403B"/>
    <w:rsid w:val="00554BBB"/>
    <w:rsid w:val="005556A4"/>
    <w:rsid w:val="00556441"/>
    <w:rsid w:val="005564AB"/>
    <w:rsid w:val="0055706D"/>
    <w:rsid w:val="00557355"/>
    <w:rsid w:val="00557C1F"/>
    <w:rsid w:val="00560561"/>
    <w:rsid w:val="00560A9E"/>
    <w:rsid w:val="00560EA9"/>
    <w:rsid w:val="005611B9"/>
    <w:rsid w:val="00561270"/>
    <w:rsid w:val="005621D6"/>
    <w:rsid w:val="005629E3"/>
    <w:rsid w:val="0056380F"/>
    <w:rsid w:val="00563AF0"/>
    <w:rsid w:val="00564B0B"/>
    <w:rsid w:val="00564C39"/>
    <w:rsid w:val="00570968"/>
    <w:rsid w:val="00570EBC"/>
    <w:rsid w:val="00572172"/>
    <w:rsid w:val="00572940"/>
    <w:rsid w:val="00572DFA"/>
    <w:rsid w:val="00573367"/>
    <w:rsid w:val="00574BD6"/>
    <w:rsid w:val="00575BBE"/>
    <w:rsid w:val="005764CA"/>
    <w:rsid w:val="00576973"/>
    <w:rsid w:val="00576FA6"/>
    <w:rsid w:val="005801CF"/>
    <w:rsid w:val="005802A6"/>
    <w:rsid w:val="005809D6"/>
    <w:rsid w:val="00583F40"/>
    <w:rsid w:val="0058495E"/>
    <w:rsid w:val="00584A30"/>
    <w:rsid w:val="005854E1"/>
    <w:rsid w:val="005855A2"/>
    <w:rsid w:val="00585A03"/>
    <w:rsid w:val="00585B79"/>
    <w:rsid w:val="0058684F"/>
    <w:rsid w:val="00586C9F"/>
    <w:rsid w:val="00587735"/>
    <w:rsid w:val="00587771"/>
    <w:rsid w:val="00590452"/>
    <w:rsid w:val="00590892"/>
    <w:rsid w:val="00591623"/>
    <w:rsid w:val="00591AA3"/>
    <w:rsid w:val="00595205"/>
    <w:rsid w:val="0059692A"/>
    <w:rsid w:val="00596FA1"/>
    <w:rsid w:val="00597428"/>
    <w:rsid w:val="00597434"/>
    <w:rsid w:val="00597822"/>
    <w:rsid w:val="005A01B0"/>
    <w:rsid w:val="005A06C6"/>
    <w:rsid w:val="005A1211"/>
    <w:rsid w:val="005A16F7"/>
    <w:rsid w:val="005A2121"/>
    <w:rsid w:val="005A2FF6"/>
    <w:rsid w:val="005A3433"/>
    <w:rsid w:val="005A35D4"/>
    <w:rsid w:val="005A3D4C"/>
    <w:rsid w:val="005A41D1"/>
    <w:rsid w:val="005A45C7"/>
    <w:rsid w:val="005A70F9"/>
    <w:rsid w:val="005B05AC"/>
    <w:rsid w:val="005B2B3C"/>
    <w:rsid w:val="005B4649"/>
    <w:rsid w:val="005B6260"/>
    <w:rsid w:val="005B681E"/>
    <w:rsid w:val="005B6B43"/>
    <w:rsid w:val="005B727A"/>
    <w:rsid w:val="005B781E"/>
    <w:rsid w:val="005C055B"/>
    <w:rsid w:val="005C0881"/>
    <w:rsid w:val="005C0FBE"/>
    <w:rsid w:val="005C2375"/>
    <w:rsid w:val="005C2614"/>
    <w:rsid w:val="005C45C6"/>
    <w:rsid w:val="005C5156"/>
    <w:rsid w:val="005C556B"/>
    <w:rsid w:val="005C5726"/>
    <w:rsid w:val="005C59B3"/>
    <w:rsid w:val="005C68E3"/>
    <w:rsid w:val="005C7FAD"/>
    <w:rsid w:val="005D0B21"/>
    <w:rsid w:val="005D136A"/>
    <w:rsid w:val="005D224F"/>
    <w:rsid w:val="005D38B3"/>
    <w:rsid w:val="005D39E7"/>
    <w:rsid w:val="005D3D96"/>
    <w:rsid w:val="005D3E5E"/>
    <w:rsid w:val="005D416D"/>
    <w:rsid w:val="005D42AC"/>
    <w:rsid w:val="005D60D4"/>
    <w:rsid w:val="005D6CA9"/>
    <w:rsid w:val="005D6CF8"/>
    <w:rsid w:val="005D6FB2"/>
    <w:rsid w:val="005D749E"/>
    <w:rsid w:val="005D7ED2"/>
    <w:rsid w:val="005E0071"/>
    <w:rsid w:val="005E0193"/>
    <w:rsid w:val="005E049A"/>
    <w:rsid w:val="005E1301"/>
    <w:rsid w:val="005E2996"/>
    <w:rsid w:val="005E2E0C"/>
    <w:rsid w:val="005E456A"/>
    <w:rsid w:val="005E5242"/>
    <w:rsid w:val="005E577C"/>
    <w:rsid w:val="005E63BF"/>
    <w:rsid w:val="005E67C9"/>
    <w:rsid w:val="005E6A42"/>
    <w:rsid w:val="005E6EDC"/>
    <w:rsid w:val="005E7184"/>
    <w:rsid w:val="005E7F00"/>
    <w:rsid w:val="005F0AF2"/>
    <w:rsid w:val="005F1C2A"/>
    <w:rsid w:val="005F22BB"/>
    <w:rsid w:val="005F27B2"/>
    <w:rsid w:val="005F2E70"/>
    <w:rsid w:val="005F4267"/>
    <w:rsid w:val="005F4986"/>
    <w:rsid w:val="005F646E"/>
    <w:rsid w:val="005F6731"/>
    <w:rsid w:val="005F705E"/>
    <w:rsid w:val="00601C41"/>
    <w:rsid w:val="00601FDC"/>
    <w:rsid w:val="0060374B"/>
    <w:rsid w:val="00605D2B"/>
    <w:rsid w:val="00606B5A"/>
    <w:rsid w:val="00606D31"/>
    <w:rsid w:val="00607025"/>
    <w:rsid w:val="006072A6"/>
    <w:rsid w:val="00607DCB"/>
    <w:rsid w:val="00610FAC"/>
    <w:rsid w:val="00611996"/>
    <w:rsid w:val="006138A6"/>
    <w:rsid w:val="0061396A"/>
    <w:rsid w:val="00616734"/>
    <w:rsid w:val="006176E8"/>
    <w:rsid w:val="00617A17"/>
    <w:rsid w:val="00617D9B"/>
    <w:rsid w:val="0062013C"/>
    <w:rsid w:val="006212AC"/>
    <w:rsid w:val="0062232B"/>
    <w:rsid w:val="0062315F"/>
    <w:rsid w:val="00623756"/>
    <w:rsid w:val="00623B55"/>
    <w:rsid w:val="00623D07"/>
    <w:rsid w:val="0062438E"/>
    <w:rsid w:val="006243AD"/>
    <w:rsid w:val="00624ABB"/>
    <w:rsid w:val="006255B1"/>
    <w:rsid w:val="00625685"/>
    <w:rsid w:val="00625C24"/>
    <w:rsid w:val="00625C84"/>
    <w:rsid w:val="006272C5"/>
    <w:rsid w:val="00630515"/>
    <w:rsid w:val="00630845"/>
    <w:rsid w:val="00631CA1"/>
    <w:rsid w:val="0063210A"/>
    <w:rsid w:val="00632673"/>
    <w:rsid w:val="0063284D"/>
    <w:rsid w:val="00632C47"/>
    <w:rsid w:val="00633433"/>
    <w:rsid w:val="00633C12"/>
    <w:rsid w:val="00633E02"/>
    <w:rsid w:val="006345D5"/>
    <w:rsid w:val="00634995"/>
    <w:rsid w:val="00634C8B"/>
    <w:rsid w:val="00634CB5"/>
    <w:rsid w:val="0063610F"/>
    <w:rsid w:val="00636452"/>
    <w:rsid w:val="006367AF"/>
    <w:rsid w:val="006374BD"/>
    <w:rsid w:val="0063777C"/>
    <w:rsid w:val="00641594"/>
    <w:rsid w:val="00641609"/>
    <w:rsid w:val="0064165C"/>
    <w:rsid w:val="00641A38"/>
    <w:rsid w:val="0064379B"/>
    <w:rsid w:val="00644427"/>
    <w:rsid w:val="00644B1A"/>
    <w:rsid w:val="006453EE"/>
    <w:rsid w:val="006457D0"/>
    <w:rsid w:val="00645DE9"/>
    <w:rsid w:val="006465CB"/>
    <w:rsid w:val="00646D1B"/>
    <w:rsid w:val="006474F0"/>
    <w:rsid w:val="00647EA9"/>
    <w:rsid w:val="0065183F"/>
    <w:rsid w:val="00652238"/>
    <w:rsid w:val="00652CCA"/>
    <w:rsid w:val="006531C0"/>
    <w:rsid w:val="00653397"/>
    <w:rsid w:val="00654522"/>
    <w:rsid w:val="006545B0"/>
    <w:rsid w:val="00654A52"/>
    <w:rsid w:val="00655002"/>
    <w:rsid w:val="006551E5"/>
    <w:rsid w:val="006554E0"/>
    <w:rsid w:val="00656844"/>
    <w:rsid w:val="00656CFF"/>
    <w:rsid w:val="00657087"/>
    <w:rsid w:val="00657336"/>
    <w:rsid w:val="006605A1"/>
    <w:rsid w:val="006607D1"/>
    <w:rsid w:val="00661040"/>
    <w:rsid w:val="0066288D"/>
    <w:rsid w:val="00663BF0"/>
    <w:rsid w:val="00663FA8"/>
    <w:rsid w:val="0066518B"/>
    <w:rsid w:val="00665204"/>
    <w:rsid w:val="0066566B"/>
    <w:rsid w:val="006662CD"/>
    <w:rsid w:val="00666684"/>
    <w:rsid w:val="00670221"/>
    <w:rsid w:val="00670EC1"/>
    <w:rsid w:val="00671A50"/>
    <w:rsid w:val="00671FC3"/>
    <w:rsid w:val="00672393"/>
    <w:rsid w:val="0067310E"/>
    <w:rsid w:val="00673191"/>
    <w:rsid w:val="00673FAB"/>
    <w:rsid w:val="006741EA"/>
    <w:rsid w:val="00674BAF"/>
    <w:rsid w:val="006757E0"/>
    <w:rsid w:val="00676969"/>
    <w:rsid w:val="006778DB"/>
    <w:rsid w:val="00680443"/>
    <w:rsid w:val="00680955"/>
    <w:rsid w:val="0068262F"/>
    <w:rsid w:val="00686B14"/>
    <w:rsid w:val="00687C42"/>
    <w:rsid w:val="00690384"/>
    <w:rsid w:val="00690F42"/>
    <w:rsid w:val="00691047"/>
    <w:rsid w:val="0069229A"/>
    <w:rsid w:val="0069256B"/>
    <w:rsid w:val="006926BE"/>
    <w:rsid w:val="0069416C"/>
    <w:rsid w:val="00694536"/>
    <w:rsid w:val="00694BB4"/>
    <w:rsid w:val="00694BD8"/>
    <w:rsid w:val="00694F60"/>
    <w:rsid w:val="00695568"/>
    <w:rsid w:val="006961BC"/>
    <w:rsid w:val="006967A3"/>
    <w:rsid w:val="00696ED8"/>
    <w:rsid w:val="0069797E"/>
    <w:rsid w:val="00697D80"/>
    <w:rsid w:val="006A02EF"/>
    <w:rsid w:val="006A0FA7"/>
    <w:rsid w:val="006A121D"/>
    <w:rsid w:val="006A2578"/>
    <w:rsid w:val="006A260A"/>
    <w:rsid w:val="006A2654"/>
    <w:rsid w:val="006A2A69"/>
    <w:rsid w:val="006A2D6E"/>
    <w:rsid w:val="006A3526"/>
    <w:rsid w:val="006A3885"/>
    <w:rsid w:val="006A3BB9"/>
    <w:rsid w:val="006A452C"/>
    <w:rsid w:val="006A5D43"/>
    <w:rsid w:val="006A6CF1"/>
    <w:rsid w:val="006A7861"/>
    <w:rsid w:val="006A7F02"/>
    <w:rsid w:val="006A7FF3"/>
    <w:rsid w:val="006B10F9"/>
    <w:rsid w:val="006B1A67"/>
    <w:rsid w:val="006B2361"/>
    <w:rsid w:val="006B2CBF"/>
    <w:rsid w:val="006B2FC6"/>
    <w:rsid w:val="006B3113"/>
    <w:rsid w:val="006B3235"/>
    <w:rsid w:val="006B3CF3"/>
    <w:rsid w:val="006B4885"/>
    <w:rsid w:val="006B5811"/>
    <w:rsid w:val="006B62B6"/>
    <w:rsid w:val="006B637B"/>
    <w:rsid w:val="006C256B"/>
    <w:rsid w:val="006C2921"/>
    <w:rsid w:val="006C2D25"/>
    <w:rsid w:val="006C3A8C"/>
    <w:rsid w:val="006C3B05"/>
    <w:rsid w:val="006C3F7B"/>
    <w:rsid w:val="006C41B4"/>
    <w:rsid w:val="006C49EB"/>
    <w:rsid w:val="006C648E"/>
    <w:rsid w:val="006C6621"/>
    <w:rsid w:val="006C676D"/>
    <w:rsid w:val="006C6FC7"/>
    <w:rsid w:val="006C72BD"/>
    <w:rsid w:val="006D0E7C"/>
    <w:rsid w:val="006D228B"/>
    <w:rsid w:val="006D2639"/>
    <w:rsid w:val="006D4111"/>
    <w:rsid w:val="006D5183"/>
    <w:rsid w:val="006D67D9"/>
    <w:rsid w:val="006E00F6"/>
    <w:rsid w:val="006E04AD"/>
    <w:rsid w:val="006E0E5F"/>
    <w:rsid w:val="006E277C"/>
    <w:rsid w:val="006E27BD"/>
    <w:rsid w:val="006E2C14"/>
    <w:rsid w:val="006E303E"/>
    <w:rsid w:val="006E4D3A"/>
    <w:rsid w:val="006F149A"/>
    <w:rsid w:val="006F1A10"/>
    <w:rsid w:val="006F2F10"/>
    <w:rsid w:val="006F439E"/>
    <w:rsid w:val="006F4916"/>
    <w:rsid w:val="006F5DDD"/>
    <w:rsid w:val="006F62E8"/>
    <w:rsid w:val="006F7432"/>
    <w:rsid w:val="006F7F8A"/>
    <w:rsid w:val="007003F9"/>
    <w:rsid w:val="00701AAA"/>
    <w:rsid w:val="00702A01"/>
    <w:rsid w:val="007038E3"/>
    <w:rsid w:val="00703A4E"/>
    <w:rsid w:val="00704E65"/>
    <w:rsid w:val="007057E2"/>
    <w:rsid w:val="00706932"/>
    <w:rsid w:val="00707228"/>
    <w:rsid w:val="00707587"/>
    <w:rsid w:val="00707766"/>
    <w:rsid w:val="00707F69"/>
    <w:rsid w:val="00710926"/>
    <w:rsid w:val="00710A3C"/>
    <w:rsid w:val="007117AC"/>
    <w:rsid w:val="00711B75"/>
    <w:rsid w:val="00711BC4"/>
    <w:rsid w:val="007126F6"/>
    <w:rsid w:val="007128B9"/>
    <w:rsid w:val="00712B11"/>
    <w:rsid w:val="00712B98"/>
    <w:rsid w:val="00712FE4"/>
    <w:rsid w:val="00713354"/>
    <w:rsid w:val="00713BF0"/>
    <w:rsid w:val="0071430F"/>
    <w:rsid w:val="00714364"/>
    <w:rsid w:val="0071467D"/>
    <w:rsid w:val="00716C1A"/>
    <w:rsid w:val="00716FCB"/>
    <w:rsid w:val="007209C2"/>
    <w:rsid w:val="007223C3"/>
    <w:rsid w:val="00723328"/>
    <w:rsid w:val="0072366E"/>
    <w:rsid w:val="00723D2F"/>
    <w:rsid w:val="00724BD2"/>
    <w:rsid w:val="00724F5E"/>
    <w:rsid w:val="00726BFA"/>
    <w:rsid w:val="00726E52"/>
    <w:rsid w:val="00727D73"/>
    <w:rsid w:val="00727F4D"/>
    <w:rsid w:val="007305FB"/>
    <w:rsid w:val="00730AC3"/>
    <w:rsid w:val="00732A3A"/>
    <w:rsid w:val="00735762"/>
    <w:rsid w:val="00735B38"/>
    <w:rsid w:val="00736EBA"/>
    <w:rsid w:val="00737543"/>
    <w:rsid w:val="00737A46"/>
    <w:rsid w:val="007401A7"/>
    <w:rsid w:val="00740333"/>
    <w:rsid w:val="0074099F"/>
    <w:rsid w:val="00740B37"/>
    <w:rsid w:val="00741879"/>
    <w:rsid w:val="00741F1A"/>
    <w:rsid w:val="0074311A"/>
    <w:rsid w:val="00743938"/>
    <w:rsid w:val="00744073"/>
    <w:rsid w:val="00746767"/>
    <w:rsid w:val="00746C35"/>
    <w:rsid w:val="0074760B"/>
    <w:rsid w:val="00747BB4"/>
    <w:rsid w:val="00747C81"/>
    <w:rsid w:val="00747F38"/>
    <w:rsid w:val="00750A17"/>
    <w:rsid w:val="00751116"/>
    <w:rsid w:val="007513C1"/>
    <w:rsid w:val="00752322"/>
    <w:rsid w:val="0075453F"/>
    <w:rsid w:val="007561E0"/>
    <w:rsid w:val="00757CB1"/>
    <w:rsid w:val="007602BE"/>
    <w:rsid w:val="007609C6"/>
    <w:rsid w:val="00761308"/>
    <w:rsid w:val="0076142F"/>
    <w:rsid w:val="007616C9"/>
    <w:rsid w:val="00761D90"/>
    <w:rsid w:val="00762581"/>
    <w:rsid w:val="007629BC"/>
    <w:rsid w:val="00762BE5"/>
    <w:rsid w:val="00764493"/>
    <w:rsid w:val="0076542D"/>
    <w:rsid w:val="00765CF2"/>
    <w:rsid w:val="007671BA"/>
    <w:rsid w:val="007675D4"/>
    <w:rsid w:val="00767A03"/>
    <w:rsid w:val="00767AB2"/>
    <w:rsid w:val="0077185D"/>
    <w:rsid w:val="007721BB"/>
    <w:rsid w:val="007722AF"/>
    <w:rsid w:val="00772817"/>
    <w:rsid w:val="00772F97"/>
    <w:rsid w:val="0077484C"/>
    <w:rsid w:val="0077628F"/>
    <w:rsid w:val="00777757"/>
    <w:rsid w:val="00777B39"/>
    <w:rsid w:val="00777DDC"/>
    <w:rsid w:val="00777ED8"/>
    <w:rsid w:val="007824E3"/>
    <w:rsid w:val="00782591"/>
    <w:rsid w:val="00782E47"/>
    <w:rsid w:val="00782F03"/>
    <w:rsid w:val="007831C1"/>
    <w:rsid w:val="00783261"/>
    <w:rsid w:val="00783701"/>
    <w:rsid w:val="007843B2"/>
    <w:rsid w:val="00784E47"/>
    <w:rsid w:val="00785594"/>
    <w:rsid w:val="00785C96"/>
    <w:rsid w:val="007864CD"/>
    <w:rsid w:val="00786955"/>
    <w:rsid w:val="00787837"/>
    <w:rsid w:val="0079036B"/>
    <w:rsid w:val="007903CB"/>
    <w:rsid w:val="00791C28"/>
    <w:rsid w:val="007946FA"/>
    <w:rsid w:val="00794BC0"/>
    <w:rsid w:val="00795DA6"/>
    <w:rsid w:val="00797539"/>
    <w:rsid w:val="00797D1B"/>
    <w:rsid w:val="007A0676"/>
    <w:rsid w:val="007A0737"/>
    <w:rsid w:val="007A0A63"/>
    <w:rsid w:val="007A14D9"/>
    <w:rsid w:val="007A1AE4"/>
    <w:rsid w:val="007A251C"/>
    <w:rsid w:val="007A3059"/>
    <w:rsid w:val="007A34F5"/>
    <w:rsid w:val="007A383F"/>
    <w:rsid w:val="007A3C58"/>
    <w:rsid w:val="007A48DE"/>
    <w:rsid w:val="007A5F06"/>
    <w:rsid w:val="007A6276"/>
    <w:rsid w:val="007A6FA2"/>
    <w:rsid w:val="007B0197"/>
    <w:rsid w:val="007B11DE"/>
    <w:rsid w:val="007B145A"/>
    <w:rsid w:val="007B3CEE"/>
    <w:rsid w:val="007B5336"/>
    <w:rsid w:val="007B5788"/>
    <w:rsid w:val="007B592A"/>
    <w:rsid w:val="007B5F0A"/>
    <w:rsid w:val="007B68C5"/>
    <w:rsid w:val="007B68D7"/>
    <w:rsid w:val="007B7494"/>
    <w:rsid w:val="007C0419"/>
    <w:rsid w:val="007C0AE0"/>
    <w:rsid w:val="007C221F"/>
    <w:rsid w:val="007C2441"/>
    <w:rsid w:val="007C259A"/>
    <w:rsid w:val="007C307B"/>
    <w:rsid w:val="007C437B"/>
    <w:rsid w:val="007C5EAA"/>
    <w:rsid w:val="007C662D"/>
    <w:rsid w:val="007C6B41"/>
    <w:rsid w:val="007C7366"/>
    <w:rsid w:val="007C7519"/>
    <w:rsid w:val="007D1551"/>
    <w:rsid w:val="007D206B"/>
    <w:rsid w:val="007D21DC"/>
    <w:rsid w:val="007D2A02"/>
    <w:rsid w:val="007D3970"/>
    <w:rsid w:val="007D3F74"/>
    <w:rsid w:val="007D4884"/>
    <w:rsid w:val="007D522E"/>
    <w:rsid w:val="007E0C5A"/>
    <w:rsid w:val="007E1A4B"/>
    <w:rsid w:val="007E2A3B"/>
    <w:rsid w:val="007E2A8B"/>
    <w:rsid w:val="007E2CE1"/>
    <w:rsid w:val="007E2D52"/>
    <w:rsid w:val="007E3190"/>
    <w:rsid w:val="007E33AF"/>
    <w:rsid w:val="007E3586"/>
    <w:rsid w:val="007E430B"/>
    <w:rsid w:val="007E481A"/>
    <w:rsid w:val="007E5A39"/>
    <w:rsid w:val="007E5C1C"/>
    <w:rsid w:val="007E7534"/>
    <w:rsid w:val="007E7FCE"/>
    <w:rsid w:val="007F0E92"/>
    <w:rsid w:val="007F106E"/>
    <w:rsid w:val="007F1B53"/>
    <w:rsid w:val="007F3336"/>
    <w:rsid w:val="007F36BA"/>
    <w:rsid w:val="007F398E"/>
    <w:rsid w:val="007F401A"/>
    <w:rsid w:val="007F62B2"/>
    <w:rsid w:val="00800FEB"/>
    <w:rsid w:val="00801E6A"/>
    <w:rsid w:val="008021B8"/>
    <w:rsid w:val="008026E2"/>
    <w:rsid w:val="00802722"/>
    <w:rsid w:val="00802836"/>
    <w:rsid w:val="00802AF3"/>
    <w:rsid w:val="00802DFF"/>
    <w:rsid w:val="008036E7"/>
    <w:rsid w:val="00803C3E"/>
    <w:rsid w:val="00804320"/>
    <w:rsid w:val="00805165"/>
    <w:rsid w:val="008058C5"/>
    <w:rsid w:val="00805F00"/>
    <w:rsid w:val="00807D04"/>
    <w:rsid w:val="00810F10"/>
    <w:rsid w:val="00812870"/>
    <w:rsid w:val="008131D4"/>
    <w:rsid w:val="008132B3"/>
    <w:rsid w:val="008137B1"/>
    <w:rsid w:val="00813C4C"/>
    <w:rsid w:val="00813D18"/>
    <w:rsid w:val="008151B0"/>
    <w:rsid w:val="00815C62"/>
    <w:rsid w:val="00815C67"/>
    <w:rsid w:val="00816289"/>
    <w:rsid w:val="0081668B"/>
    <w:rsid w:val="00816813"/>
    <w:rsid w:val="00816B35"/>
    <w:rsid w:val="00816E6F"/>
    <w:rsid w:val="008179B3"/>
    <w:rsid w:val="00817FA9"/>
    <w:rsid w:val="00820AA8"/>
    <w:rsid w:val="008218C5"/>
    <w:rsid w:val="00821EED"/>
    <w:rsid w:val="00822CA7"/>
    <w:rsid w:val="00823399"/>
    <w:rsid w:val="00824179"/>
    <w:rsid w:val="0082482E"/>
    <w:rsid w:val="008249C2"/>
    <w:rsid w:val="00825251"/>
    <w:rsid w:val="008254F5"/>
    <w:rsid w:val="00825BC8"/>
    <w:rsid w:val="008264CC"/>
    <w:rsid w:val="00827043"/>
    <w:rsid w:val="008275B2"/>
    <w:rsid w:val="00830304"/>
    <w:rsid w:val="00830AC9"/>
    <w:rsid w:val="00830D69"/>
    <w:rsid w:val="008329F5"/>
    <w:rsid w:val="00832B3D"/>
    <w:rsid w:val="00832C65"/>
    <w:rsid w:val="0083376F"/>
    <w:rsid w:val="00833F60"/>
    <w:rsid w:val="0083622F"/>
    <w:rsid w:val="00836469"/>
    <w:rsid w:val="0083671E"/>
    <w:rsid w:val="008375ED"/>
    <w:rsid w:val="00840F22"/>
    <w:rsid w:val="0084356B"/>
    <w:rsid w:val="00843D62"/>
    <w:rsid w:val="00844149"/>
    <w:rsid w:val="0084479A"/>
    <w:rsid w:val="00844E5C"/>
    <w:rsid w:val="00846338"/>
    <w:rsid w:val="00846670"/>
    <w:rsid w:val="00846883"/>
    <w:rsid w:val="00846B86"/>
    <w:rsid w:val="00847F48"/>
    <w:rsid w:val="00847F6B"/>
    <w:rsid w:val="00850015"/>
    <w:rsid w:val="00851085"/>
    <w:rsid w:val="00852B9F"/>
    <w:rsid w:val="00852C81"/>
    <w:rsid w:val="00852DB8"/>
    <w:rsid w:val="00853A76"/>
    <w:rsid w:val="0085418C"/>
    <w:rsid w:val="008548F2"/>
    <w:rsid w:val="00854A59"/>
    <w:rsid w:val="00854CEB"/>
    <w:rsid w:val="00854FAC"/>
    <w:rsid w:val="008556DB"/>
    <w:rsid w:val="008569BB"/>
    <w:rsid w:val="00856C77"/>
    <w:rsid w:val="00857B33"/>
    <w:rsid w:val="0086051F"/>
    <w:rsid w:val="00861045"/>
    <w:rsid w:val="008616F2"/>
    <w:rsid w:val="0086171A"/>
    <w:rsid w:val="00862E09"/>
    <w:rsid w:val="0086338C"/>
    <w:rsid w:val="00866A6D"/>
    <w:rsid w:val="00871637"/>
    <w:rsid w:val="00872464"/>
    <w:rsid w:val="00873888"/>
    <w:rsid w:val="008749CA"/>
    <w:rsid w:val="00874D63"/>
    <w:rsid w:val="008752AD"/>
    <w:rsid w:val="00876895"/>
    <w:rsid w:val="00876AD0"/>
    <w:rsid w:val="0087750D"/>
    <w:rsid w:val="00877856"/>
    <w:rsid w:val="00880470"/>
    <w:rsid w:val="00880A88"/>
    <w:rsid w:val="0088131A"/>
    <w:rsid w:val="00881329"/>
    <w:rsid w:val="0088238F"/>
    <w:rsid w:val="008830A9"/>
    <w:rsid w:val="00883EC9"/>
    <w:rsid w:val="00884EE6"/>
    <w:rsid w:val="008855DC"/>
    <w:rsid w:val="008856E5"/>
    <w:rsid w:val="0088614D"/>
    <w:rsid w:val="00886918"/>
    <w:rsid w:val="00886D88"/>
    <w:rsid w:val="00887E5B"/>
    <w:rsid w:val="008902AA"/>
    <w:rsid w:val="00890649"/>
    <w:rsid w:val="00891FFF"/>
    <w:rsid w:val="00893512"/>
    <w:rsid w:val="00893690"/>
    <w:rsid w:val="00894AA8"/>
    <w:rsid w:val="00896805"/>
    <w:rsid w:val="0089691B"/>
    <w:rsid w:val="008A0D11"/>
    <w:rsid w:val="008A0FC5"/>
    <w:rsid w:val="008A2AA2"/>
    <w:rsid w:val="008A3AE4"/>
    <w:rsid w:val="008A3C1F"/>
    <w:rsid w:val="008A4079"/>
    <w:rsid w:val="008A456F"/>
    <w:rsid w:val="008A59F0"/>
    <w:rsid w:val="008A5B84"/>
    <w:rsid w:val="008A6934"/>
    <w:rsid w:val="008A7825"/>
    <w:rsid w:val="008B081E"/>
    <w:rsid w:val="008B0A5C"/>
    <w:rsid w:val="008B11FE"/>
    <w:rsid w:val="008B1F8D"/>
    <w:rsid w:val="008B21E1"/>
    <w:rsid w:val="008B2578"/>
    <w:rsid w:val="008B40F4"/>
    <w:rsid w:val="008B4C6C"/>
    <w:rsid w:val="008B5D0B"/>
    <w:rsid w:val="008B6CC2"/>
    <w:rsid w:val="008B72D4"/>
    <w:rsid w:val="008B7399"/>
    <w:rsid w:val="008B7D41"/>
    <w:rsid w:val="008C022B"/>
    <w:rsid w:val="008C0395"/>
    <w:rsid w:val="008C0CCF"/>
    <w:rsid w:val="008C2F2B"/>
    <w:rsid w:val="008C30AE"/>
    <w:rsid w:val="008C3862"/>
    <w:rsid w:val="008C428C"/>
    <w:rsid w:val="008C5248"/>
    <w:rsid w:val="008C64D9"/>
    <w:rsid w:val="008C711B"/>
    <w:rsid w:val="008C7610"/>
    <w:rsid w:val="008D1A69"/>
    <w:rsid w:val="008D28D1"/>
    <w:rsid w:val="008D2CE0"/>
    <w:rsid w:val="008D52C4"/>
    <w:rsid w:val="008D5B48"/>
    <w:rsid w:val="008D6395"/>
    <w:rsid w:val="008D7CD8"/>
    <w:rsid w:val="008E0A8D"/>
    <w:rsid w:val="008E0C4F"/>
    <w:rsid w:val="008E0C99"/>
    <w:rsid w:val="008E2C6D"/>
    <w:rsid w:val="008E2DE7"/>
    <w:rsid w:val="008E364D"/>
    <w:rsid w:val="008E37A8"/>
    <w:rsid w:val="008E43DA"/>
    <w:rsid w:val="008E45C7"/>
    <w:rsid w:val="008E4A93"/>
    <w:rsid w:val="008E55C1"/>
    <w:rsid w:val="008F0B5B"/>
    <w:rsid w:val="008F0C75"/>
    <w:rsid w:val="008F1A4A"/>
    <w:rsid w:val="008F32C5"/>
    <w:rsid w:val="008F42A9"/>
    <w:rsid w:val="008F5925"/>
    <w:rsid w:val="008F62B8"/>
    <w:rsid w:val="008F7083"/>
    <w:rsid w:val="008F77CC"/>
    <w:rsid w:val="009000A9"/>
    <w:rsid w:val="009001AB"/>
    <w:rsid w:val="00900AA0"/>
    <w:rsid w:val="00901168"/>
    <w:rsid w:val="009012FA"/>
    <w:rsid w:val="00901F97"/>
    <w:rsid w:val="0090595D"/>
    <w:rsid w:val="00906C1F"/>
    <w:rsid w:val="009071CC"/>
    <w:rsid w:val="00907BEA"/>
    <w:rsid w:val="00907DB0"/>
    <w:rsid w:val="00911E7F"/>
    <w:rsid w:val="0091214F"/>
    <w:rsid w:val="00912C5D"/>
    <w:rsid w:val="0091391E"/>
    <w:rsid w:val="009139C4"/>
    <w:rsid w:val="00913A7A"/>
    <w:rsid w:val="00913E0A"/>
    <w:rsid w:val="00914361"/>
    <w:rsid w:val="00914806"/>
    <w:rsid w:val="0091621E"/>
    <w:rsid w:val="00916635"/>
    <w:rsid w:val="00917100"/>
    <w:rsid w:val="00917FAE"/>
    <w:rsid w:val="00920DB0"/>
    <w:rsid w:val="0092168C"/>
    <w:rsid w:val="00922A22"/>
    <w:rsid w:val="00922CF1"/>
    <w:rsid w:val="00926285"/>
    <w:rsid w:val="009264DE"/>
    <w:rsid w:val="00926735"/>
    <w:rsid w:val="0092712A"/>
    <w:rsid w:val="009278AB"/>
    <w:rsid w:val="00927E28"/>
    <w:rsid w:val="00930345"/>
    <w:rsid w:val="009309B5"/>
    <w:rsid w:val="00932390"/>
    <w:rsid w:val="009333D1"/>
    <w:rsid w:val="00934B92"/>
    <w:rsid w:val="00934BFA"/>
    <w:rsid w:val="009354F2"/>
    <w:rsid w:val="00935830"/>
    <w:rsid w:val="00936B27"/>
    <w:rsid w:val="00936CA3"/>
    <w:rsid w:val="00940896"/>
    <w:rsid w:val="00942169"/>
    <w:rsid w:val="00943146"/>
    <w:rsid w:val="00943A47"/>
    <w:rsid w:val="00945543"/>
    <w:rsid w:val="00945C78"/>
    <w:rsid w:val="00946AC4"/>
    <w:rsid w:val="00946C6F"/>
    <w:rsid w:val="009473E3"/>
    <w:rsid w:val="009479EC"/>
    <w:rsid w:val="00947D95"/>
    <w:rsid w:val="00950EA5"/>
    <w:rsid w:val="0095144D"/>
    <w:rsid w:val="0095156A"/>
    <w:rsid w:val="0095189C"/>
    <w:rsid w:val="00951B37"/>
    <w:rsid w:val="009525C1"/>
    <w:rsid w:val="00953290"/>
    <w:rsid w:val="00954712"/>
    <w:rsid w:val="009552B8"/>
    <w:rsid w:val="009571FC"/>
    <w:rsid w:val="00957FE6"/>
    <w:rsid w:val="00960292"/>
    <w:rsid w:val="009609E2"/>
    <w:rsid w:val="00960D54"/>
    <w:rsid w:val="009612F7"/>
    <w:rsid w:val="00961F46"/>
    <w:rsid w:val="00962E07"/>
    <w:rsid w:val="009636FE"/>
    <w:rsid w:val="009643A0"/>
    <w:rsid w:val="009653C2"/>
    <w:rsid w:val="009730F1"/>
    <w:rsid w:val="009738D9"/>
    <w:rsid w:val="00973BEE"/>
    <w:rsid w:val="00973FB4"/>
    <w:rsid w:val="00974055"/>
    <w:rsid w:val="00975303"/>
    <w:rsid w:val="009803D5"/>
    <w:rsid w:val="00980834"/>
    <w:rsid w:val="009810E1"/>
    <w:rsid w:val="0098170C"/>
    <w:rsid w:val="009826EE"/>
    <w:rsid w:val="00984787"/>
    <w:rsid w:val="00984972"/>
    <w:rsid w:val="00984D0B"/>
    <w:rsid w:val="0098510A"/>
    <w:rsid w:val="00985364"/>
    <w:rsid w:val="00985B4A"/>
    <w:rsid w:val="00986FAB"/>
    <w:rsid w:val="0099035C"/>
    <w:rsid w:val="009905A9"/>
    <w:rsid w:val="00990B00"/>
    <w:rsid w:val="009917D0"/>
    <w:rsid w:val="00991939"/>
    <w:rsid w:val="00992691"/>
    <w:rsid w:val="00993A78"/>
    <w:rsid w:val="0099411C"/>
    <w:rsid w:val="00994D58"/>
    <w:rsid w:val="009957D6"/>
    <w:rsid w:val="009967A4"/>
    <w:rsid w:val="00997A13"/>
    <w:rsid w:val="00997F58"/>
    <w:rsid w:val="009A1231"/>
    <w:rsid w:val="009A225E"/>
    <w:rsid w:val="009A2786"/>
    <w:rsid w:val="009A3EBB"/>
    <w:rsid w:val="009A53F7"/>
    <w:rsid w:val="009A5D7B"/>
    <w:rsid w:val="009A6800"/>
    <w:rsid w:val="009A68CB"/>
    <w:rsid w:val="009B00A6"/>
    <w:rsid w:val="009B072A"/>
    <w:rsid w:val="009B0F03"/>
    <w:rsid w:val="009B11BF"/>
    <w:rsid w:val="009B1D1B"/>
    <w:rsid w:val="009B2093"/>
    <w:rsid w:val="009B27EA"/>
    <w:rsid w:val="009B3364"/>
    <w:rsid w:val="009B3398"/>
    <w:rsid w:val="009B3928"/>
    <w:rsid w:val="009B467A"/>
    <w:rsid w:val="009B5BBD"/>
    <w:rsid w:val="009B5F18"/>
    <w:rsid w:val="009B6F90"/>
    <w:rsid w:val="009C11D7"/>
    <w:rsid w:val="009C17C3"/>
    <w:rsid w:val="009C1C17"/>
    <w:rsid w:val="009C3A1D"/>
    <w:rsid w:val="009C5AD2"/>
    <w:rsid w:val="009C66CF"/>
    <w:rsid w:val="009C711F"/>
    <w:rsid w:val="009D0020"/>
    <w:rsid w:val="009D15D4"/>
    <w:rsid w:val="009D17EA"/>
    <w:rsid w:val="009D1BED"/>
    <w:rsid w:val="009D2FFE"/>
    <w:rsid w:val="009D3B75"/>
    <w:rsid w:val="009D454A"/>
    <w:rsid w:val="009D483D"/>
    <w:rsid w:val="009D5EE1"/>
    <w:rsid w:val="009D5F7D"/>
    <w:rsid w:val="009E1077"/>
    <w:rsid w:val="009E1353"/>
    <w:rsid w:val="009E189E"/>
    <w:rsid w:val="009E2085"/>
    <w:rsid w:val="009E2C3A"/>
    <w:rsid w:val="009E3C0C"/>
    <w:rsid w:val="009E4B0A"/>
    <w:rsid w:val="009E4C56"/>
    <w:rsid w:val="009E4FAD"/>
    <w:rsid w:val="009E67B2"/>
    <w:rsid w:val="009E6F2B"/>
    <w:rsid w:val="009E7E8B"/>
    <w:rsid w:val="009E7EEE"/>
    <w:rsid w:val="009F0923"/>
    <w:rsid w:val="009F0AAC"/>
    <w:rsid w:val="009F1AC5"/>
    <w:rsid w:val="009F1EF0"/>
    <w:rsid w:val="009F2BE2"/>
    <w:rsid w:val="009F3700"/>
    <w:rsid w:val="009F4502"/>
    <w:rsid w:val="009F465C"/>
    <w:rsid w:val="009F498D"/>
    <w:rsid w:val="009F6128"/>
    <w:rsid w:val="009F61A2"/>
    <w:rsid w:val="009F6576"/>
    <w:rsid w:val="009F6E07"/>
    <w:rsid w:val="00A02338"/>
    <w:rsid w:val="00A024B3"/>
    <w:rsid w:val="00A02D04"/>
    <w:rsid w:val="00A02ED8"/>
    <w:rsid w:val="00A03314"/>
    <w:rsid w:val="00A03473"/>
    <w:rsid w:val="00A03631"/>
    <w:rsid w:val="00A042F6"/>
    <w:rsid w:val="00A055A5"/>
    <w:rsid w:val="00A05D35"/>
    <w:rsid w:val="00A06587"/>
    <w:rsid w:val="00A0660D"/>
    <w:rsid w:val="00A06A5B"/>
    <w:rsid w:val="00A06DE7"/>
    <w:rsid w:val="00A077ED"/>
    <w:rsid w:val="00A07E6D"/>
    <w:rsid w:val="00A10538"/>
    <w:rsid w:val="00A108D9"/>
    <w:rsid w:val="00A11099"/>
    <w:rsid w:val="00A124F0"/>
    <w:rsid w:val="00A12748"/>
    <w:rsid w:val="00A12B64"/>
    <w:rsid w:val="00A12D24"/>
    <w:rsid w:val="00A14129"/>
    <w:rsid w:val="00A146E6"/>
    <w:rsid w:val="00A14CAF"/>
    <w:rsid w:val="00A15BC7"/>
    <w:rsid w:val="00A16CB1"/>
    <w:rsid w:val="00A17173"/>
    <w:rsid w:val="00A1778C"/>
    <w:rsid w:val="00A202AD"/>
    <w:rsid w:val="00A2071F"/>
    <w:rsid w:val="00A20A84"/>
    <w:rsid w:val="00A20DA5"/>
    <w:rsid w:val="00A21B18"/>
    <w:rsid w:val="00A21C13"/>
    <w:rsid w:val="00A22F35"/>
    <w:rsid w:val="00A2302E"/>
    <w:rsid w:val="00A26602"/>
    <w:rsid w:val="00A26614"/>
    <w:rsid w:val="00A267EA"/>
    <w:rsid w:val="00A271A1"/>
    <w:rsid w:val="00A27748"/>
    <w:rsid w:val="00A306A7"/>
    <w:rsid w:val="00A30B6C"/>
    <w:rsid w:val="00A3273C"/>
    <w:rsid w:val="00A32DCE"/>
    <w:rsid w:val="00A32EA3"/>
    <w:rsid w:val="00A32ECD"/>
    <w:rsid w:val="00A345E2"/>
    <w:rsid w:val="00A3484B"/>
    <w:rsid w:val="00A34A07"/>
    <w:rsid w:val="00A34ABD"/>
    <w:rsid w:val="00A34FF1"/>
    <w:rsid w:val="00A35865"/>
    <w:rsid w:val="00A41101"/>
    <w:rsid w:val="00A417AB"/>
    <w:rsid w:val="00A41D18"/>
    <w:rsid w:val="00A4249A"/>
    <w:rsid w:val="00A42566"/>
    <w:rsid w:val="00A429A3"/>
    <w:rsid w:val="00A4352E"/>
    <w:rsid w:val="00A43B5A"/>
    <w:rsid w:val="00A44246"/>
    <w:rsid w:val="00A44741"/>
    <w:rsid w:val="00A46436"/>
    <w:rsid w:val="00A50C0C"/>
    <w:rsid w:val="00A51FB9"/>
    <w:rsid w:val="00A52B29"/>
    <w:rsid w:val="00A52D3A"/>
    <w:rsid w:val="00A52FC2"/>
    <w:rsid w:val="00A53700"/>
    <w:rsid w:val="00A539E0"/>
    <w:rsid w:val="00A539F8"/>
    <w:rsid w:val="00A55C94"/>
    <w:rsid w:val="00A55FF5"/>
    <w:rsid w:val="00A56031"/>
    <w:rsid w:val="00A566E6"/>
    <w:rsid w:val="00A56B8D"/>
    <w:rsid w:val="00A5762F"/>
    <w:rsid w:val="00A57B21"/>
    <w:rsid w:val="00A60087"/>
    <w:rsid w:val="00A60600"/>
    <w:rsid w:val="00A6152D"/>
    <w:rsid w:val="00A61A02"/>
    <w:rsid w:val="00A62D53"/>
    <w:rsid w:val="00A63558"/>
    <w:rsid w:val="00A65259"/>
    <w:rsid w:val="00A66764"/>
    <w:rsid w:val="00A66C45"/>
    <w:rsid w:val="00A674A9"/>
    <w:rsid w:val="00A70126"/>
    <w:rsid w:val="00A70501"/>
    <w:rsid w:val="00A70B9E"/>
    <w:rsid w:val="00A71BA6"/>
    <w:rsid w:val="00A720E9"/>
    <w:rsid w:val="00A7214C"/>
    <w:rsid w:val="00A74C67"/>
    <w:rsid w:val="00A74D87"/>
    <w:rsid w:val="00A7525F"/>
    <w:rsid w:val="00A753A0"/>
    <w:rsid w:val="00A75C68"/>
    <w:rsid w:val="00A76B7D"/>
    <w:rsid w:val="00A77CAC"/>
    <w:rsid w:val="00A81148"/>
    <w:rsid w:val="00A8122C"/>
    <w:rsid w:val="00A812F6"/>
    <w:rsid w:val="00A82177"/>
    <w:rsid w:val="00A821B0"/>
    <w:rsid w:val="00A82C3D"/>
    <w:rsid w:val="00A83A66"/>
    <w:rsid w:val="00A8402C"/>
    <w:rsid w:val="00A8552F"/>
    <w:rsid w:val="00A85B85"/>
    <w:rsid w:val="00A8604D"/>
    <w:rsid w:val="00A86D1E"/>
    <w:rsid w:val="00A86E12"/>
    <w:rsid w:val="00A86E20"/>
    <w:rsid w:val="00A8720B"/>
    <w:rsid w:val="00A91A11"/>
    <w:rsid w:val="00A91C0B"/>
    <w:rsid w:val="00A921A0"/>
    <w:rsid w:val="00A925AD"/>
    <w:rsid w:val="00A927B7"/>
    <w:rsid w:val="00A946CB"/>
    <w:rsid w:val="00A948F8"/>
    <w:rsid w:val="00A94B8B"/>
    <w:rsid w:val="00A968ED"/>
    <w:rsid w:val="00A973E9"/>
    <w:rsid w:val="00AA0971"/>
    <w:rsid w:val="00AA0B33"/>
    <w:rsid w:val="00AA0E61"/>
    <w:rsid w:val="00AA1069"/>
    <w:rsid w:val="00AA1D47"/>
    <w:rsid w:val="00AA2E6B"/>
    <w:rsid w:val="00AA36AE"/>
    <w:rsid w:val="00AA45CC"/>
    <w:rsid w:val="00AA4CEA"/>
    <w:rsid w:val="00AA535F"/>
    <w:rsid w:val="00AA55BC"/>
    <w:rsid w:val="00AA564E"/>
    <w:rsid w:val="00AA5A3D"/>
    <w:rsid w:val="00AA6006"/>
    <w:rsid w:val="00AB0E23"/>
    <w:rsid w:val="00AB290D"/>
    <w:rsid w:val="00AB2BD0"/>
    <w:rsid w:val="00AB3743"/>
    <w:rsid w:val="00AB4800"/>
    <w:rsid w:val="00AB4D00"/>
    <w:rsid w:val="00AB5A29"/>
    <w:rsid w:val="00AB6210"/>
    <w:rsid w:val="00AB6264"/>
    <w:rsid w:val="00AB6817"/>
    <w:rsid w:val="00AB6E33"/>
    <w:rsid w:val="00AB6E89"/>
    <w:rsid w:val="00AB7D6E"/>
    <w:rsid w:val="00AB7F00"/>
    <w:rsid w:val="00AB7F87"/>
    <w:rsid w:val="00AC1099"/>
    <w:rsid w:val="00AC1758"/>
    <w:rsid w:val="00AC3A31"/>
    <w:rsid w:val="00AC3A7E"/>
    <w:rsid w:val="00AC3AA8"/>
    <w:rsid w:val="00AC3D58"/>
    <w:rsid w:val="00AC41FC"/>
    <w:rsid w:val="00AC50D1"/>
    <w:rsid w:val="00AC55D4"/>
    <w:rsid w:val="00AC67AB"/>
    <w:rsid w:val="00AC69F1"/>
    <w:rsid w:val="00AC6E50"/>
    <w:rsid w:val="00AD18BB"/>
    <w:rsid w:val="00AD22BD"/>
    <w:rsid w:val="00AD22DD"/>
    <w:rsid w:val="00AD2512"/>
    <w:rsid w:val="00AD57F2"/>
    <w:rsid w:val="00AD781B"/>
    <w:rsid w:val="00AD7C19"/>
    <w:rsid w:val="00AD7C91"/>
    <w:rsid w:val="00AE0D67"/>
    <w:rsid w:val="00AE0FB5"/>
    <w:rsid w:val="00AE1C3B"/>
    <w:rsid w:val="00AE1C60"/>
    <w:rsid w:val="00AE20E6"/>
    <w:rsid w:val="00AE315F"/>
    <w:rsid w:val="00AE3FF4"/>
    <w:rsid w:val="00AE4999"/>
    <w:rsid w:val="00AE527B"/>
    <w:rsid w:val="00AE6411"/>
    <w:rsid w:val="00AE65E1"/>
    <w:rsid w:val="00AE7049"/>
    <w:rsid w:val="00AE7B8E"/>
    <w:rsid w:val="00AF0277"/>
    <w:rsid w:val="00AF17DD"/>
    <w:rsid w:val="00AF1B47"/>
    <w:rsid w:val="00AF1C2F"/>
    <w:rsid w:val="00AF32EB"/>
    <w:rsid w:val="00AF3953"/>
    <w:rsid w:val="00AF5019"/>
    <w:rsid w:val="00AF56BD"/>
    <w:rsid w:val="00AF6166"/>
    <w:rsid w:val="00AF7684"/>
    <w:rsid w:val="00B003B1"/>
    <w:rsid w:val="00B00B63"/>
    <w:rsid w:val="00B00BFA"/>
    <w:rsid w:val="00B02C84"/>
    <w:rsid w:val="00B03E1E"/>
    <w:rsid w:val="00B04304"/>
    <w:rsid w:val="00B04C25"/>
    <w:rsid w:val="00B05932"/>
    <w:rsid w:val="00B05DED"/>
    <w:rsid w:val="00B06F06"/>
    <w:rsid w:val="00B07E39"/>
    <w:rsid w:val="00B07FAF"/>
    <w:rsid w:val="00B10702"/>
    <w:rsid w:val="00B11069"/>
    <w:rsid w:val="00B117AF"/>
    <w:rsid w:val="00B11F4F"/>
    <w:rsid w:val="00B11FE3"/>
    <w:rsid w:val="00B12DDE"/>
    <w:rsid w:val="00B13056"/>
    <w:rsid w:val="00B13E39"/>
    <w:rsid w:val="00B14E34"/>
    <w:rsid w:val="00B1552A"/>
    <w:rsid w:val="00B15E3A"/>
    <w:rsid w:val="00B15F77"/>
    <w:rsid w:val="00B1620C"/>
    <w:rsid w:val="00B164C0"/>
    <w:rsid w:val="00B16791"/>
    <w:rsid w:val="00B2242F"/>
    <w:rsid w:val="00B22769"/>
    <w:rsid w:val="00B22FCC"/>
    <w:rsid w:val="00B23CB5"/>
    <w:rsid w:val="00B24BE9"/>
    <w:rsid w:val="00B25765"/>
    <w:rsid w:val="00B27ADE"/>
    <w:rsid w:val="00B27B95"/>
    <w:rsid w:val="00B30714"/>
    <w:rsid w:val="00B30CA7"/>
    <w:rsid w:val="00B31AE5"/>
    <w:rsid w:val="00B31FCB"/>
    <w:rsid w:val="00B32256"/>
    <w:rsid w:val="00B32CB8"/>
    <w:rsid w:val="00B35A99"/>
    <w:rsid w:val="00B36136"/>
    <w:rsid w:val="00B3659F"/>
    <w:rsid w:val="00B3788B"/>
    <w:rsid w:val="00B37D4E"/>
    <w:rsid w:val="00B4096E"/>
    <w:rsid w:val="00B42603"/>
    <w:rsid w:val="00B43727"/>
    <w:rsid w:val="00B44065"/>
    <w:rsid w:val="00B45E1B"/>
    <w:rsid w:val="00B46610"/>
    <w:rsid w:val="00B46AD7"/>
    <w:rsid w:val="00B474D2"/>
    <w:rsid w:val="00B47BC7"/>
    <w:rsid w:val="00B47C87"/>
    <w:rsid w:val="00B50D69"/>
    <w:rsid w:val="00B521A4"/>
    <w:rsid w:val="00B537D8"/>
    <w:rsid w:val="00B545C2"/>
    <w:rsid w:val="00B547A6"/>
    <w:rsid w:val="00B54B43"/>
    <w:rsid w:val="00B557DC"/>
    <w:rsid w:val="00B56757"/>
    <w:rsid w:val="00B60BF9"/>
    <w:rsid w:val="00B60D71"/>
    <w:rsid w:val="00B61494"/>
    <w:rsid w:val="00B6241D"/>
    <w:rsid w:val="00B62CBA"/>
    <w:rsid w:val="00B637C1"/>
    <w:rsid w:val="00B64404"/>
    <w:rsid w:val="00B650D3"/>
    <w:rsid w:val="00B65596"/>
    <w:rsid w:val="00B65853"/>
    <w:rsid w:val="00B65D6E"/>
    <w:rsid w:val="00B65E69"/>
    <w:rsid w:val="00B66767"/>
    <w:rsid w:val="00B67179"/>
    <w:rsid w:val="00B67884"/>
    <w:rsid w:val="00B70451"/>
    <w:rsid w:val="00B707AC"/>
    <w:rsid w:val="00B7102F"/>
    <w:rsid w:val="00B71545"/>
    <w:rsid w:val="00B72ACE"/>
    <w:rsid w:val="00B73586"/>
    <w:rsid w:val="00B73BE7"/>
    <w:rsid w:val="00B757DD"/>
    <w:rsid w:val="00B75E86"/>
    <w:rsid w:val="00B76170"/>
    <w:rsid w:val="00B77702"/>
    <w:rsid w:val="00B77ED0"/>
    <w:rsid w:val="00B813D7"/>
    <w:rsid w:val="00B81945"/>
    <w:rsid w:val="00B81EBF"/>
    <w:rsid w:val="00B823C1"/>
    <w:rsid w:val="00B823C2"/>
    <w:rsid w:val="00B8253B"/>
    <w:rsid w:val="00B83723"/>
    <w:rsid w:val="00B852CF"/>
    <w:rsid w:val="00B869E6"/>
    <w:rsid w:val="00B87F7D"/>
    <w:rsid w:val="00B907C1"/>
    <w:rsid w:val="00B9095D"/>
    <w:rsid w:val="00B90E13"/>
    <w:rsid w:val="00B90F3E"/>
    <w:rsid w:val="00B921BB"/>
    <w:rsid w:val="00B93A55"/>
    <w:rsid w:val="00B93ABE"/>
    <w:rsid w:val="00B94F5B"/>
    <w:rsid w:val="00B94FBB"/>
    <w:rsid w:val="00B95628"/>
    <w:rsid w:val="00B958DE"/>
    <w:rsid w:val="00B96BAD"/>
    <w:rsid w:val="00B97923"/>
    <w:rsid w:val="00B97FC6"/>
    <w:rsid w:val="00BA1A45"/>
    <w:rsid w:val="00BA1AEC"/>
    <w:rsid w:val="00BA1E46"/>
    <w:rsid w:val="00BA2397"/>
    <w:rsid w:val="00BA2EC9"/>
    <w:rsid w:val="00BA3D82"/>
    <w:rsid w:val="00BA3F92"/>
    <w:rsid w:val="00BA4053"/>
    <w:rsid w:val="00BA49B6"/>
    <w:rsid w:val="00BA4BE1"/>
    <w:rsid w:val="00BA4D31"/>
    <w:rsid w:val="00BA51A4"/>
    <w:rsid w:val="00BA5BBB"/>
    <w:rsid w:val="00BA5E7B"/>
    <w:rsid w:val="00BA5F43"/>
    <w:rsid w:val="00BA7328"/>
    <w:rsid w:val="00BA7F5E"/>
    <w:rsid w:val="00BB12EB"/>
    <w:rsid w:val="00BB1D02"/>
    <w:rsid w:val="00BB2091"/>
    <w:rsid w:val="00BB2398"/>
    <w:rsid w:val="00BB2835"/>
    <w:rsid w:val="00BB3F75"/>
    <w:rsid w:val="00BB4F84"/>
    <w:rsid w:val="00BB503D"/>
    <w:rsid w:val="00BB59E9"/>
    <w:rsid w:val="00BB68C0"/>
    <w:rsid w:val="00BC0288"/>
    <w:rsid w:val="00BC0ECE"/>
    <w:rsid w:val="00BC1590"/>
    <w:rsid w:val="00BC26A8"/>
    <w:rsid w:val="00BC2F0B"/>
    <w:rsid w:val="00BC55F9"/>
    <w:rsid w:val="00BC5829"/>
    <w:rsid w:val="00BC5BFD"/>
    <w:rsid w:val="00BC62E1"/>
    <w:rsid w:val="00BC6866"/>
    <w:rsid w:val="00BC7151"/>
    <w:rsid w:val="00BC7E21"/>
    <w:rsid w:val="00BD08A9"/>
    <w:rsid w:val="00BD1CCB"/>
    <w:rsid w:val="00BD3648"/>
    <w:rsid w:val="00BD4456"/>
    <w:rsid w:val="00BD4BD7"/>
    <w:rsid w:val="00BD544E"/>
    <w:rsid w:val="00BD5A10"/>
    <w:rsid w:val="00BD6B46"/>
    <w:rsid w:val="00BE04F6"/>
    <w:rsid w:val="00BE09BD"/>
    <w:rsid w:val="00BE23CF"/>
    <w:rsid w:val="00BE310D"/>
    <w:rsid w:val="00BE3A84"/>
    <w:rsid w:val="00BE4FF0"/>
    <w:rsid w:val="00BE5337"/>
    <w:rsid w:val="00BE59A9"/>
    <w:rsid w:val="00BE5DF7"/>
    <w:rsid w:val="00BE6B9D"/>
    <w:rsid w:val="00BE6CD9"/>
    <w:rsid w:val="00BE6F62"/>
    <w:rsid w:val="00BE6FA1"/>
    <w:rsid w:val="00BF00F2"/>
    <w:rsid w:val="00BF0D82"/>
    <w:rsid w:val="00BF165B"/>
    <w:rsid w:val="00BF16DF"/>
    <w:rsid w:val="00BF1D58"/>
    <w:rsid w:val="00BF1DE4"/>
    <w:rsid w:val="00BF2643"/>
    <w:rsid w:val="00BF2872"/>
    <w:rsid w:val="00BF5429"/>
    <w:rsid w:val="00BF66D2"/>
    <w:rsid w:val="00BF7C5C"/>
    <w:rsid w:val="00C01E86"/>
    <w:rsid w:val="00C02630"/>
    <w:rsid w:val="00C030E3"/>
    <w:rsid w:val="00C0372A"/>
    <w:rsid w:val="00C03A5B"/>
    <w:rsid w:val="00C04E56"/>
    <w:rsid w:val="00C058EC"/>
    <w:rsid w:val="00C05995"/>
    <w:rsid w:val="00C061FF"/>
    <w:rsid w:val="00C06D1A"/>
    <w:rsid w:val="00C06F9B"/>
    <w:rsid w:val="00C070AE"/>
    <w:rsid w:val="00C07AF2"/>
    <w:rsid w:val="00C07D32"/>
    <w:rsid w:val="00C101F3"/>
    <w:rsid w:val="00C10575"/>
    <w:rsid w:val="00C130DA"/>
    <w:rsid w:val="00C134E2"/>
    <w:rsid w:val="00C138EE"/>
    <w:rsid w:val="00C13CE3"/>
    <w:rsid w:val="00C1530A"/>
    <w:rsid w:val="00C16B22"/>
    <w:rsid w:val="00C16DB0"/>
    <w:rsid w:val="00C215AA"/>
    <w:rsid w:val="00C21894"/>
    <w:rsid w:val="00C236AD"/>
    <w:rsid w:val="00C236B1"/>
    <w:rsid w:val="00C237E2"/>
    <w:rsid w:val="00C2412A"/>
    <w:rsid w:val="00C24B20"/>
    <w:rsid w:val="00C24B21"/>
    <w:rsid w:val="00C253BF"/>
    <w:rsid w:val="00C25927"/>
    <w:rsid w:val="00C26570"/>
    <w:rsid w:val="00C304FE"/>
    <w:rsid w:val="00C31310"/>
    <w:rsid w:val="00C31BAC"/>
    <w:rsid w:val="00C325D7"/>
    <w:rsid w:val="00C32A9E"/>
    <w:rsid w:val="00C3328E"/>
    <w:rsid w:val="00C33676"/>
    <w:rsid w:val="00C337F9"/>
    <w:rsid w:val="00C33AF7"/>
    <w:rsid w:val="00C33C83"/>
    <w:rsid w:val="00C340F0"/>
    <w:rsid w:val="00C34299"/>
    <w:rsid w:val="00C34CDE"/>
    <w:rsid w:val="00C34ED7"/>
    <w:rsid w:val="00C352FC"/>
    <w:rsid w:val="00C35A75"/>
    <w:rsid w:val="00C35DB5"/>
    <w:rsid w:val="00C3613C"/>
    <w:rsid w:val="00C3653A"/>
    <w:rsid w:val="00C36D19"/>
    <w:rsid w:val="00C40D14"/>
    <w:rsid w:val="00C41FA3"/>
    <w:rsid w:val="00C4304F"/>
    <w:rsid w:val="00C448DD"/>
    <w:rsid w:val="00C44936"/>
    <w:rsid w:val="00C449A3"/>
    <w:rsid w:val="00C44D65"/>
    <w:rsid w:val="00C45324"/>
    <w:rsid w:val="00C456DE"/>
    <w:rsid w:val="00C45CB2"/>
    <w:rsid w:val="00C47173"/>
    <w:rsid w:val="00C47308"/>
    <w:rsid w:val="00C47A68"/>
    <w:rsid w:val="00C47D98"/>
    <w:rsid w:val="00C506C5"/>
    <w:rsid w:val="00C5074E"/>
    <w:rsid w:val="00C50C7E"/>
    <w:rsid w:val="00C51894"/>
    <w:rsid w:val="00C52DBC"/>
    <w:rsid w:val="00C533E9"/>
    <w:rsid w:val="00C53DD4"/>
    <w:rsid w:val="00C542BB"/>
    <w:rsid w:val="00C54A32"/>
    <w:rsid w:val="00C54C89"/>
    <w:rsid w:val="00C558E4"/>
    <w:rsid w:val="00C56E64"/>
    <w:rsid w:val="00C57880"/>
    <w:rsid w:val="00C601FC"/>
    <w:rsid w:val="00C6080E"/>
    <w:rsid w:val="00C60DBB"/>
    <w:rsid w:val="00C63099"/>
    <w:rsid w:val="00C63152"/>
    <w:rsid w:val="00C63BFB"/>
    <w:rsid w:val="00C65A83"/>
    <w:rsid w:val="00C6620D"/>
    <w:rsid w:val="00C6639C"/>
    <w:rsid w:val="00C663D1"/>
    <w:rsid w:val="00C674F9"/>
    <w:rsid w:val="00C67C18"/>
    <w:rsid w:val="00C7060A"/>
    <w:rsid w:val="00C70F30"/>
    <w:rsid w:val="00C724FE"/>
    <w:rsid w:val="00C72C3D"/>
    <w:rsid w:val="00C730FA"/>
    <w:rsid w:val="00C73A63"/>
    <w:rsid w:val="00C73B77"/>
    <w:rsid w:val="00C74ACD"/>
    <w:rsid w:val="00C75BA1"/>
    <w:rsid w:val="00C76A5A"/>
    <w:rsid w:val="00C76F5B"/>
    <w:rsid w:val="00C77008"/>
    <w:rsid w:val="00C77EF6"/>
    <w:rsid w:val="00C8107B"/>
    <w:rsid w:val="00C81232"/>
    <w:rsid w:val="00C81671"/>
    <w:rsid w:val="00C819E1"/>
    <w:rsid w:val="00C82079"/>
    <w:rsid w:val="00C82338"/>
    <w:rsid w:val="00C827EF"/>
    <w:rsid w:val="00C835E0"/>
    <w:rsid w:val="00C836A5"/>
    <w:rsid w:val="00C83871"/>
    <w:rsid w:val="00C844E0"/>
    <w:rsid w:val="00C84AC9"/>
    <w:rsid w:val="00C84B22"/>
    <w:rsid w:val="00C84EA5"/>
    <w:rsid w:val="00C8628E"/>
    <w:rsid w:val="00C86A1D"/>
    <w:rsid w:val="00C86F45"/>
    <w:rsid w:val="00C8704A"/>
    <w:rsid w:val="00C87845"/>
    <w:rsid w:val="00C87A48"/>
    <w:rsid w:val="00C87B05"/>
    <w:rsid w:val="00C87D4E"/>
    <w:rsid w:val="00C9038F"/>
    <w:rsid w:val="00C913D8"/>
    <w:rsid w:val="00C92899"/>
    <w:rsid w:val="00C94954"/>
    <w:rsid w:val="00C952E0"/>
    <w:rsid w:val="00C95827"/>
    <w:rsid w:val="00C96470"/>
    <w:rsid w:val="00C9692F"/>
    <w:rsid w:val="00C971F6"/>
    <w:rsid w:val="00C97C58"/>
    <w:rsid w:val="00CA08F9"/>
    <w:rsid w:val="00CA2582"/>
    <w:rsid w:val="00CA331F"/>
    <w:rsid w:val="00CA44DE"/>
    <w:rsid w:val="00CA557C"/>
    <w:rsid w:val="00CA573F"/>
    <w:rsid w:val="00CA5A4B"/>
    <w:rsid w:val="00CA6CC2"/>
    <w:rsid w:val="00CB0FFA"/>
    <w:rsid w:val="00CB32E4"/>
    <w:rsid w:val="00CB38E0"/>
    <w:rsid w:val="00CB39E6"/>
    <w:rsid w:val="00CB50AC"/>
    <w:rsid w:val="00CB69B7"/>
    <w:rsid w:val="00CC0FD2"/>
    <w:rsid w:val="00CC1656"/>
    <w:rsid w:val="00CC2952"/>
    <w:rsid w:val="00CC2F2E"/>
    <w:rsid w:val="00CC5974"/>
    <w:rsid w:val="00CC668F"/>
    <w:rsid w:val="00CC7043"/>
    <w:rsid w:val="00CC735F"/>
    <w:rsid w:val="00CC7950"/>
    <w:rsid w:val="00CC7D6D"/>
    <w:rsid w:val="00CD00A0"/>
    <w:rsid w:val="00CD0F74"/>
    <w:rsid w:val="00CD3E24"/>
    <w:rsid w:val="00CD4FE2"/>
    <w:rsid w:val="00CD50BE"/>
    <w:rsid w:val="00CD556B"/>
    <w:rsid w:val="00CD5B38"/>
    <w:rsid w:val="00CE0001"/>
    <w:rsid w:val="00CE18CF"/>
    <w:rsid w:val="00CE1B3D"/>
    <w:rsid w:val="00CE2744"/>
    <w:rsid w:val="00CE32D1"/>
    <w:rsid w:val="00CE4F54"/>
    <w:rsid w:val="00CE5567"/>
    <w:rsid w:val="00CE6354"/>
    <w:rsid w:val="00CE66DB"/>
    <w:rsid w:val="00CE7839"/>
    <w:rsid w:val="00CE7CBB"/>
    <w:rsid w:val="00CF04E7"/>
    <w:rsid w:val="00CF07E6"/>
    <w:rsid w:val="00CF3171"/>
    <w:rsid w:val="00CF3391"/>
    <w:rsid w:val="00CF34A8"/>
    <w:rsid w:val="00CF37B2"/>
    <w:rsid w:val="00CF394F"/>
    <w:rsid w:val="00CF50E7"/>
    <w:rsid w:val="00CF54AE"/>
    <w:rsid w:val="00CF5E89"/>
    <w:rsid w:val="00CF6E2D"/>
    <w:rsid w:val="00CF7040"/>
    <w:rsid w:val="00CF78CE"/>
    <w:rsid w:val="00CF7991"/>
    <w:rsid w:val="00D00A20"/>
    <w:rsid w:val="00D00F53"/>
    <w:rsid w:val="00D010E9"/>
    <w:rsid w:val="00D01ED6"/>
    <w:rsid w:val="00D02226"/>
    <w:rsid w:val="00D02EE0"/>
    <w:rsid w:val="00D03506"/>
    <w:rsid w:val="00D050A3"/>
    <w:rsid w:val="00D071F9"/>
    <w:rsid w:val="00D07508"/>
    <w:rsid w:val="00D07FCF"/>
    <w:rsid w:val="00D10F0C"/>
    <w:rsid w:val="00D13113"/>
    <w:rsid w:val="00D13183"/>
    <w:rsid w:val="00D1448E"/>
    <w:rsid w:val="00D169D2"/>
    <w:rsid w:val="00D17728"/>
    <w:rsid w:val="00D177F0"/>
    <w:rsid w:val="00D20B67"/>
    <w:rsid w:val="00D2153C"/>
    <w:rsid w:val="00D2208A"/>
    <w:rsid w:val="00D228AB"/>
    <w:rsid w:val="00D22CAC"/>
    <w:rsid w:val="00D23884"/>
    <w:rsid w:val="00D24D76"/>
    <w:rsid w:val="00D3111A"/>
    <w:rsid w:val="00D31572"/>
    <w:rsid w:val="00D31D82"/>
    <w:rsid w:val="00D32D5B"/>
    <w:rsid w:val="00D32EE2"/>
    <w:rsid w:val="00D3370F"/>
    <w:rsid w:val="00D3408B"/>
    <w:rsid w:val="00D3484D"/>
    <w:rsid w:val="00D35B95"/>
    <w:rsid w:val="00D367C4"/>
    <w:rsid w:val="00D36976"/>
    <w:rsid w:val="00D372EE"/>
    <w:rsid w:val="00D37D23"/>
    <w:rsid w:val="00D41716"/>
    <w:rsid w:val="00D43FCA"/>
    <w:rsid w:val="00D43FF5"/>
    <w:rsid w:val="00D4422E"/>
    <w:rsid w:val="00D45545"/>
    <w:rsid w:val="00D45F7C"/>
    <w:rsid w:val="00D46055"/>
    <w:rsid w:val="00D462F9"/>
    <w:rsid w:val="00D466DA"/>
    <w:rsid w:val="00D47070"/>
    <w:rsid w:val="00D5079B"/>
    <w:rsid w:val="00D50AB2"/>
    <w:rsid w:val="00D51B7E"/>
    <w:rsid w:val="00D52039"/>
    <w:rsid w:val="00D52DA0"/>
    <w:rsid w:val="00D53393"/>
    <w:rsid w:val="00D53A16"/>
    <w:rsid w:val="00D549BC"/>
    <w:rsid w:val="00D54FB5"/>
    <w:rsid w:val="00D55624"/>
    <w:rsid w:val="00D5628F"/>
    <w:rsid w:val="00D56645"/>
    <w:rsid w:val="00D575B1"/>
    <w:rsid w:val="00D5776C"/>
    <w:rsid w:val="00D601A5"/>
    <w:rsid w:val="00D60B83"/>
    <w:rsid w:val="00D61066"/>
    <w:rsid w:val="00D61918"/>
    <w:rsid w:val="00D61F33"/>
    <w:rsid w:val="00D6320C"/>
    <w:rsid w:val="00D63A1C"/>
    <w:rsid w:val="00D63DBF"/>
    <w:rsid w:val="00D63EAF"/>
    <w:rsid w:val="00D6484A"/>
    <w:rsid w:val="00D64928"/>
    <w:rsid w:val="00D64EF0"/>
    <w:rsid w:val="00D65560"/>
    <w:rsid w:val="00D664A4"/>
    <w:rsid w:val="00D669F6"/>
    <w:rsid w:val="00D66DB6"/>
    <w:rsid w:val="00D67D51"/>
    <w:rsid w:val="00D70162"/>
    <w:rsid w:val="00D71723"/>
    <w:rsid w:val="00D74B9E"/>
    <w:rsid w:val="00D82419"/>
    <w:rsid w:val="00D82789"/>
    <w:rsid w:val="00D8344B"/>
    <w:rsid w:val="00D83E5F"/>
    <w:rsid w:val="00D83ED2"/>
    <w:rsid w:val="00D84143"/>
    <w:rsid w:val="00D84786"/>
    <w:rsid w:val="00D84A45"/>
    <w:rsid w:val="00D84F21"/>
    <w:rsid w:val="00D85900"/>
    <w:rsid w:val="00D8648A"/>
    <w:rsid w:val="00D872F2"/>
    <w:rsid w:val="00D8770C"/>
    <w:rsid w:val="00D8793E"/>
    <w:rsid w:val="00D9086C"/>
    <w:rsid w:val="00D90C8E"/>
    <w:rsid w:val="00D91042"/>
    <w:rsid w:val="00D9162D"/>
    <w:rsid w:val="00D923EF"/>
    <w:rsid w:val="00D92F39"/>
    <w:rsid w:val="00D94332"/>
    <w:rsid w:val="00D94E22"/>
    <w:rsid w:val="00D953B9"/>
    <w:rsid w:val="00D954A7"/>
    <w:rsid w:val="00D962F0"/>
    <w:rsid w:val="00D967B0"/>
    <w:rsid w:val="00D96AB5"/>
    <w:rsid w:val="00D9714D"/>
    <w:rsid w:val="00D97A39"/>
    <w:rsid w:val="00DA0F08"/>
    <w:rsid w:val="00DA3ACC"/>
    <w:rsid w:val="00DA3CB3"/>
    <w:rsid w:val="00DA4012"/>
    <w:rsid w:val="00DA4141"/>
    <w:rsid w:val="00DA4C86"/>
    <w:rsid w:val="00DA4D8D"/>
    <w:rsid w:val="00DA4E37"/>
    <w:rsid w:val="00DA6141"/>
    <w:rsid w:val="00DA62BE"/>
    <w:rsid w:val="00DA718C"/>
    <w:rsid w:val="00DA7A25"/>
    <w:rsid w:val="00DA7C7F"/>
    <w:rsid w:val="00DA7F77"/>
    <w:rsid w:val="00DB0909"/>
    <w:rsid w:val="00DB0D4F"/>
    <w:rsid w:val="00DB0E04"/>
    <w:rsid w:val="00DB1F13"/>
    <w:rsid w:val="00DB20C5"/>
    <w:rsid w:val="00DB2F34"/>
    <w:rsid w:val="00DB4452"/>
    <w:rsid w:val="00DB52D7"/>
    <w:rsid w:val="00DB6B37"/>
    <w:rsid w:val="00DB6D8C"/>
    <w:rsid w:val="00DC0A6A"/>
    <w:rsid w:val="00DC0F49"/>
    <w:rsid w:val="00DC1C35"/>
    <w:rsid w:val="00DC1F74"/>
    <w:rsid w:val="00DC5A0F"/>
    <w:rsid w:val="00DC5F17"/>
    <w:rsid w:val="00DC5FF7"/>
    <w:rsid w:val="00DC7056"/>
    <w:rsid w:val="00DC7356"/>
    <w:rsid w:val="00DC7489"/>
    <w:rsid w:val="00DC7800"/>
    <w:rsid w:val="00DC7EFD"/>
    <w:rsid w:val="00DD01DF"/>
    <w:rsid w:val="00DD03CF"/>
    <w:rsid w:val="00DD03FD"/>
    <w:rsid w:val="00DD052A"/>
    <w:rsid w:val="00DD0E71"/>
    <w:rsid w:val="00DD0F66"/>
    <w:rsid w:val="00DD1091"/>
    <w:rsid w:val="00DD11CD"/>
    <w:rsid w:val="00DD1951"/>
    <w:rsid w:val="00DD1FBC"/>
    <w:rsid w:val="00DD291F"/>
    <w:rsid w:val="00DD303A"/>
    <w:rsid w:val="00DD304D"/>
    <w:rsid w:val="00DD4246"/>
    <w:rsid w:val="00DD4ADE"/>
    <w:rsid w:val="00DD4DF6"/>
    <w:rsid w:val="00DD5821"/>
    <w:rsid w:val="00DD5BF4"/>
    <w:rsid w:val="00DD6342"/>
    <w:rsid w:val="00DD6665"/>
    <w:rsid w:val="00DD7B77"/>
    <w:rsid w:val="00DD7B84"/>
    <w:rsid w:val="00DD7F8A"/>
    <w:rsid w:val="00DE0EA4"/>
    <w:rsid w:val="00DE10C0"/>
    <w:rsid w:val="00DE120D"/>
    <w:rsid w:val="00DE1F41"/>
    <w:rsid w:val="00DE29C5"/>
    <w:rsid w:val="00DE3150"/>
    <w:rsid w:val="00DE3583"/>
    <w:rsid w:val="00DE3718"/>
    <w:rsid w:val="00DE398D"/>
    <w:rsid w:val="00DE57C6"/>
    <w:rsid w:val="00DE5872"/>
    <w:rsid w:val="00DE58FF"/>
    <w:rsid w:val="00DE64EF"/>
    <w:rsid w:val="00DE68C0"/>
    <w:rsid w:val="00DE6DC9"/>
    <w:rsid w:val="00DE760A"/>
    <w:rsid w:val="00DF05C2"/>
    <w:rsid w:val="00DF08C6"/>
    <w:rsid w:val="00DF1AD1"/>
    <w:rsid w:val="00DF27F6"/>
    <w:rsid w:val="00DF2F6E"/>
    <w:rsid w:val="00DF3260"/>
    <w:rsid w:val="00DF3661"/>
    <w:rsid w:val="00DF393C"/>
    <w:rsid w:val="00DF434A"/>
    <w:rsid w:val="00DF4773"/>
    <w:rsid w:val="00DF5743"/>
    <w:rsid w:val="00DF5A1B"/>
    <w:rsid w:val="00DF75A3"/>
    <w:rsid w:val="00DF79AC"/>
    <w:rsid w:val="00E000C7"/>
    <w:rsid w:val="00E00584"/>
    <w:rsid w:val="00E01EE2"/>
    <w:rsid w:val="00E02CF4"/>
    <w:rsid w:val="00E038A3"/>
    <w:rsid w:val="00E03C30"/>
    <w:rsid w:val="00E03FCF"/>
    <w:rsid w:val="00E043E9"/>
    <w:rsid w:val="00E065C5"/>
    <w:rsid w:val="00E066F6"/>
    <w:rsid w:val="00E07178"/>
    <w:rsid w:val="00E077B0"/>
    <w:rsid w:val="00E077F8"/>
    <w:rsid w:val="00E10204"/>
    <w:rsid w:val="00E10470"/>
    <w:rsid w:val="00E113BC"/>
    <w:rsid w:val="00E12289"/>
    <w:rsid w:val="00E12489"/>
    <w:rsid w:val="00E13943"/>
    <w:rsid w:val="00E13A5C"/>
    <w:rsid w:val="00E14C81"/>
    <w:rsid w:val="00E14E62"/>
    <w:rsid w:val="00E16099"/>
    <w:rsid w:val="00E161B5"/>
    <w:rsid w:val="00E17115"/>
    <w:rsid w:val="00E1774C"/>
    <w:rsid w:val="00E17E99"/>
    <w:rsid w:val="00E207E2"/>
    <w:rsid w:val="00E20B10"/>
    <w:rsid w:val="00E2324F"/>
    <w:rsid w:val="00E2392C"/>
    <w:rsid w:val="00E244D5"/>
    <w:rsid w:val="00E259CA"/>
    <w:rsid w:val="00E25BD6"/>
    <w:rsid w:val="00E26173"/>
    <w:rsid w:val="00E26BC8"/>
    <w:rsid w:val="00E26F61"/>
    <w:rsid w:val="00E27827"/>
    <w:rsid w:val="00E27A71"/>
    <w:rsid w:val="00E27E48"/>
    <w:rsid w:val="00E302FB"/>
    <w:rsid w:val="00E309DF"/>
    <w:rsid w:val="00E31417"/>
    <w:rsid w:val="00E31BF5"/>
    <w:rsid w:val="00E3212A"/>
    <w:rsid w:val="00E3383E"/>
    <w:rsid w:val="00E36B75"/>
    <w:rsid w:val="00E36D59"/>
    <w:rsid w:val="00E36D85"/>
    <w:rsid w:val="00E36E94"/>
    <w:rsid w:val="00E4039A"/>
    <w:rsid w:val="00E407BE"/>
    <w:rsid w:val="00E41F65"/>
    <w:rsid w:val="00E4220D"/>
    <w:rsid w:val="00E42E7A"/>
    <w:rsid w:val="00E430EB"/>
    <w:rsid w:val="00E43930"/>
    <w:rsid w:val="00E43BDB"/>
    <w:rsid w:val="00E44255"/>
    <w:rsid w:val="00E44974"/>
    <w:rsid w:val="00E44A23"/>
    <w:rsid w:val="00E44F4D"/>
    <w:rsid w:val="00E4530A"/>
    <w:rsid w:val="00E45575"/>
    <w:rsid w:val="00E4609E"/>
    <w:rsid w:val="00E46406"/>
    <w:rsid w:val="00E46A87"/>
    <w:rsid w:val="00E46E27"/>
    <w:rsid w:val="00E47EDC"/>
    <w:rsid w:val="00E516E7"/>
    <w:rsid w:val="00E51AD2"/>
    <w:rsid w:val="00E51F1F"/>
    <w:rsid w:val="00E52876"/>
    <w:rsid w:val="00E528E3"/>
    <w:rsid w:val="00E52D9F"/>
    <w:rsid w:val="00E530AA"/>
    <w:rsid w:val="00E53527"/>
    <w:rsid w:val="00E54E6B"/>
    <w:rsid w:val="00E55557"/>
    <w:rsid w:val="00E60B26"/>
    <w:rsid w:val="00E61972"/>
    <w:rsid w:val="00E61B95"/>
    <w:rsid w:val="00E61EF6"/>
    <w:rsid w:val="00E6308F"/>
    <w:rsid w:val="00E6378E"/>
    <w:rsid w:val="00E638D8"/>
    <w:rsid w:val="00E63B1A"/>
    <w:rsid w:val="00E63E33"/>
    <w:rsid w:val="00E647B9"/>
    <w:rsid w:val="00E64F30"/>
    <w:rsid w:val="00E6503A"/>
    <w:rsid w:val="00E663C3"/>
    <w:rsid w:val="00E670A3"/>
    <w:rsid w:val="00E7092D"/>
    <w:rsid w:val="00E71EC3"/>
    <w:rsid w:val="00E7242B"/>
    <w:rsid w:val="00E73CB6"/>
    <w:rsid w:val="00E73CD4"/>
    <w:rsid w:val="00E752BA"/>
    <w:rsid w:val="00E75AC3"/>
    <w:rsid w:val="00E75D44"/>
    <w:rsid w:val="00E76D00"/>
    <w:rsid w:val="00E8061F"/>
    <w:rsid w:val="00E80AB3"/>
    <w:rsid w:val="00E80CC6"/>
    <w:rsid w:val="00E813F2"/>
    <w:rsid w:val="00E818E9"/>
    <w:rsid w:val="00E82130"/>
    <w:rsid w:val="00E82437"/>
    <w:rsid w:val="00E82BED"/>
    <w:rsid w:val="00E82C7E"/>
    <w:rsid w:val="00E842A0"/>
    <w:rsid w:val="00E85149"/>
    <w:rsid w:val="00E854AC"/>
    <w:rsid w:val="00E85D40"/>
    <w:rsid w:val="00E86F01"/>
    <w:rsid w:val="00E874DF"/>
    <w:rsid w:val="00E8783D"/>
    <w:rsid w:val="00E90C06"/>
    <w:rsid w:val="00E90D69"/>
    <w:rsid w:val="00E9111B"/>
    <w:rsid w:val="00E91305"/>
    <w:rsid w:val="00E91461"/>
    <w:rsid w:val="00E93E57"/>
    <w:rsid w:val="00E940B2"/>
    <w:rsid w:val="00E941D7"/>
    <w:rsid w:val="00E94EF2"/>
    <w:rsid w:val="00E94F46"/>
    <w:rsid w:val="00E97672"/>
    <w:rsid w:val="00E97A9D"/>
    <w:rsid w:val="00EA00C4"/>
    <w:rsid w:val="00EA03E2"/>
    <w:rsid w:val="00EA0CAA"/>
    <w:rsid w:val="00EA1A6B"/>
    <w:rsid w:val="00EA1CDA"/>
    <w:rsid w:val="00EA2E4F"/>
    <w:rsid w:val="00EA3378"/>
    <w:rsid w:val="00EA3B5F"/>
    <w:rsid w:val="00EA3CC1"/>
    <w:rsid w:val="00EA5B80"/>
    <w:rsid w:val="00EA67C0"/>
    <w:rsid w:val="00EA70A1"/>
    <w:rsid w:val="00EA75B7"/>
    <w:rsid w:val="00EB149F"/>
    <w:rsid w:val="00EB16D9"/>
    <w:rsid w:val="00EB33BF"/>
    <w:rsid w:val="00EB34DD"/>
    <w:rsid w:val="00EB5E47"/>
    <w:rsid w:val="00EB70DD"/>
    <w:rsid w:val="00EC04E9"/>
    <w:rsid w:val="00EC1019"/>
    <w:rsid w:val="00EC168B"/>
    <w:rsid w:val="00EC1AF6"/>
    <w:rsid w:val="00EC2D25"/>
    <w:rsid w:val="00EC3B62"/>
    <w:rsid w:val="00EC4324"/>
    <w:rsid w:val="00EC6182"/>
    <w:rsid w:val="00EC65FA"/>
    <w:rsid w:val="00ED0F1F"/>
    <w:rsid w:val="00ED11DF"/>
    <w:rsid w:val="00ED1417"/>
    <w:rsid w:val="00ED1D5F"/>
    <w:rsid w:val="00ED305C"/>
    <w:rsid w:val="00ED38E2"/>
    <w:rsid w:val="00ED4C78"/>
    <w:rsid w:val="00ED4E81"/>
    <w:rsid w:val="00ED60E2"/>
    <w:rsid w:val="00ED6960"/>
    <w:rsid w:val="00ED6C08"/>
    <w:rsid w:val="00ED6C9D"/>
    <w:rsid w:val="00ED6F1C"/>
    <w:rsid w:val="00ED747B"/>
    <w:rsid w:val="00ED769B"/>
    <w:rsid w:val="00EE0EB1"/>
    <w:rsid w:val="00EE10C9"/>
    <w:rsid w:val="00EE1C19"/>
    <w:rsid w:val="00EE2BB8"/>
    <w:rsid w:val="00EE2E25"/>
    <w:rsid w:val="00EE2F59"/>
    <w:rsid w:val="00EE3773"/>
    <w:rsid w:val="00EE37DB"/>
    <w:rsid w:val="00EE3D29"/>
    <w:rsid w:val="00EE5DFF"/>
    <w:rsid w:val="00EE6787"/>
    <w:rsid w:val="00EE6BF9"/>
    <w:rsid w:val="00EF1EE4"/>
    <w:rsid w:val="00EF2605"/>
    <w:rsid w:val="00EF35BC"/>
    <w:rsid w:val="00EF43FE"/>
    <w:rsid w:val="00EF4EBB"/>
    <w:rsid w:val="00EF53C5"/>
    <w:rsid w:val="00EF68ED"/>
    <w:rsid w:val="00EF6C96"/>
    <w:rsid w:val="00EF736F"/>
    <w:rsid w:val="00EF745B"/>
    <w:rsid w:val="00EF7AE3"/>
    <w:rsid w:val="00EF7C20"/>
    <w:rsid w:val="00F00107"/>
    <w:rsid w:val="00F01255"/>
    <w:rsid w:val="00F033FC"/>
    <w:rsid w:val="00F04B02"/>
    <w:rsid w:val="00F05024"/>
    <w:rsid w:val="00F07355"/>
    <w:rsid w:val="00F07ED9"/>
    <w:rsid w:val="00F100DA"/>
    <w:rsid w:val="00F11364"/>
    <w:rsid w:val="00F131E0"/>
    <w:rsid w:val="00F131E1"/>
    <w:rsid w:val="00F13914"/>
    <w:rsid w:val="00F14075"/>
    <w:rsid w:val="00F14D94"/>
    <w:rsid w:val="00F15760"/>
    <w:rsid w:val="00F15851"/>
    <w:rsid w:val="00F16851"/>
    <w:rsid w:val="00F16944"/>
    <w:rsid w:val="00F16CF0"/>
    <w:rsid w:val="00F1786C"/>
    <w:rsid w:val="00F17A94"/>
    <w:rsid w:val="00F17ED9"/>
    <w:rsid w:val="00F21A32"/>
    <w:rsid w:val="00F222DF"/>
    <w:rsid w:val="00F22A8B"/>
    <w:rsid w:val="00F22EA5"/>
    <w:rsid w:val="00F23462"/>
    <w:rsid w:val="00F2372B"/>
    <w:rsid w:val="00F25120"/>
    <w:rsid w:val="00F25AA2"/>
    <w:rsid w:val="00F25ED6"/>
    <w:rsid w:val="00F26429"/>
    <w:rsid w:val="00F267A5"/>
    <w:rsid w:val="00F30462"/>
    <w:rsid w:val="00F30C83"/>
    <w:rsid w:val="00F3103C"/>
    <w:rsid w:val="00F31621"/>
    <w:rsid w:val="00F3169A"/>
    <w:rsid w:val="00F33F0A"/>
    <w:rsid w:val="00F33F61"/>
    <w:rsid w:val="00F373AA"/>
    <w:rsid w:val="00F376C1"/>
    <w:rsid w:val="00F40AEA"/>
    <w:rsid w:val="00F40F18"/>
    <w:rsid w:val="00F41837"/>
    <w:rsid w:val="00F41CEC"/>
    <w:rsid w:val="00F443E3"/>
    <w:rsid w:val="00F44EA5"/>
    <w:rsid w:val="00F4599F"/>
    <w:rsid w:val="00F4642E"/>
    <w:rsid w:val="00F46F87"/>
    <w:rsid w:val="00F47886"/>
    <w:rsid w:val="00F47FD1"/>
    <w:rsid w:val="00F50B34"/>
    <w:rsid w:val="00F511F8"/>
    <w:rsid w:val="00F5124B"/>
    <w:rsid w:val="00F52E60"/>
    <w:rsid w:val="00F530F2"/>
    <w:rsid w:val="00F53546"/>
    <w:rsid w:val="00F5399C"/>
    <w:rsid w:val="00F53B3E"/>
    <w:rsid w:val="00F54104"/>
    <w:rsid w:val="00F54E95"/>
    <w:rsid w:val="00F5550F"/>
    <w:rsid w:val="00F555F1"/>
    <w:rsid w:val="00F55982"/>
    <w:rsid w:val="00F56A8D"/>
    <w:rsid w:val="00F575F0"/>
    <w:rsid w:val="00F60275"/>
    <w:rsid w:val="00F606EE"/>
    <w:rsid w:val="00F6075C"/>
    <w:rsid w:val="00F60A9F"/>
    <w:rsid w:val="00F61A00"/>
    <w:rsid w:val="00F63D5C"/>
    <w:rsid w:val="00F64D18"/>
    <w:rsid w:val="00F64FA0"/>
    <w:rsid w:val="00F6720F"/>
    <w:rsid w:val="00F67AE9"/>
    <w:rsid w:val="00F7134C"/>
    <w:rsid w:val="00F7197B"/>
    <w:rsid w:val="00F726FF"/>
    <w:rsid w:val="00F72776"/>
    <w:rsid w:val="00F728D3"/>
    <w:rsid w:val="00F73C8A"/>
    <w:rsid w:val="00F76870"/>
    <w:rsid w:val="00F770FE"/>
    <w:rsid w:val="00F808B7"/>
    <w:rsid w:val="00F808CB"/>
    <w:rsid w:val="00F8193C"/>
    <w:rsid w:val="00F81DA9"/>
    <w:rsid w:val="00F81DAF"/>
    <w:rsid w:val="00F82DDE"/>
    <w:rsid w:val="00F8301B"/>
    <w:rsid w:val="00F83242"/>
    <w:rsid w:val="00F83609"/>
    <w:rsid w:val="00F86270"/>
    <w:rsid w:val="00F869A5"/>
    <w:rsid w:val="00F875CB"/>
    <w:rsid w:val="00F9035F"/>
    <w:rsid w:val="00F9137F"/>
    <w:rsid w:val="00F91AFC"/>
    <w:rsid w:val="00F91E78"/>
    <w:rsid w:val="00F92A2A"/>
    <w:rsid w:val="00F950E1"/>
    <w:rsid w:val="00F95FDB"/>
    <w:rsid w:val="00F97B0C"/>
    <w:rsid w:val="00F97CE3"/>
    <w:rsid w:val="00FA0C8A"/>
    <w:rsid w:val="00FA1344"/>
    <w:rsid w:val="00FA3069"/>
    <w:rsid w:val="00FA3545"/>
    <w:rsid w:val="00FA3BC9"/>
    <w:rsid w:val="00FA40BD"/>
    <w:rsid w:val="00FA5439"/>
    <w:rsid w:val="00FA59B2"/>
    <w:rsid w:val="00FA706B"/>
    <w:rsid w:val="00FB0916"/>
    <w:rsid w:val="00FB2B72"/>
    <w:rsid w:val="00FB3B24"/>
    <w:rsid w:val="00FB4433"/>
    <w:rsid w:val="00FB45EB"/>
    <w:rsid w:val="00FB4AA1"/>
    <w:rsid w:val="00FB4C5C"/>
    <w:rsid w:val="00FB500B"/>
    <w:rsid w:val="00FB7A5B"/>
    <w:rsid w:val="00FB7D98"/>
    <w:rsid w:val="00FC1DB1"/>
    <w:rsid w:val="00FC2403"/>
    <w:rsid w:val="00FC360A"/>
    <w:rsid w:val="00FC6B73"/>
    <w:rsid w:val="00FC6DD2"/>
    <w:rsid w:val="00FC7859"/>
    <w:rsid w:val="00FC7AE9"/>
    <w:rsid w:val="00FD07E4"/>
    <w:rsid w:val="00FD0AE3"/>
    <w:rsid w:val="00FD1C80"/>
    <w:rsid w:val="00FD26EC"/>
    <w:rsid w:val="00FD2CC3"/>
    <w:rsid w:val="00FD4130"/>
    <w:rsid w:val="00FD5876"/>
    <w:rsid w:val="00FD5DDB"/>
    <w:rsid w:val="00FD676D"/>
    <w:rsid w:val="00FD70D6"/>
    <w:rsid w:val="00FD7B40"/>
    <w:rsid w:val="00FE08D8"/>
    <w:rsid w:val="00FE092E"/>
    <w:rsid w:val="00FE279B"/>
    <w:rsid w:val="00FE3D9D"/>
    <w:rsid w:val="00FE432E"/>
    <w:rsid w:val="00FE4B77"/>
    <w:rsid w:val="00FE5477"/>
    <w:rsid w:val="00FE5805"/>
    <w:rsid w:val="00FE5EBC"/>
    <w:rsid w:val="00FE66EF"/>
    <w:rsid w:val="00FF1DE5"/>
    <w:rsid w:val="00FF22E2"/>
    <w:rsid w:val="00FF2310"/>
    <w:rsid w:val="00FF5171"/>
    <w:rsid w:val="00FF521B"/>
    <w:rsid w:val="00FF7183"/>
    <w:rsid w:val="00FF7BED"/>
    <w:rsid w:val="00FF7C0F"/>
    <w:rsid w:val="045363B5"/>
    <w:rsid w:val="122F5C43"/>
    <w:rsid w:val="1C2B7569"/>
    <w:rsid w:val="1F8F75B8"/>
    <w:rsid w:val="24055567"/>
    <w:rsid w:val="243C66C0"/>
    <w:rsid w:val="25616368"/>
    <w:rsid w:val="25A61404"/>
    <w:rsid w:val="3C8508F2"/>
    <w:rsid w:val="3DB8086D"/>
    <w:rsid w:val="3DD03911"/>
    <w:rsid w:val="3F7DE0B2"/>
    <w:rsid w:val="3FBF6FED"/>
    <w:rsid w:val="411757AE"/>
    <w:rsid w:val="41DA712B"/>
    <w:rsid w:val="45F30EE1"/>
    <w:rsid w:val="472C4BFD"/>
    <w:rsid w:val="48B42B5D"/>
    <w:rsid w:val="55323B08"/>
    <w:rsid w:val="56D065F6"/>
    <w:rsid w:val="645F026F"/>
    <w:rsid w:val="6534332D"/>
    <w:rsid w:val="66165DB7"/>
    <w:rsid w:val="663A4E5F"/>
    <w:rsid w:val="66EC2C48"/>
    <w:rsid w:val="6E933831"/>
    <w:rsid w:val="6F13DA34"/>
    <w:rsid w:val="6FF723D4"/>
    <w:rsid w:val="73DBF6E2"/>
    <w:rsid w:val="73FE6783"/>
    <w:rsid w:val="76BF5A15"/>
    <w:rsid w:val="76F54FB4"/>
    <w:rsid w:val="773F9735"/>
    <w:rsid w:val="77EB38C1"/>
    <w:rsid w:val="7A7E87DB"/>
    <w:rsid w:val="7BBEC18F"/>
    <w:rsid w:val="7F9BA8D6"/>
    <w:rsid w:val="BD5FB95E"/>
    <w:rsid w:val="BEFB8F95"/>
    <w:rsid w:val="D67BDE2E"/>
    <w:rsid w:val="D7F79159"/>
    <w:rsid w:val="E4B52E93"/>
    <w:rsid w:val="F2FF61C1"/>
    <w:rsid w:val="FE8630D0"/>
    <w:rsid w:val="FEFAEF11"/>
    <w:rsid w:val="FEFD3881"/>
    <w:rsid w:val="FF75A817"/>
    <w:rsid w:val="FFB7DFFC"/>
    <w:rsid w:val="FFD31076"/>
    <w:rsid w:val="FFFB9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qFormat="1"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heme="minorBidi"/>
      <w:kern w:val="2"/>
      <w:sz w:val="28"/>
      <w:szCs w:val="22"/>
      <w:lang w:val="en-US" w:eastAsia="zh-CN" w:bidi="ar-SA"/>
    </w:rPr>
  </w:style>
  <w:style w:type="paragraph" w:styleId="2">
    <w:name w:val="heading 1"/>
    <w:basedOn w:val="1"/>
    <w:next w:val="1"/>
    <w:link w:val="44"/>
    <w:qFormat/>
    <w:uiPriority w:val="9"/>
    <w:pPr>
      <w:keepNext/>
      <w:keepLines/>
      <w:numPr>
        <w:ilvl w:val="0"/>
        <w:numId w:val="1"/>
      </w:numPr>
      <w:spacing w:before="50" w:beforeLines="50"/>
      <w:outlineLvl w:val="0"/>
    </w:pPr>
    <w:rPr>
      <w:rFonts w:eastAsia="黑体"/>
      <w:b/>
      <w:bCs/>
      <w:kern w:val="44"/>
      <w:sz w:val="36"/>
      <w:szCs w:val="44"/>
    </w:rPr>
  </w:style>
  <w:style w:type="paragraph" w:styleId="3">
    <w:name w:val="heading 2"/>
    <w:basedOn w:val="1"/>
    <w:next w:val="1"/>
    <w:link w:val="46"/>
    <w:unhideWhenUsed/>
    <w:qFormat/>
    <w:uiPriority w:val="9"/>
    <w:pPr>
      <w:keepNext/>
      <w:keepLines/>
      <w:numPr>
        <w:ilvl w:val="0"/>
        <w:numId w:val="2"/>
      </w:numPr>
      <w:spacing w:before="50" w:beforeLines="50" w:after="20" w:afterLines="20" w:line="560" w:lineRule="exact"/>
      <w:outlineLvl w:val="1"/>
    </w:pPr>
    <w:rPr>
      <w:rFonts w:eastAsia="楷体_GB2312" w:cstheme="majorBidi"/>
      <w:bCs/>
      <w:sz w:val="32"/>
      <w:szCs w:val="32"/>
      <w:lang w:val="zh-CN" w:eastAsia="zh-CN"/>
    </w:rPr>
  </w:style>
  <w:style w:type="paragraph" w:styleId="4">
    <w:name w:val="heading 3"/>
    <w:basedOn w:val="1"/>
    <w:next w:val="1"/>
    <w:link w:val="47"/>
    <w:unhideWhenUsed/>
    <w:qFormat/>
    <w:uiPriority w:val="9"/>
    <w:pPr>
      <w:keepNext/>
      <w:keepLines/>
      <w:numPr>
        <w:ilvl w:val="0"/>
        <w:numId w:val="3"/>
      </w:numPr>
      <w:spacing w:before="20" w:beforeLines="20" w:after="20" w:afterLines="20" w:line="360" w:lineRule="auto"/>
      <w:outlineLvl w:val="2"/>
    </w:pPr>
    <w:rPr>
      <w:b/>
      <w:bCs/>
      <w:szCs w:val="32"/>
    </w:rPr>
  </w:style>
  <w:style w:type="paragraph" w:styleId="5">
    <w:name w:val="heading 4"/>
    <w:next w:val="1"/>
    <w:link w:val="62"/>
    <w:unhideWhenUsed/>
    <w:qFormat/>
    <w:uiPriority w:val="9"/>
    <w:pPr>
      <w:keepNext/>
      <w:keepLines/>
      <w:numPr>
        <w:ilvl w:val="0"/>
        <w:numId w:val="4"/>
      </w:numPr>
      <w:spacing w:line="312" w:lineRule="auto"/>
      <w:jc w:val="center"/>
      <w:outlineLvl w:val="3"/>
    </w:pPr>
    <w:rPr>
      <w:rFonts w:ascii="Times New Roman" w:hAnsi="Times New Roman" w:eastAsia="宋体" w:cstheme="majorBidi"/>
      <w:b/>
      <w:bCs/>
      <w:kern w:val="2"/>
      <w:sz w:val="22"/>
      <w:szCs w:val="28"/>
      <w:lang w:val="en-US" w:eastAsia="zh-CN" w:bidi="ar-SA"/>
    </w:rPr>
  </w:style>
  <w:style w:type="paragraph" w:styleId="6">
    <w:name w:val="heading 5"/>
    <w:basedOn w:val="1"/>
    <w:next w:val="1"/>
    <w:link w:val="63"/>
    <w:unhideWhenUsed/>
    <w:qFormat/>
    <w:uiPriority w:val="9"/>
    <w:pPr>
      <w:keepNext/>
      <w:keepLines/>
      <w:jc w:val="center"/>
      <w:outlineLvl w:val="4"/>
    </w:pPr>
    <w:rPr>
      <w:b/>
      <w:bCs/>
      <w:sz w:val="21"/>
      <w:szCs w:val="28"/>
    </w:rPr>
  </w:style>
  <w:style w:type="paragraph" w:styleId="7">
    <w:name w:val="heading 6"/>
    <w:basedOn w:val="1"/>
    <w:next w:val="1"/>
    <w:link w:val="64"/>
    <w:semiHidden/>
    <w:unhideWhenUsed/>
    <w:qFormat/>
    <w:uiPriority w:val="9"/>
    <w:pPr>
      <w:keepNext/>
      <w:keepLines/>
      <w:jc w:val="center"/>
      <w:outlineLvl w:val="5"/>
    </w:pPr>
    <w:rPr>
      <w:rFonts w:cstheme="majorBidi"/>
      <w:b/>
      <w:bCs/>
      <w:sz w:val="21"/>
      <w:szCs w:val="24"/>
    </w:rPr>
  </w:style>
  <w:style w:type="paragraph" w:styleId="8">
    <w:name w:val="heading 7"/>
    <w:basedOn w:val="1"/>
    <w:next w:val="1"/>
    <w:link w:val="77"/>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78"/>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79"/>
    <w:semiHidden/>
    <w:unhideWhenUsed/>
    <w:qFormat/>
    <w:uiPriority w:val="9"/>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unhideWhenUsed/>
    <w:qFormat/>
    <w:uiPriority w:val="39"/>
    <w:pPr>
      <w:ind w:left="1680"/>
      <w:jc w:val="left"/>
    </w:pPr>
    <w:rPr>
      <w:rFonts w:asciiTheme="minorHAnsi" w:eastAsiaTheme="minorHAnsi"/>
      <w:sz w:val="18"/>
      <w:szCs w:val="18"/>
    </w:rPr>
  </w:style>
  <w:style w:type="paragraph" w:styleId="12">
    <w:name w:val="annotation text"/>
    <w:basedOn w:val="1"/>
    <w:link w:val="86"/>
    <w:semiHidden/>
    <w:unhideWhenUsed/>
    <w:qFormat/>
    <w:uiPriority w:val="99"/>
    <w:pPr>
      <w:jc w:val="left"/>
    </w:pPr>
  </w:style>
  <w:style w:type="paragraph" w:styleId="13">
    <w:name w:val="Body Text Indent"/>
    <w:basedOn w:val="1"/>
    <w:link w:val="80"/>
    <w:qFormat/>
    <w:uiPriority w:val="0"/>
    <w:pPr>
      <w:adjustRightInd w:val="0"/>
      <w:ind w:left="420"/>
    </w:pPr>
    <w:rPr>
      <w:rFonts w:asciiTheme="minorHAnsi" w:hAnsiTheme="minorHAnsi" w:eastAsiaTheme="minorEastAsia"/>
      <w:sz w:val="21"/>
      <w:szCs w:val="20"/>
    </w:rPr>
  </w:style>
  <w:style w:type="paragraph" w:styleId="14">
    <w:name w:val="toc 5"/>
    <w:basedOn w:val="1"/>
    <w:next w:val="1"/>
    <w:unhideWhenUsed/>
    <w:qFormat/>
    <w:uiPriority w:val="39"/>
    <w:pPr>
      <w:ind w:left="1120"/>
      <w:jc w:val="left"/>
    </w:pPr>
    <w:rPr>
      <w:rFonts w:asciiTheme="minorHAnsi" w:eastAsiaTheme="minorHAnsi"/>
      <w:sz w:val="18"/>
      <w:szCs w:val="18"/>
    </w:rPr>
  </w:style>
  <w:style w:type="paragraph" w:styleId="15">
    <w:name w:val="toc 3"/>
    <w:basedOn w:val="1"/>
    <w:next w:val="1"/>
    <w:unhideWhenUsed/>
    <w:qFormat/>
    <w:uiPriority w:val="39"/>
    <w:pPr>
      <w:ind w:left="560"/>
      <w:jc w:val="left"/>
    </w:pPr>
    <w:rPr>
      <w:rFonts w:asciiTheme="minorHAnsi" w:eastAsiaTheme="minorHAnsi"/>
      <w:i/>
      <w:iCs/>
      <w:sz w:val="24"/>
      <w:szCs w:val="20"/>
    </w:rPr>
  </w:style>
  <w:style w:type="paragraph" w:styleId="16">
    <w:name w:val="toc 8"/>
    <w:basedOn w:val="1"/>
    <w:next w:val="1"/>
    <w:unhideWhenUsed/>
    <w:qFormat/>
    <w:uiPriority w:val="39"/>
    <w:pPr>
      <w:ind w:left="1960"/>
      <w:jc w:val="left"/>
    </w:pPr>
    <w:rPr>
      <w:rFonts w:asciiTheme="minorHAnsi" w:eastAsiaTheme="minorHAnsi"/>
      <w:sz w:val="18"/>
      <w:szCs w:val="18"/>
    </w:rPr>
  </w:style>
  <w:style w:type="paragraph" w:styleId="17">
    <w:name w:val="endnote text"/>
    <w:basedOn w:val="1"/>
    <w:link w:val="94"/>
    <w:semiHidden/>
    <w:unhideWhenUsed/>
    <w:qFormat/>
    <w:uiPriority w:val="99"/>
    <w:pPr>
      <w:snapToGrid w:val="0"/>
      <w:jc w:val="left"/>
    </w:pPr>
  </w:style>
  <w:style w:type="paragraph" w:styleId="18">
    <w:name w:val="Balloon Text"/>
    <w:basedOn w:val="1"/>
    <w:link w:val="93"/>
    <w:semiHidden/>
    <w:unhideWhenUsed/>
    <w:qFormat/>
    <w:uiPriority w:val="99"/>
    <w:rPr>
      <w:sz w:val="18"/>
      <w:szCs w:val="18"/>
    </w:rPr>
  </w:style>
  <w:style w:type="paragraph" w:styleId="19">
    <w:name w:val="footer"/>
    <w:basedOn w:val="1"/>
    <w:link w:val="43"/>
    <w:unhideWhenUsed/>
    <w:qFormat/>
    <w:uiPriority w:val="99"/>
    <w:pPr>
      <w:tabs>
        <w:tab w:val="center" w:pos="4153"/>
        <w:tab w:val="right" w:pos="8306"/>
      </w:tabs>
      <w:snapToGrid w:val="0"/>
      <w:jc w:val="left"/>
    </w:pPr>
    <w:rPr>
      <w:sz w:val="18"/>
      <w:szCs w:val="18"/>
    </w:rPr>
  </w:style>
  <w:style w:type="paragraph" w:styleId="20">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tabs>
        <w:tab w:val="left" w:pos="840"/>
        <w:tab w:val="right" w:leader="dot" w:pos="8296"/>
      </w:tabs>
      <w:jc w:val="left"/>
    </w:pPr>
    <w:rPr>
      <w:rFonts w:eastAsia="黑体" w:asciiTheme="minorHAnsi"/>
      <w:b/>
      <w:bCs/>
      <w:caps/>
      <w:sz w:val="32"/>
      <w:szCs w:val="20"/>
    </w:rPr>
  </w:style>
  <w:style w:type="paragraph" w:styleId="22">
    <w:name w:val="toc 4"/>
    <w:basedOn w:val="1"/>
    <w:next w:val="1"/>
    <w:unhideWhenUsed/>
    <w:qFormat/>
    <w:uiPriority w:val="39"/>
    <w:pPr>
      <w:ind w:left="840"/>
      <w:jc w:val="left"/>
    </w:pPr>
    <w:rPr>
      <w:rFonts w:asciiTheme="minorHAnsi" w:eastAsiaTheme="minorHAnsi"/>
      <w:sz w:val="18"/>
      <w:szCs w:val="18"/>
    </w:rPr>
  </w:style>
  <w:style w:type="paragraph" w:styleId="23">
    <w:name w:val="Subtitle"/>
    <w:basedOn w:val="1"/>
    <w:next w:val="1"/>
    <w:link w:val="65"/>
    <w:qFormat/>
    <w:uiPriority w:val="11"/>
    <w:pPr>
      <w:spacing w:before="50" w:beforeLines="50" w:after="50" w:afterLines="50" w:line="360" w:lineRule="auto"/>
      <w:jc w:val="center"/>
      <w:outlineLvl w:val="1"/>
    </w:pPr>
    <w:rPr>
      <w:rFonts w:eastAsia="华文中宋"/>
      <w:bCs/>
      <w:kern w:val="28"/>
      <w:sz w:val="30"/>
      <w:szCs w:val="32"/>
    </w:rPr>
  </w:style>
  <w:style w:type="paragraph" w:styleId="24">
    <w:name w:val="footnote text"/>
    <w:basedOn w:val="1"/>
    <w:link w:val="88"/>
    <w:semiHidden/>
    <w:unhideWhenUsed/>
    <w:qFormat/>
    <w:uiPriority w:val="99"/>
    <w:pPr>
      <w:snapToGrid w:val="0"/>
      <w:jc w:val="left"/>
    </w:pPr>
    <w:rPr>
      <w:sz w:val="18"/>
      <w:szCs w:val="18"/>
    </w:rPr>
  </w:style>
  <w:style w:type="paragraph" w:styleId="25">
    <w:name w:val="toc 6"/>
    <w:basedOn w:val="1"/>
    <w:next w:val="1"/>
    <w:unhideWhenUsed/>
    <w:qFormat/>
    <w:uiPriority w:val="39"/>
    <w:pPr>
      <w:ind w:left="1400"/>
      <w:jc w:val="left"/>
    </w:pPr>
    <w:rPr>
      <w:rFonts w:asciiTheme="minorHAnsi" w:eastAsiaTheme="minorHAnsi"/>
      <w:sz w:val="18"/>
      <w:szCs w:val="18"/>
    </w:rPr>
  </w:style>
  <w:style w:type="paragraph" w:styleId="26">
    <w:name w:val="toc 2"/>
    <w:basedOn w:val="1"/>
    <w:next w:val="1"/>
    <w:unhideWhenUsed/>
    <w:qFormat/>
    <w:uiPriority w:val="39"/>
    <w:pPr>
      <w:tabs>
        <w:tab w:val="left" w:pos="1120"/>
        <w:tab w:val="right" w:leader="dot" w:pos="8296"/>
      </w:tabs>
      <w:spacing w:line="440" w:lineRule="exact"/>
      <w:ind w:left="278"/>
      <w:jc w:val="left"/>
    </w:pPr>
    <w:rPr>
      <w:rFonts w:eastAsia="楷体" w:asciiTheme="minorHAnsi"/>
      <w:smallCaps/>
      <w:szCs w:val="20"/>
    </w:rPr>
  </w:style>
  <w:style w:type="paragraph" w:styleId="27">
    <w:name w:val="toc 9"/>
    <w:basedOn w:val="1"/>
    <w:next w:val="1"/>
    <w:unhideWhenUsed/>
    <w:qFormat/>
    <w:uiPriority w:val="39"/>
    <w:pPr>
      <w:ind w:left="2240"/>
      <w:jc w:val="left"/>
    </w:pPr>
    <w:rPr>
      <w:rFonts w:asciiTheme="minorHAnsi" w:eastAsiaTheme="minorHAnsi"/>
      <w:sz w:val="18"/>
      <w:szCs w:val="18"/>
    </w:rPr>
  </w:style>
  <w:style w:type="paragraph" w:styleId="2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9">
    <w:name w:val="Title"/>
    <w:basedOn w:val="1"/>
    <w:next w:val="1"/>
    <w:link w:val="45"/>
    <w:qFormat/>
    <w:uiPriority w:val="10"/>
    <w:pPr>
      <w:spacing w:before="50" w:beforeLines="50" w:after="50" w:afterLines="50" w:line="360" w:lineRule="auto"/>
      <w:jc w:val="center"/>
      <w:outlineLvl w:val="0"/>
    </w:pPr>
    <w:rPr>
      <w:rFonts w:eastAsia="华文中宋" w:asciiTheme="majorHAnsi" w:hAnsiTheme="majorHAnsi" w:cstheme="majorBidi"/>
      <w:b/>
      <w:bCs/>
      <w:sz w:val="36"/>
      <w:szCs w:val="32"/>
    </w:rPr>
  </w:style>
  <w:style w:type="paragraph" w:styleId="30">
    <w:name w:val="annotation subject"/>
    <w:basedOn w:val="12"/>
    <w:next w:val="12"/>
    <w:link w:val="90"/>
    <w:semiHidden/>
    <w:unhideWhenUsed/>
    <w:qFormat/>
    <w:uiPriority w:val="99"/>
    <w:rPr>
      <w:b/>
      <w:bCs/>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22"/>
    <w:rPr>
      <w:b/>
      <w:bCs/>
    </w:rPr>
  </w:style>
  <w:style w:type="character" w:styleId="35">
    <w:name w:val="endnote reference"/>
    <w:basedOn w:val="33"/>
    <w:semiHidden/>
    <w:unhideWhenUsed/>
    <w:qFormat/>
    <w:uiPriority w:val="99"/>
    <w:rPr>
      <w:vertAlign w:val="superscript"/>
    </w:rPr>
  </w:style>
  <w:style w:type="character" w:styleId="36">
    <w:name w:val="FollowedHyperlink"/>
    <w:basedOn w:val="33"/>
    <w:semiHidden/>
    <w:unhideWhenUsed/>
    <w:qFormat/>
    <w:uiPriority w:val="99"/>
    <w:rPr>
      <w:color w:val="954F72" w:themeColor="followedHyperlink"/>
      <w:u w:val="single"/>
      <w14:textFill>
        <w14:solidFill>
          <w14:schemeClr w14:val="folHlink"/>
        </w14:solidFill>
      </w14:textFill>
    </w:rPr>
  </w:style>
  <w:style w:type="character" w:styleId="37">
    <w:name w:val="Emphasis"/>
    <w:qFormat/>
    <w:uiPriority w:val="20"/>
    <w:rPr>
      <w:rFonts w:eastAsia="华文细黑"/>
      <w:b/>
      <w:iCs/>
      <w:sz w:val="21"/>
    </w:rPr>
  </w:style>
  <w:style w:type="character" w:styleId="38">
    <w:name w:val="line number"/>
    <w:basedOn w:val="33"/>
    <w:semiHidden/>
    <w:unhideWhenUsed/>
    <w:qFormat/>
    <w:uiPriority w:val="99"/>
  </w:style>
  <w:style w:type="character" w:styleId="39">
    <w:name w:val="Hyperlink"/>
    <w:basedOn w:val="33"/>
    <w:unhideWhenUsed/>
    <w:qFormat/>
    <w:uiPriority w:val="99"/>
    <w:rPr>
      <w:color w:val="0563C1" w:themeColor="hyperlink"/>
      <w:u w:val="single"/>
      <w14:textFill>
        <w14:solidFill>
          <w14:schemeClr w14:val="hlink"/>
        </w14:solidFill>
      </w14:textFill>
    </w:rPr>
  </w:style>
  <w:style w:type="character" w:styleId="40">
    <w:name w:val="annotation reference"/>
    <w:basedOn w:val="33"/>
    <w:semiHidden/>
    <w:unhideWhenUsed/>
    <w:qFormat/>
    <w:uiPriority w:val="99"/>
    <w:rPr>
      <w:sz w:val="21"/>
      <w:szCs w:val="21"/>
    </w:rPr>
  </w:style>
  <w:style w:type="character" w:styleId="41">
    <w:name w:val="footnote reference"/>
    <w:basedOn w:val="33"/>
    <w:semiHidden/>
    <w:unhideWhenUsed/>
    <w:qFormat/>
    <w:uiPriority w:val="99"/>
    <w:rPr>
      <w:vertAlign w:val="superscript"/>
    </w:rPr>
  </w:style>
  <w:style w:type="character" w:customStyle="1" w:styleId="42">
    <w:name w:val="页眉 字符"/>
    <w:basedOn w:val="33"/>
    <w:link w:val="20"/>
    <w:qFormat/>
    <w:uiPriority w:val="99"/>
    <w:rPr>
      <w:sz w:val="18"/>
      <w:szCs w:val="18"/>
    </w:rPr>
  </w:style>
  <w:style w:type="character" w:customStyle="1" w:styleId="43">
    <w:name w:val="页脚 字符"/>
    <w:basedOn w:val="33"/>
    <w:link w:val="19"/>
    <w:qFormat/>
    <w:uiPriority w:val="99"/>
    <w:rPr>
      <w:sz w:val="18"/>
      <w:szCs w:val="18"/>
    </w:rPr>
  </w:style>
  <w:style w:type="character" w:customStyle="1" w:styleId="44">
    <w:name w:val="标题 1 字符"/>
    <w:basedOn w:val="33"/>
    <w:link w:val="2"/>
    <w:qFormat/>
    <w:uiPriority w:val="9"/>
    <w:rPr>
      <w:rFonts w:ascii="Times New Roman" w:hAnsi="Times New Roman" w:eastAsia="黑体"/>
      <w:b/>
      <w:bCs/>
      <w:kern w:val="44"/>
      <w:sz w:val="36"/>
      <w:szCs w:val="44"/>
    </w:rPr>
  </w:style>
  <w:style w:type="character" w:customStyle="1" w:styleId="45">
    <w:name w:val="标题 字符"/>
    <w:basedOn w:val="33"/>
    <w:link w:val="29"/>
    <w:qFormat/>
    <w:uiPriority w:val="10"/>
    <w:rPr>
      <w:rFonts w:eastAsia="华文中宋" w:asciiTheme="majorHAnsi" w:hAnsiTheme="majorHAnsi" w:cstheme="majorBidi"/>
      <w:b/>
      <w:bCs/>
      <w:sz w:val="36"/>
      <w:szCs w:val="32"/>
    </w:rPr>
  </w:style>
  <w:style w:type="character" w:customStyle="1" w:styleId="46">
    <w:name w:val="标题 2 字符"/>
    <w:link w:val="3"/>
    <w:qFormat/>
    <w:uiPriority w:val="9"/>
    <w:rPr>
      <w:rFonts w:ascii="Times New Roman" w:hAnsi="Times New Roman" w:eastAsia="楷体_GB2312" w:cstheme="majorBidi"/>
      <w:bCs/>
      <w:sz w:val="32"/>
      <w:szCs w:val="32"/>
      <w:lang w:val="zh-CN" w:eastAsia="zh-CN"/>
    </w:rPr>
  </w:style>
  <w:style w:type="character" w:customStyle="1" w:styleId="47">
    <w:name w:val="标题 3 字符"/>
    <w:basedOn w:val="33"/>
    <w:link w:val="4"/>
    <w:qFormat/>
    <w:uiPriority w:val="9"/>
    <w:rPr>
      <w:rFonts w:ascii="Times New Roman" w:hAnsi="Times New Roman" w:eastAsia="仿宋"/>
      <w:b/>
      <w:bCs/>
      <w:sz w:val="28"/>
      <w:szCs w:val="32"/>
    </w:rPr>
  </w:style>
  <w:style w:type="paragraph" w:styleId="48">
    <w:name w:val="List Paragraph"/>
    <w:basedOn w:val="1"/>
    <w:link w:val="66"/>
    <w:qFormat/>
    <w:uiPriority w:val="0"/>
    <w:pPr>
      <w:ind w:firstLine="420" w:firstLineChars="200"/>
    </w:pPr>
  </w:style>
  <w:style w:type="paragraph" w:customStyle="1" w:styleId="49">
    <w:name w:val="TOC Heading"/>
    <w:basedOn w:val="2"/>
    <w:next w:val="1"/>
    <w:unhideWhenUsed/>
    <w:qFormat/>
    <w:uiPriority w:val="39"/>
    <w:pPr>
      <w:widowControl/>
      <w:numPr>
        <w:numId w:val="0"/>
      </w:numPr>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50">
    <w:name w:val="正文-缩进"/>
    <w:basedOn w:val="1"/>
    <w:link w:val="51"/>
    <w:qFormat/>
    <w:uiPriority w:val="0"/>
    <w:pPr>
      <w:spacing w:after="190" w:line="540" w:lineRule="exact"/>
      <w:ind w:firstLine="600"/>
    </w:pPr>
    <w:rPr>
      <w:sz w:val="32"/>
      <w:szCs w:val="30"/>
    </w:rPr>
  </w:style>
  <w:style w:type="character" w:customStyle="1" w:styleId="51">
    <w:name w:val="正文-缩进 字符"/>
    <w:basedOn w:val="33"/>
    <w:link w:val="50"/>
    <w:qFormat/>
    <w:uiPriority w:val="0"/>
    <w:rPr>
      <w:rFonts w:ascii="Times New Roman" w:hAnsi="Times New Roman" w:eastAsia="仿宋"/>
      <w:sz w:val="32"/>
      <w:szCs w:val="30"/>
    </w:rPr>
  </w:style>
  <w:style w:type="paragraph" w:customStyle="1" w:styleId="52">
    <w:name w:val="正文-小斜缩进"/>
    <w:basedOn w:val="53"/>
    <w:next w:val="50"/>
    <w:link w:val="54"/>
    <w:qFormat/>
    <w:uiPriority w:val="0"/>
    <w:pPr>
      <w:ind w:firstLine="200" w:firstLineChars="200"/>
    </w:pPr>
    <w:rPr>
      <w:i/>
    </w:rPr>
  </w:style>
  <w:style w:type="paragraph" w:customStyle="1" w:styleId="53">
    <w:name w:val="正文小"/>
    <w:basedOn w:val="1"/>
    <w:next w:val="50"/>
    <w:link w:val="59"/>
    <w:qFormat/>
    <w:uiPriority w:val="0"/>
    <w:rPr>
      <w:sz w:val="22"/>
    </w:rPr>
  </w:style>
  <w:style w:type="character" w:customStyle="1" w:styleId="54">
    <w:name w:val="正文-小斜缩进 字符"/>
    <w:basedOn w:val="33"/>
    <w:link w:val="52"/>
    <w:qFormat/>
    <w:uiPriority w:val="0"/>
    <w:rPr>
      <w:rFonts w:ascii="Times New Roman" w:hAnsi="Times New Roman" w:eastAsia="宋体"/>
      <w:i/>
      <w:sz w:val="20"/>
    </w:rPr>
  </w:style>
  <w:style w:type="paragraph" w:customStyle="1" w:styleId="55">
    <w:name w:val="条"/>
    <w:basedOn w:val="1"/>
    <w:link w:val="56"/>
    <w:qFormat/>
    <w:uiPriority w:val="0"/>
    <w:pPr>
      <w:numPr>
        <w:ilvl w:val="0"/>
        <w:numId w:val="5"/>
      </w:numPr>
    </w:pPr>
  </w:style>
  <w:style w:type="character" w:customStyle="1" w:styleId="56">
    <w:name w:val="条 字符"/>
    <w:basedOn w:val="54"/>
    <w:link w:val="55"/>
    <w:qFormat/>
    <w:uiPriority w:val="0"/>
    <w:rPr>
      <w:rFonts w:ascii="Times New Roman" w:hAnsi="Times New Roman" w:eastAsia="仿宋"/>
      <w:i w:val="0"/>
      <w:sz w:val="28"/>
    </w:rPr>
  </w:style>
  <w:style w:type="paragraph" w:customStyle="1" w:styleId="57">
    <w:name w:val="条小"/>
    <w:basedOn w:val="55"/>
    <w:link w:val="58"/>
    <w:qFormat/>
    <w:uiPriority w:val="0"/>
    <w:pPr>
      <w:ind w:left="200" w:hanging="200" w:hangingChars="200"/>
    </w:pPr>
    <w:rPr>
      <w:sz w:val="20"/>
    </w:rPr>
  </w:style>
  <w:style w:type="character" w:customStyle="1" w:styleId="58">
    <w:name w:val="条小 字符"/>
    <w:basedOn w:val="56"/>
    <w:link w:val="57"/>
    <w:qFormat/>
    <w:uiPriority w:val="0"/>
    <w:rPr>
      <w:rFonts w:ascii="Times New Roman" w:hAnsi="Times New Roman" w:eastAsia="仿宋"/>
      <w:sz w:val="20"/>
    </w:rPr>
  </w:style>
  <w:style w:type="character" w:customStyle="1" w:styleId="59">
    <w:name w:val="正文小 字符"/>
    <w:basedOn w:val="54"/>
    <w:link w:val="53"/>
    <w:qFormat/>
    <w:uiPriority w:val="0"/>
    <w:rPr>
      <w:rFonts w:ascii="Times New Roman" w:hAnsi="Times New Roman" w:eastAsia="仿宋"/>
      <w:i w:val="0"/>
      <w:sz w:val="22"/>
    </w:rPr>
  </w:style>
  <w:style w:type="paragraph" w:customStyle="1" w:styleId="60">
    <w:name w:val="正文小-缩进"/>
    <w:basedOn w:val="53"/>
    <w:next w:val="50"/>
    <w:link w:val="61"/>
    <w:qFormat/>
    <w:uiPriority w:val="0"/>
    <w:pPr>
      <w:ind w:firstLine="200" w:firstLineChars="200"/>
    </w:pPr>
  </w:style>
  <w:style w:type="character" w:customStyle="1" w:styleId="61">
    <w:name w:val="正文小-缩进 字符"/>
    <w:basedOn w:val="59"/>
    <w:link w:val="60"/>
    <w:qFormat/>
    <w:uiPriority w:val="0"/>
    <w:rPr>
      <w:rFonts w:ascii="Times New Roman" w:hAnsi="Times New Roman" w:eastAsia="宋体"/>
      <w:sz w:val="20"/>
    </w:rPr>
  </w:style>
  <w:style w:type="character" w:customStyle="1" w:styleId="62">
    <w:name w:val="标题 4 字符"/>
    <w:basedOn w:val="33"/>
    <w:link w:val="5"/>
    <w:qFormat/>
    <w:uiPriority w:val="9"/>
    <w:rPr>
      <w:rFonts w:ascii="Times New Roman" w:hAnsi="Times New Roman" w:eastAsia="宋体" w:cstheme="majorBidi"/>
      <w:b/>
      <w:bCs/>
      <w:sz w:val="22"/>
      <w:szCs w:val="28"/>
    </w:rPr>
  </w:style>
  <w:style w:type="character" w:customStyle="1" w:styleId="63">
    <w:name w:val="标题 5 字符"/>
    <w:basedOn w:val="33"/>
    <w:link w:val="6"/>
    <w:qFormat/>
    <w:uiPriority w:val="9"/>
    <w:rPr>
      <w:rFonts w:ascii="Times New Roman" w:hAnsi="Times New Roman" w:eastAsia="宋体"/>
      <w:b/>
      <w:bCs/>
      <w:szCs w:val="28"/>
    </w:rPr>
  </w:style>
  <w:style w:type="character" w:customStyle="1" w:styleId="64">
    <w:name w:val="标题 6 字符"/>
    <w:basedOn w:val="33"/>
    <w:link w:val="7"/>
    <w:semiHidden/>
    <w:qFormat/>
    <w:uiPriority w:val="9"/>
    <w:rPr>
      <w:rFonts w:ascii="Times New Roman" w:hAnsi="Times New Roman" w:eastAsia="宋体" w:cstheme="majorBidi"/>
      <w:b/>
      <w:bCs/>
      <w:szCs w:val="24"/>
    </w:rPr>
  </w:style>
  <w:style w:type="character" w:customStyle="1" w:styleId="65">
    <w:name w:val="副标题 字符"/>
    <w:basedOn w:val="33"/>
    <w:link w:val="23"/>
    <w:qFormat/>
    <w:uiPriority w:val="11"/>
    <w:rPr>
      <w:rFonts w:ascii="Times New Roman" w:hAnsi="Times New Roman" w:eastAsia="华文中宋"/>
      <w:bCs/>
      <w:kern w:val="28"/>
      <w:sz w:val="30"/>
      <w:szCs w:val="32"/>
    </w:rPr>
  </w:style>
  <w:style w:type="character" w:customStyle="1" w:styleId="66">
    <w:name w:val="列表段落 字符"/>
    <w:basedOn w:val="33"/>
    <w:link w:val="48"/>
    <w:qFormat/>
    <w:uiPriority w:val="34"/>
    <w:rPr>
      <w:rFonts w:ascii="Times New Roman" w:hAnsi="Times New Roman" w:eastAsia="宋体"/>
      <w:sz w:val="22"/>
    </w:rPr>
  </w:style>
  <w:style w:type="paragraph" w:customStyle="1" w:styleId="67">
    <w:name w:val="图片名称"/>
    <w:basedOn w:val="1"/>
    <w:link w:val="68"/>
    <w:qFormat/>
    <w:uiPriority w:val="0"/>
    <w:pPr>
      <w:numPr>
        <w:ilvl w:val="0"/>
        <w:numId w:val="6"/>
      </w:numPr>
      <w:jc w:val="center"/>
    </w:pPr>
    <w:rPr>
      <w:b/>
      <w:sz w:val="21"/>
      <w:szCs w:val="20"/>
    </w:rPr>
  </w:style>
  <w:style w:type="character" w:customStyle="1" w:styleId="68">
    <w:name w:val="图片名称 Char"/>
    <w:link w:val="67"/>
    <w:qFormat/>
    <w:uiPriority w:val="0"/>
    <w:rPr>
      <w:rFonts w:ascii="Times New Roman" w:hAnsi="Times New Roman" w:eastAsia="仿宋"/>
      <w:b/>
      <w:szCs w:val="20"/>
    </w:rPr>
  </w:style>
  <w:style w:type="paragraph" w:customStyle="1" w:styleId="69">
    <w:name w:val="图片注释"/>
    <w:basedOn w:val="67"/>
    <w:link w:val="70"/>
    <w:qFormat/>
    <w:uiPriority w:val="0"/>
    <w:pPr>
      <w:numPr>
        <w:numId w:val="0"/>
      </w:numPr>
      <w:ind w:left="420" w:hanging="420"/>
    </w:pPr>
    <w:rPr>
      <w:b w:val="0"/>
      <w:color w:val="FF0000"/>
      <w:sz w:val="18"/>
    </w:rPr>
  </w:style>
  <w:style w:type="character" w:customStyle="1" w:styleId="70">
    <w:name w:val="图片注释 Char"/>
    <w:link w:val="69"/>
    <w:qFormat/>
    <w:uiPriority w:val="0"/>
    <w:rPr>
      <w:rFonts w:eastAsia="华文细黑"/>
      <w:color w:val="FF0000"/>
      <w:kern w:val="2"/>
      <w:sz w:val="18"/>
    </w:rPr>
  </w:style>
  <w:style w:type="paragraph" w:customStyle="1" w:styleId="71">
    <w:name w:val="图片来源"/>
    <w:basedOn w:val="69"/>
    <w:link w:val="72"/>
    <w:qFormat/>
    <w:uiPriority w:val="0"/>
    <w:rPr>
      <w:i/>
      <w:color w:val="595959"/>
      <w:sz w:val="15"/>
    </w:rPr>
  </w:style>
  <w:style w:type="character" w:customStyle="1" w:styleId="72">
    <w:name w:val="图片来源 Char"/>
    <w:link w:val="71"/>
    <w:qFormat/>
    <w:uiPriority w:val="0"/>
    <w:rPr>
      <w:rFonts w:eastAsia="华文细黑"/>
      <w:i/>
      <w:color w:val="595959"/>
      <w:kern w:val="2"/>
      <w:sz w:val="15"/>
    </w:rPr>
  </w:style>
  <w:style w:type="paragraph" w:styleId="7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74">
    <w:name w:val="Quote"/>
    <w:basedOn w:val="1"/>
    <w:next w:val="1"/>
    <w:link w:val="75"/>
    <w:qFormat/>
    <w:uiPriority w:val="29"/>
    <w:pPr>
      <w:spacing w:before="200" w:after="160"/>
      <w:ind w:left="567" w:right="567"/>
      <w:jc w:val="left"/>
    </w:pPr>
    <w:rPr>
      <w:i/>
      <w:iCs/>
      <w:color w:val="404040" w:themeColor="text1" w:themeTint="BF"/>
      <w14:textFill>
        <w14:solidFill>
          <w14:schemeClr w14:val="tx1">
            <w14:lumMod w14:val="75000"/>
            <w14:lumOff w14:val="25000"/>
          </w14:schemeClr>
        </w14:solidFill>
      </w14:textFill>
    </w:rPr>
  </w:style>
  <w:style w:type="character" w:customStyle="1" w:styleId="75">
    <w:name w:val="引用 字符"/>
    <w:basedOn w:val="33"/>
    <w:link w:val="74"/>
    <w:qFormat/>
    <w:uiPriority w:val="29"/>
    <w:rPr>
      <w:rFonts w:eastAsia="华文细黑"/>
      <w:i/>
      <w:iCs/>
      <w:color w:val="404040" w:themeColor="text1" w:themeTint="BF"/>
      <w:kern w:val="2"/>
      <w:sz w:val="22"/>
      <w:szCs w:val="22"/>
      <w14:textFill>
        <w14:solidFill>
          <w14:schemeClr w14:val="tx1">
            <w14:lumMod w14:val="75000"/>
            <w14:lumOff w14:val="25000"/>
          </w14:schemeClr>
        </w14:solidFill>
      </w14:textFill>
    </w:rPr>
  </w:style>
  <w:style w:type="character" w:customStyle="1" w:styleId="76">
    <w:name w:val="Intense Emphasis"/>
    <w:basedOn w:val="33"/>
    <w:qFormat/>
    <w:uiPriority w:val="21"/>
    <w:rPr>
      <w:b/>
      <w:bCs/>
      <w:i/>
      <w:iCs/>
      <w:color w:val="4472C4" w:themeColor="accent1"/>
      <w14:textFill>
        <w14:solidFill>
          <w14:schemeClr w14:val="accent1"/>
        </w14:solidFill>
      </w14:textFill>
    </w:rPr>
  </w:style>
  <w:style w:type="character" w:customStyle="1" w:styleId="77">
    <w:name w:val="标题 7 字符"/>
    <w:basedOn w:val="33"/>
    <w:link w:val="8"/>
    <w:semiHidden/>
    <w:qFormat/>
    <w:uiPriority w:val="9"/>
    <w:rPr>
      <w:rFonts w:ascii="Times New Roman" w:hAnsi="Times New Roman" w:eastAsia="宋体"/>
      <w:b/>
      <w:bCs/>
      <w:sz w:val="24"/>
      <w:szCs w:val="24"/>
    </w:rPr>
  </w:style>
  <w:style w:type="character" w:customStyle="1" w:styleId="78">
    <w:name w:val="标题 8 字符"/>
    <w:basedOn w:val="33"/>
    <w:link w:val="9"/>
    <w:semiHidden/>
    <w:qFormat/>
    <w:uiPriority w:val="9"/>
    <w:rPr>
      <w:rFonts w:asciiTheme="majorHAnsi" w:hAnsiTheme="majorHAnsi" w:eastAsiaTheme="majorEastAsia" w:cstheme="majorBidi"/>
      <w:sz w:val="24"/>
      <w:szCs w:val="24"/>
    </w:rPr>
  </w:style>
  <w:style w:type="character" w:customStyle="1" w:styleId="79">
    <w:name w:val="标题 9 字符"/>
    <w:basedOn w:val="33"/>
    <w:link w:val="10"/>
    <w:semiHidden/>
    <w:qFormat/>
    <w:uiPriority w:val="9"/>
    <w:rPr>
      <w:rFonts w:asciiTheme="majorHAnsi" w:hAnsiTheme="majorHAnsi" w:eastAsiaTheme="majorEastAsia" w:cstheme="majorBidi"/>
      <w:szCs w:val="21"/>
    </w:rPr>
  </w:style>
  <w:style w:type="character" w:customStyle="1" w:styleId="80">
    <w:name w:val="正文文本缩进 字符"/>
    <w:basedOn w:val="33"/>
    <w:link w:val="13"/>
    <w:qFormat/>
    <w:uiPriority w:val="0"/>
    <w:rPr>
      <w:szCs w:val="20"/>
    </w:rPr>
  </w:style>
  <w:style w:type="table" w:customStyle="1" w:styleId="81">
    <w:name w:val="网格型1"/>
    <w:basedOn w:val="31"/>
    <w:qFormat/>
    <w:uiPriority w:val="39"/>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2">
    <w:name w:val="专栏"/>
    <w:basedOn w:val="50"/>
    <w:link w:val="84"/>
    <w:qFormat/>
    <w:uiPriority w:val="0"/>
    <w:pPr>
      <w:numPr>
        <w:ilvl w:val="0"/>
        <w:numId w:val="7"/>
      </w:numPr>
      <w:spacing w:line="240" w:lineRule="auto"/>
      <w:ind w:firstLine="0"/>
    </w:pPr>
    <w:rPr>
      <w:kern w:val="0"/>
      <w:sz w:val="24"/>
      <w:szCs w:val="24"/>
    </w:rPr>
  </w:style>
  <w:style w:type="paragraph" w:customStyle="1" w:styleId="83">
    <w:name w:val="专栏头"/>
    <w:basedOn w:val="1"/>
    <w:link w:val="85"/>
    <w:qFormat/>
    <w:uiPriority w:val="0"/>
    <w:pPr>
      <w:spacing w:before="50" w:beforeLines="50" w:after="50" w:afterLines="50"/>
      <w:jc w:val="center"/>
    </w:pPr>
    <w:rPr>
      <w:b/>
      <w:bCs/>
      <w:kern w:val="0"/>
      <w:szCs w:val="20"/>
    </w:rPr>
  </w:style>
  <w:style w:type="character" w:customStyle="1" w:styleId="84">
    <w:name w:val="专栏 字符"/>
    <w:basedOn w:val="51"/>
    <w:link w:val="82"/>
    <w:qFormat/>
    <w:uiPriority w:val="0"/>
    <w:rPr>
      <w:rFonts w:ascii="Times New Roman" w:hAnsi="Times New Roman" w:eastAsia="仿宋"/>
      <w:kern w:val="0"/>
      <w:sz w:val="24"/>
      <w:szCs w:val="24"/>
    </w:rPr>
  </w:style>
  <w:style w:type="character" w:customStyle="1" w:styleId="85">
    <w:name w:val="专栏头 字符"/>
    <w:basedOn w:val="33"/>
    <w:link w:val="83"/>
    <w:qFormat/>
    <w:uiPriority w:val="0"/>
    <w:rPr>
      <w:rFonts w:ascii="Times New Roman" w:hAnsi="Times New Roman" w:eastAsia="仿宋"/>
      <w:b/>
      <w:bCs/>
      <w:kern w:val="0"/>
      <w:sz w:val="28"/>
      <w:szCs w:val="20"/>
    </w:rPr>
  </w:style>
  <w:style w:type="character" w:customStyle="1" w:styleId="86">
    <w:name w:val="批注文字 字符"/>
    <w:basedOn w:val="33"/>
    <w:link w:val="12"/>
    <w:semiHidden/>
    <w:qFormat/>
    <w:uiPriority w:val="99"/>
    <w:rPr>
      <w:rFonts w:ascii="Times New Roman" w:hAnsi="Times New Roman" w:eastAsia="仿宋"/>
      <w:sz w:val="28"/>
    </w:rPr>
  </w:style>
  <w:style w:type="paragraph" w:customStyle="1" w:styleId="87">
    <w:name w:val="Revision"/>
    <w:hidden/>
    <w:semiHidden/>
    <w:qFormat/>
    <w:uiPriority w:val="99"/>
    <w:rPr>
      <w:rFonts w:ascii="Times New Roman" w:hAnsi="Times New Roman" w:eastAsia="仿宋" w:cstheme="minorBidi"/>
      <w:kern w:val="2"/>
      <w:sz w:val="28"/>
      <w:szCs w:val="22"/>
      <w:lang w:val="en-US" w:eastAsia="zh-CN" w:bidi="ar-SA"/>
    </w:rPr>
  </w:style>
  <w:style w:type="character" w:customStyle="1" w:styleId="88">
    <w:name w:val="脚注文本 字符"/>
    <w:basedOn w:val="33"/>
    <w:link w:val="24"/>
    <w:semiHidden/>
    <w:qFormat/>
    <w:uiPriority w:val="99"/>
    <w:rPr>
      <w:rFonts w:ascii="Times New Roman" w:hAnsi="Times New Roman" w:eastAsia="仿宋"/>
      <w:sz w:val="18"/>
      <w:szCs w:val="18"/>
    </w:rPr>
  </w:style>
  <w:style w:type="paragraph" w:customStyle="1" w:styleId="89">
    <w:name w:val="正文文字"/>
    <w:qFormat/>
    <w:uiPriority w:val="0"/>
    <w:pPr>
      <w:spacing w:after="48" w:afterLines="20" w:line="480" w:lineRule="exact"/>
      <w:ind w:firstLine="560" w:firstLineChars="200"/>
      <w:jc w:val="both"/>
    </w:pPr>
    <w:rPr>
      <w:rFonts w:ascii="Calibri" w:hAnsi="Calibri" w:eastAsia="仿宋_GB2312" w:cs="Times New Roman"/>
      <w:bCs/>
      <w:kern w:val="2"/>
      <w:sz w:val="28"/>
      <w:szCs w:val="28"/>
      <w:lang w:val="en-US" w:eastAsia="zh-CN" w:bidi="ar-SA"/>
    </w:rPr>
  </w:style>
  <w:style w:type="character" w:customStyle="1" w:styleId="90">
    <w:name w:val="批注主题 字符"/>
    <w:basedOn w:val="86"/>
    <w:link w:val="30"/>
    <w:semiHidden/>
    <w:qFormat/>
    <w:uiPriority w:val="99"/>
    <w:rPr>
      <w:rFonts w:ascii="Times New Roman" w:hAnsi="Times New Roman" w:eastAsia="仿宋"/>
      <w:b/>
      <w:bCs/>
      <w:sz w:val="28"/>
    </w:rPr>
  </w:style>
  <w:style w:type="paragraph" w:customStyle="1" w:styleId="91">
    <w:name w:val="附表"/>
    <w:basedOn w:val="82"/>
    <w:link w:val="92"/>
    <w:qFormat/>
    <w:uiPriority w:val="0"/>
    <w:pPr>
      <w:numPr>
        <w:numId w:val="0"/>
      </w:numPr>
    </w:pPr>
  </w:style>
  <w:style w:type="character" w:customStyle="1" w:styleId="92">
    <w:name w:val="附表 字符"/>
    <w:basedOn w:val="84"/>
    <w:link w:val="91"/>
    <w:qFormat/>
    <w:uiPriority w:val="0"/>
    <w:rPr>
      <w:rFonts w:ascii="Times New Roman" w:hAnsi="Times New Roman" w:eastAsia="仿宋"/>
      <w:kern w:val="0"/>
      <w:sz w:val="24"/>
      <w:szCs w:val="24"/>
    </w:rPr>
  </w:style>
  <w:style w:type="character" w:customStyle="1" w:styleId="93">
    <w:name w:val="批注框文本 字符"/>
    <w:basedOn w:val="33"/>
    <w:link w:val="18"/>
    <w:semiHidden/>
    <w:qFormat/>
    <w:uiPriority w:val="99"/>
    <w:rPr>
      <w:rFonts w:ascii="Times New Roman" w:hAnsi="Times New Roman" w:eastAsia="仿宋"/>
      <w:sz w:val="18"/>
      <w:szCs w:val="18"/>
    </w:rPr>
  </w:style>
  <w:style w:type="character" w:customStyle="1" w:styleId="94">
    <w:name w:val="尾注文本 字符"/>
    <w:basedOn w:val="33"/>
    <w:link w:val="17"/>
    <w:semiHidden/>
    <w:qFormat/>
    <w:uiPriority w:val="99"/>
    <w:rPr>
      <w:rFonts w:ascii="Times New Roman" w:hAnsi="Times New Roman" w:eastAsia="仿宋"/>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4105</Words>
  <Characters>23404</Characters>
  <Lines>195</Lines>
  <Paragraphs>54</Paragraphs>
  <TotalTime>12</TotalTime>
  <ScaleCrop>false</ScaleCrop>
  <LinksUpToDate>false</LinksUpToDate>
  <CharactersWithSpaces>27455</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2022-01-27T18:25:00Z</dcterms:created>
  <dc:creator>Administrator</dc:creator>
  <cp:lastModifiedBy>xpz</cp:lastModifiedBy>
  <cp:lastPrinted>2022-05-26T03:14:00Z</cp:lastPrinted>
  <dcterms:modified xsi:type="dcterms:W3CDTF">2022-06-10T09:25:47Z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