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24"/>
          <w:lang w:val="en-US" w:eastAsia="zh-CN"/>
        </w:rPr>
      </w:pPr>
      <w:r>
        <w:rPr>
          <w:rFonts w:hint="eastAsia" w:ascii="仿宋_GB2312" w:eastAsia="仿宋_GB2312"/>
          <w:sz w:val="24"/>
        </w:rPr>
        <w:t>附件</w:t>
      </w:r>
      <w:r>
        <w:rPr>
          <w:rFonts w:hint="eastAsia" w:ascii="仿宋_GB2312" w:eastAsia="仿宋_GB2312"/>
          <w:sz w:val="24"/>
          <w:lang w:val="en-US" w:eastAsia="zh-CN"/>
        </w:rPr>
        <w:t>2</w:t>
      </w: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ascii="宋体" w:hAnsi="宋体"/>
          <w:sz w:val="44"/>
          <w:szCs w:val="44"/>
        </w:rPr>
      </w:pPr>
      <w:r>
        <w:rPr>
          <w:rFonts w:ascii="宋体" w:hAnsi="宋体"/>
          <w:sz w:val="44"/>
          <w:szCs w:val="44"/>
        </w:rPr>
        <w:t>20</w:t>
      </w:r>
      <w:r>
        <w:rPr>
          <w:rFonts w:hint="eastAsia" w:ascii="宋体" w:hAnsi="宋体"/>
          <w:sz w:val="44"/>
          <w:szCs w:val="44"/>
          <w:lang w:val="en-US" w:eastAsia="zh-CN"/>
        </w:rPr>
        <w:t>20</w:t>
      </w:r>
      <w:r>
        <w:rPr>
          <w:rFonts w:ascii="宋体" w:hAnsi="宋体"/>
          <w:sz w:val="44"/>
          <w:szCs w:val="44"/>
        </w:rPr>
        <w:t>年</w:t>
      </w:r>
      <w:r>
        <w:rPr>
          <w:rFonts w:hint="eastAsia" w:ascii="宋体" w:hAnsi="宋体"/>
          <w:sz w:val="44"/>
          <w:szCs w:val="44"/>
        </w:rPr>
        <w:t>度部门</w:t>
      </w:r>
      <w:r>
        <w:rPr>
          <w:rFonts w:ascii="宋体" w:hAnsi="宋体"/>
          <w:sz w:val="44"/>
          <w:szCs w:val="44"/>
        </w:rPr>
        <w:t>整体绩效自评报告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r>
        <w:rPr>
          <w:rFonts w:hint="eastAsia" w:ascii="仿宋_GB2312" w:eastAsia="仿宋_GB2312"/>
          <w:sz w:val="32"/>
          <w:szCs w:val="32"/>
        </w:rPr>
        <w:t>部门名称（公章）：</w:t>
      </w:r>
      <w:r>
        <w:rPr>
          <w:rFonts w:hint="eastAsia" w:ascii="仿宋_GB2312" w:eastAsia="仿宋_GB2312"/>
          <w:sz w:val="32"/>
          <w:szCs w:val="32"/>
          <w:lang w:val="en-US" w:eastAsia="zh-CN"/>
        </w:rPr>
        <w:t>深圳</w:t>
      </w:r>
      <w:r>
        <w:rPr>
          <w:rFonts w:hint="eastAsia" w:ascii="仿宋_GB2312" w:eastAsia="仿宋_GB2312"/>
          <w:sz w:val="32"/>
          <w:szCs w:val="32"/>
        </w:rPr>
        <w:t>市规划和自然资源局盐田管理局</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bookmarkStart w:id="0" w:name="_GoBack"/>
      <w:bookmarkEnd w:id="0"/>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一、部门（单位）基本情况</w:t>
      </w:r>
    </w:p>
    <w:p>
      <w:pPr>
        <w:snapToGrid w:val="0"/>
        <w:spacing w:line="580" w:lineRule="exact"/>
        <w:ind w:firstLine="964" w:firstLineChars="300"/>
        <w:rPr>
          <w:rFonts w:hint="eastAsia" w:ascii="楷体_GB2312" w:hAnsi="楷体" w:eastAsia="楷体_GB2312"/>
          <w:b/>
          <w:sz w:val="32"/>
          <w:szCs w:val="32"/>
        </w:rPr>
      </w:pPr>
      <w:r>
        <w:rPr>
          <w:rFonts w:hint="eastAsia" w:ascii="楷体_GB2312" w:hAnsi="楷体" w:eastAsia="楷体_GB2312"/>
          <w:b/>
          <w:sz w:val="32"/>
          <w:szCs w:val="32"/>
        </w:rPr>
        <w:t>（一）部门主要职能</w:t>
      </w:r>
    </w:p>
    <w:p>
      <w:pPr>
        <w:snapToGrid w:val="0"/>
        <w:spacing w:line="580" w:lineRule="exact"/>
        <w:ind w:firstLine="640" w:firstLineChars="200"/>
        <w:rPr>
          <w:rFonts w:ascii="黑体" w:hAnsi="黑体" w:eastAsia="黑体" w:cs="黑体"/>
          <w:bCs/>
          <w:sz w:val="32"/>
          <w:szCs w:val="32"/>
        </w:rPr>
      </w:pPr>
      <w:r>
        <w:rPr>
          <w:rFonts w:hint="eastAsia" w:ascii="仿宋_GB2312" w:hAnsi="仿宋_GB2312" w:eastAsia="仿宋_GB2312" w:cs="仿宋_GB2312"/>
          <w:sz w:val="32"/>
          <w:szCs w:val="32"/>
        </w:rPr>
        <w:t>贯彻落实国家、省、市关于规划和自然资源管理的方针、政策、法律、法规，履行辖区全民所有土地、矿产、森林、湿地、水、海洋等自然资源资产所有者职责和所有国土空间用途管制职能，机构改革后新增林业发展规划、林地保护利用规划，林业管理，辖区渔业行业管理、渔港建设管理等职能</w:t>
      </w:r>
      <w:r>
        <w:rPr>
          <w:rFonts w:hint="eastAsia" w:ascii="仿宋_GB2312" w:hAnsi="Adobe 楷体 Std R" w:eastAsia="仿宋_GB2312"/>
          <w:color w:val="000000"/>
          <w:sz w:val="32"/>
          <w:szCs w:val="32"/>
        </w:rPr>
        <w:t>。</w:t>
      </w:r>
    </w:p>
    <w:p>
      <w:pPr>
        <w:spacing w:line="58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（二）年度总体工作和重点工作任务</w:t>
      </w:r>
    </w:p>
    <w:p>
      <w:pPr>
        <w:spacing w:line="58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 xml:space="preserve"> 2020年是决胜全面建成小康社会和“十三五”规划收官之年，是建设粤港澳大湾区和深圳建设中国特色社会主义先行示范区全面铺开关键之年，是深圳经济特区建立40周年。这一年，在市局和区委区政府的坚强领导下，管理局坚持以习近平新时代中国特色社会主义思想为指导，全面贯彻党的十九大和十九届二中、三中、四中、五中全会精神，深入学习贯彻习近平总书记出席深圳经济特区建立40周年庆祝大会和视察广东、深圳重要讲话、重要指示精神，认真落实上级决策部署，牢牢抓住建设粤港澳大湾区和先行示范区“双区驱动”、实施综合改革试点等重大战略机遇，坚持“产业兴盐、创新驱动”发展战略，统筹推进疫情防控和规划自然资源管理工作，全力推动盐田山海港城高质量融合发展，出色完成各项目标任务。</w:t>
      </w:r>
    </w:p>
    <w:p>
      <w:pPr>
        <w:spacing w:line="580" w:lineRule="exact"/>
        <w:ind w:firstLine="321" w:firstLineChars="100"/>
        <w:rPr>
          <w:rFonts w:ascii="楷体_GB2312" w:hAnsi="楷体" w:eastAsia="楷体_GB2312"/>
          <w:b/>
          <w:sz w:val="32"/>
          <w:szCs w:val="32"/>
        </w:rPr>
      </w:pPr>
      <w:r>
        <w:rPr>
          <w:rFonts w:hint="eastAsia" w:ascii="楷体_GB2312" w:hAnsi="楷体" w:eastAsia="楷体_GB2312"/>
          <w:b/>
          <w:sz w:val="32"/>
          <w:szCs w:val="32"/>
        </w:rPr>
        <w:t>（三）20</w:t>
      </w:r>
      <w:r>
        <w:rPr>
          <w:rFonts w:hint="eastAsia" w:ascii="楷体_GB2312" w:hAnsi="楷体" w:eastAsia="楷体_GB2312"/>
          <w:b/>
          <w:sz w:val="32"/>
          <w:szCs w:val="32"/>
          <w:lang w:val="en-US" w:eastAsia="zh-CN"/>
        </w:rPr>
        <w:t>20</w:t>
      </w:r>
      <w:r>
        <w:rPr>
          <w:rFonts w:hint="eastAsia" w:ascii="楷体_GB2312" w:hAnsi="楷体" w:eastAsia="楷体_GB2312"/>
          <w:b/>
          <w:sz w:val="32"/>
          <w:szCs w:val="32"/>
        </w:rPr>
        <w:t>年部门预算编制情况</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年度我局严格按照财政部门要求进行全口径预算编制，年初财政拨款预算总金额为</w:t>
      </w:r>
      <w:r>
        <w:rPr>
          <w:rFonts w:hint="eastAsia" w:ascii="仿宋_GB2312" w:hAnsi="仿宋_GB2312" w:eastAsia="仿宋_GB2312" w:cs="仿宋_GB2312"/>
          <w:sz w:val="32"/>
          <w:szCs w:val="32"/>
          <w:lang w:val="en-US" w:eastAsia="zh-CN"/>
        </w:rPr>
        <w:t>6231.20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一般公共预算拨款</w:t>
      </w:r>
      <w:r>
        <w:rPr>
          <w:rFonts w:hint="eastAsia" w:ascii="仿宋_GB2312" w:hAnsi="仿宋_GB2312" w:eastAsia="仿宋_GB2312" w:cs="仿宋_GB2312"/>
          <w:sz w:val="32"/>
          <w:szCs w:val="32"/>
          <w:lang w:val="en-US" w:eastAsia="zh-CN"/>
        </w:rPr>
        <w:t>5923.70万元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政府性基金为307.50万元，</w:t>
      </w:r>
      <w:r>
        <w:rPr>
          <w:rFonts w:hint="eastAsia" w:ascii="仿宋_GB2312" w:hAnsi="仿宋_GB2312" w:eastAsia="仿宋_GB2312" w:cs="仿宋_GB2312"/>
          <w:sz w:val="32"/>
          <w:szCs w:val="32"/>
        </w:rPr>
        <w:t>调整预算数</w:t>
      </w:r>
      <w:r>
        <w:rPr>
          <w:rFonts w:hint="eastAsia" w:ascii="仿宋_GB2312" w:hAnsi="仿宋_GB2312" w:eastAsia="仿宋_GB2312" w:cs="仿宋_GB2312"/>
          <w:sz w:val="32"/>
          <w:szCs w:val="32"/>
          <w:lang w:val="en-US" w:eastAsia="zh-CN"/>
        </w:rPr>
        <w:t>一共为1268.24</w:t>
      </w:r>
      <w:r>
        <w:rPr>
          <w:rFonts w:hint="eastAsia" w:ascii="仿宋_GB2312" w:hAnsi="仿宋_GB2312" w:eastAsia="仿宋_GB2312" w:cs="仿宋_GB2312"/>
          <w:sz w:val="32"/>
          <w:szCs w:val="32"/>
        </w:rPr>
        <w:t>万元。一般公共预算中</w:t>
      </w:r>
      <w:r>
        <w:rPr>
          <w:rFonts w:hint="eastAsia" w:ascii="仿宋_GB2312" w:hAnsi="仿宋_GB2312" w:eastAsia="仿宋_GB2312" w:cs="仿宋_GB2312"/>
          <w:sz w:val="32"/>
          <w:szCs w:val="32"/>
          <w:lang w:val="en-US" w:eastAsia="zh-CN"/>
        </w:rPr>
        <w:t>2349</w:t>
      </w:r>
      <w:r>
        <w:rPr>
          <w:rFonts w:hint="eastAsia" w:ascii="仿宋_GB2312" w:hAnsi="仿宋_GB2312" w:eastAsia="仿宋_GB2312" w:cs="仿宋_GB2312"/>
          <w:sz w:val="32"/>
          <w:szCs w:val="32"/>
        </w:rPr>
        <w:t>万元主要为在编人员工资福利支出以及我局水电、物业、办公费等日常公用经费；根据绩效管理办法中绩效目标设定要求，将“综合管理”项目设定为绩效考核项目，并对产出指标、效益指标等予以细化管理。我局严格落实中央、省、市关于厉行节约要求，严控“三公”经费、会议、差旅和培训等一般性经费支出。严格落实财政部门关于预算编制的要求和规范、绩效目标设置完整、明确、覆盖面较为全面，切实提高年初预算编制的科学性和准确性。</w:t>
      </w:r>
    </w:p>
    <w:p>
      <w:pPr>
        <w:spacing w:line="58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（四）</w:t>
      </w:r>
      <w:r>
        <w:rPr>
          <w:rFonts w:hint="eastAsia" w:ascii="楷体_GB2312" w:hAnsi="楷体" w:eastAsia="楷体_GB2312"/>
          <w:b/>
          <w:sz w:val="32"/>
          <w:szCs w:val="32"/>
          <w:lang w:val="en-US" w:eastAsia="zh-CN"/>
        </w:rPr>
        <w:t>2020</w:t>
      </w:r>
      <w:r>
        <w:rPr>
          <w:rFonts w:hint="eastAsia" w:ascii="楷体_GB2312" w:hAnsi="楷体" w:eastAsia="楷体_GB2312"/>
          <w:b/>
          <w:sz w:val="32"/>
          <w:szCs w:val="32"/>
        </w:rPr>
        <w:t>年部门预算执行情况</w:t>
      </w:r>
    </w:p>
    <w:p>
      <w:pPr>
        <w:ind w:firstLine="627" w:firstLineChars="196"/>
        <w:rPr>
          <w:rFonts w:ascii="仿宋_GB2312" w:hAnsi="Calibri" w:eastAsia="仿宋_GB2312"/>
          <w:sz w:val="32"/>
          <w:szCs w:val="32"/>
        </w:rPr>
      </w:pPr>
      <w:r>
        <w:rPr>
          <w:rFonts w:hint="eastAsia" w:ascii="仿宋_GB2312" w:hAnsi="楷体_GB2312" w:eastAsia="仿宋_GB2312" w:cs="楷体_GB2312"/>
          <w:bCs/>
          <w:sz w:val="32"/>
          <w:szCs w:val="32"/>
          <w:lang w:val="en-US" w:eastAsia="zh-CN"/>
        </w:rPr>
        <w:t>2020</w:t>
      </w:r>
      <w:r>
        <w:rPr>
          <w:rFonts w:hint="eastAsia" w:ascii="仿宋_GB2312" w:hAnsi="楷体_GB2312" w:eastAsia="仿宋_GB2312" w:cs="楷体_GB2312"/>
          <w:bCs/>
          <w:sz w:val="32"/>
          <w:szCs w:val="32"/>
        </w:rPr>
        <w:t>年度我局部门预算总支出</w:t>
      </w:r>
      <w:r>
        <w:rPr>
          <w:rFonts w:hint="eastAsia" w:ascii="仿宋_GB2312" w:hAnsi="楷体_GB2312" w:eastAsia="仿宋_GB2312" w:cs="楷体_GB2312"/>
          <w:bCs/>
          <w:sz w:val="32"/>
          <w:szCs w:val="32"/>
          <w:lang w:val="en-US" w:eastAsia="zh-CN"/>
        </w:rPr>
        <w:t>5421.76</w:t>
      </w:r>
      <w:r>
        <w:rPr>
          <w:rFonts w:hint="eastAsia" w:ascii="仿宋_GB2312" w:hAnsi="楷体_GB2312" w:eastAsia="仿宋_GB2312" w:cs="楷体_GB2312"/>
          <w:bCs/>
          <w:sz w:val="32"/>
          <w:szCs w:val="32"/>
        </w:rPr>
        <w:t>万元，其中基本支出</w:t>
      </w:r>
      <w:r>
        <w:rPr>
          <w:rFonts w:hint="eastAsia" w:ascii="仿宋_GB2312" w:hAnsi="楷体_GB2312" w:eastAsia="仿宋_GB2312" w:cs="楷体_GB2312"/>
          <w:bCs/>
          <w:sz w:val="32"/>
          <w:szCs w:val="32"/>
          <w:lang w:val="en-US" w:eastAsia="zh-CN"/>
        </w:rPr>
        <w:t>2348.99</w:t>
      </w:r>
      <w:r>
        <w:rPr>
          <w:rFonts w:hint="eastAsia" w:ascii="仿宋_GB2312" w:hAnsi="楷体_GB2312" w:eastAsia="仿宋_GB2312" w:cs="楷体_GB2312"/>
          <w:bCs/>
          <w:sz w:val="32"/>
          <w:szCs w:val="32"/>
        </w:rPr>
        <w:t>万元，其中人员经费1967.79万元，日常公用经费支出381.2万元；项目支出3072.77万元，</w:t>
      </w:r>
      <w:r>
        <w:rPr>
          <w:rFonts w:hint="eastAsia" w:ascii="仿宋_GB2312" w:hAnsi="楷体_GB2312" w:eastAsia="仿宋_GB2312" w:cs="楷体_GB2312"/>
          <w:bCs/>
          <w:sz w:val="32"/>
          <w:szCs w:val="32"/>
          <w:lang w:val="en-US" w:eastAsia="zh-CN"/>
        </w:rPr>
        <w:t>年中调整为3451.89万元，</w:t>
      </w:r>
      <w:r>
        <w:rPr>
          <w:rFonts w:hint="eastAsia" w:ascii="仿宋_GB2312" w:hAnsi="楷体_GB2312" w:eastAsia="仿宋_GB2312" w:cs="楷体_GB2312"/>
          <w:bCs/>
          <w:sz w:val="32"/>
          <w:szCs w:val="32"/>
        </w:rPr>
        <w:t>项目</w:t>
      </w:r>
      <w:r>
        <w:rPr>
          <w:rFonts w:hint="eastAsia" w:ascii="仿宋_GB2312" w:hAnsi="楷体_GB2312" w:eastAsia="仿宋_GB2312" w:cs="楷体_GB2312"/>
          <w:bCs/>
          <w:sz w:val="32"/>
          <w:szCs w:val="32"/>
          <w:lang w:val="en-US" w:eastAsia="zh-CN"/>
        </w:rPr>
        <w:t>调整预算后</w:t>
      </w:r>
      <w:r>
        <w:rPr>
          <w:rFonts w:hint="eastAsia" w:ascii="仿宋_GB2312" w:hAnsi="楷体_GB2312" w:eastAsia="仿宋_GB2312" w:cs="楷体_GB2312"/>
          <w:bCs/>
          <w:sz w:val="32"/>
          <w:szCs w:val="32"/>
        </w:rPr>
        <w:t>执行率达到9</w:t>
      </w:r>
      <w:r>
        <w:rPr>
          <w:rFonts w:hint="eastAsia" w:ascii="仿宋_GB2312" w:hAnsi="楷体_GB2312" w:eastAsia="仿宋_GB2312" w:cs="楷体_GB2312"/>
          <w:bCs/>
          <w:sz w:val="32"/>
          <w:szCs w:val="32"/>
          <w:lang w:val="en-US" w:eastAsia="zh-CN"/>
        </w:rPr>
        <w:t>0</w:t>
      </w:r>
      <w:r>
        <w:rPr>
          <w:rFonts w:hint="eastAsia" w:ascii="仿宋_GB2312" w:hAnsi="楷体_GB2312" w:eastAsia="仿宋_GB2312" w:cs="楷体_GB2312"/>
          <w:bCs/>
          <w:sz w:val="32"/>
          <w:szCs w:val="32"/>
        </w:rPr>
        <w:t>%，完成了年初预算执行目标。</w:t>
      </w:r>
      <w:r>
        <w:rPr>
          <w:rFonts w:hint="eastAsia" w:ascii="仿宋_GB2312" w:hAnsi="Calibri" w:eastAsia="仿宋_GB2312"/>
          <w:sz w:val="32"/>
          <w:szCs w:val="32"/>
        </w:rPr>
        <w:t>预算支出安排的项目与各项目归口部门（处室），单位履职情况和事业发展情况相吻合，财政资金保障比较充足、有效。</w:t>
      </w:r>
    </w:p>
    <w:p>
      <w:pPr>
        <w:ind w:firstLine="640" w:firstLineChars="200"/>
        <w:rPr>
          <w:rFonts w:ascii="仿宋_GB2312" w:eastAsia="仿宋_GB2312"/>
          <w:sz w:val="32"/>
          <w:szCs w:val="32"/>
        </w:rPr>
      </w:pPr>
      <w:r>
        <w:rPr>
          <w:rFonts w:hint="eastAsia" w:ascii="仿宋_GB2312" w:hAnsi="Calibri" w:eastAsia="仿宋_GB2312"/>
          <w:sz w:val="32"/>
          <w:szCs w:val="32"/>
        </w:rPr>
        <w:t>单位采取的预算管理程序科学、高效。根据市财政统一要求，</w:t>
      </w:r>
      <w:r>
        <w:rPr>
          <w:rFonts w:hint="eastAsia" w:ascii="仿宋_GB2312" w:eastAsia="仿宋_GB2312"/>
          <w:sz w:val="32"/>
          <w:szCs w:val="32"/>
        </w:rPr>
        <w:t>我局当年6月份进行下年度预算申报工作，</w:t>
      </w:r>
      <w:r>
        <w:rPr>
          <w:rFonts w:hint="eastAsia" w:ascii="仿宋_GB2312" w:hAnsi="Calibri" w:eastAsia="仿宋_GB2312"/>
          <w:sz w:val="32"/>
          <w:szCs w:val="32"/>
        </w:rPr>
        <w:t>部门预算编制过程实现了全员参与、事先论证、逐级上报、层层审批。部门预算经费下达后，强化预算执行管理，硬化预算约束，强化预算部门支出主体责任，加强预算执行动态监控和绩效跟踪。强化预算监督，提高财政资金的使用效益。我局</w:t>
      </w:r>
      <w:r>
        <w:rPr>
          <w:rFonts w:hint="eastAsia" w:ascii="仿宋_GB2312" w:eastAsia="仿宋_GB2312"/>
          <w:sz w:val="32"/>
          <w:szCs w:val="32"/>
        </w:rPr>
        <w:t>根据机构改革调整和修订了《深圳市规划和自然资源局盐田管理局预算管理制度》等九项内部控制制度，明确了资金的使用范围、标准，用款申请程序等。对全局各项开支标准及审批流程、权限进行了规范，做到了事前申请-事中跟踪-事后层层审批的报销流程，严格了不相容职权相互分离制度，很好地做到了经办人、证明人、审批人等重要权限的相互制约，杜绝“一支笔”签字现象。预决算信息及时向社会公开，项目申报、调整、完成、监督等环节严格遵守相关法律法规，资产配置、使用、安全等方面得到了制度保障，财政供养人员管理规范。</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二、部门（单位）主要履职绩效分析</w:t>
      </w:r>
    </w:p>
    <w:p>
      <w:pPr>
        <w:spacing w:line="580" w:lineRule="exact"/>
        <w:ind w:firstLine="640" w:firstLineChars="200"/>
        <w:rPr>
          <w:rFonts w:hint="eastAsia" w:ascii="楷体_GB2312" w:hAnsi="楷体" w:eastAsia="楷体_GB2312"/>
          <w:b/>
          <w:sz w:val="32"/>
          <w:szCs w:val="32"/>
        </w:rPr>
      </w:pPr>
      <w:r>
        <w:rPr>
          <w:rFonts w:hint="eastAsia" w:ascii="仿宋_GB2312" w:eastAsia="仿宋_GB2312"/>
          <w:color w:val="000000"/>
          <w:kern w:val="0"/>
          <w:sz w:val="32"/>
          <w:szCs w:val="32"/>
          <w:lang w:val="en-US" w:eastAsia="zh-CN"/>
        </w:rPr>
        <w:t>单位</w:t>
      </w:r>
      <w:r>
        <w:rPr>
          <w:rFonts w:hint="eastAsia" w:ascii="仿宋_GB2312" w:eastAsia="仿宋_GB2312"/>
          <w:color w:val="000000"/>
          <w:kern w:val="0"/>
          <w:sz w:val="32"/>
          <w:szCs w:val="32"/>
        </w:rPr>
        <w:t>按照“部门职责—工作任务—预算项目”三个层级规范部门预算绩效管理结构，</w:t>
      </w:r>
      <w:r>
        <w:rPr>
          <w:rFonts w:hint="eastAsia" w:ascii="仿宋_GB2312" w:eastAsia="仿宋_GB2312"/>
          <w:sz w:val="32"/>
          <w:szCs w:val="32"/>
        </w:rPr>
        <w:t>结合本部门主要职责和</w:t>
      </w:r>
      <w:r>
        <w:rPr>
          <w:rFonts w:hint="eastAsia" w:ascii="仿宋_GB2312" w:eastAsia="仿宋_GB2312"/>
          <w:sz w:val="32"/>
          <w:szCs w:val="32"/>
          <w:lang w:val="en-US" w:eastAsia="zh-CN"/>
        </w:rPr>
        <w:t>2020</w:t>
      </w:r>
      <w:r>
        <w:rPr>
          <w:rFonts w:hint="eastAsia" w:ascii="仿宋_GB2312" w:eastAsia="仿宋_GB2312"/>
          <w:sz w:val="32"/>
          <w:szCs w:val="32"/>
        </w:rPr>
        <w:t>年重点工作任务，对预算使用绩效进行分析。分析内容包括但不限于以下几项：</w:t>
      </w:r>
    </w:p>
    <w:p>
      <w:pPr>
        <w:spacing w:line="580" w:lineRule="exact"/>
        <w:ind w:firstLine="321" w:firstLineChars="100"/>
        <w:rPr>
          <w:rFonts w:ascii="楷体_GB2312" w:hAnsi="楷体" w:eastAsia="楷体_GB2312"/>
          <w:b/>
          <w:sz w:val="32"/>
          <w:szCs w:val="32"/>
        </w:rPr>
      </w:pPr>
      <w:r>
        <w:rPr>
          <w:rFonts w:hint="eastAsia" w:ascii="楷体_GB2312" w:hAnsi="楷体" w:eastAsia="楷体_GB2312"/>
          <w:b/>
          <w:sz w:val="32"/>
          <w:szCs w:val="32"/>
        </w:rPr>
        <w:t>（一）主要履职目标</w:t>
      </w:r>
    </w:p>
    <w:p>
      <w:pPr>
        <w:spacing w:line="580" w:lineRule="exact"/>
        <w:ind w:firstLine="640" w:firstLineChars="200"/>
        <w:rPr>
          <w:rFonts w:ascii="仿宋_GB2312" w:eastAsia="仿宋_GB2312"/>
          <w:sz w:val="32"/>
          <w:szCs w:val="32"/>
        </w:rPr>
      </w:pPr>
      <w:r>
        <w:rPr>
          <w:rFonts w:hint="eastAsia" w:eastAsia="仿宋_GB2312" w:cs="仿宋_GB2312"/>
          <w:sz w:val="32"/>
          <w:szCs w:val="32"/>
        </w:rPr>
        <w:t>一是以城市规划引领辖区高质量发展。增强规划前瞻性，加强城市规划对空间统筹的引领作用，强化“山、海、城”一体化特征，加强建筑设计与城市设计的有效衔接，精心打造城市公共空间，塑造盐田气质。二是提前谋划土地供给。充分挖掘用地潜力，保障城区产业发展，鼓励存量空间转型升级，引导发展模式从“建城”转变为“营城”，提高空间利用价值，破解土地资源紧约束难题。三是促进民生项目落地。提高公共服务设施水平，优化城区交通体系、改善慢行环境、提升基础设施承载力，满足辖区居民对美好生活的向往，打造宜居、宜游、宜业的滨海品质城区。四是进一步加强党建工作。深入学习习近平新时代中国特色社会主义思想，用新理念、新思想武装头脑；坚定不移推进党风廉政建设，不断提高党的执政能力，建设忠诚、干净、担当的高素质专业化队伍。</w:t>
      </w:r>
    </w:p>
    <w:p>
      <w:pPr>
        <w:spacing w:line="580" w:lineRule="exact"/>
        <w:ind w:firstLine="321" w:firstLineChars="100"/>
        <w:rPr>
          <w:rFonts w:ascii="楷体_GB2312" w:hAnsi="楷体" w:eastAsia="楷体_GB2312"/>
          <w:b/>
          <w:sz w:val="32"/>
          <w:szCs w:val="32"/>
        </w:rPr>
      </w:pPr>
      <w:r>
        <w:rPr>
          <w:rFonts w:hint="eastAsia" w:ascii="楷体_GB2312" w:hAnsi="楷体" w:eastAsia="楷体_GB2312"/>
          <w:b/>
          <w:sz w:val="32"/>
          <w:szCs w:val="32"/>
        </w:rPr>
        <w:t>（二）主要履职情况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为保证</w:t>
      </w:r>
      <w:r>
        <w:rPr>
          <w:rFonts w:hint="eastAsia" w:ascii="仿宋_GB2312" w:eastAsia="仿宋_GB2312"/>
          <w:sz w:val="32"/>
          <w:szCs w:val="32"/>
          <w:lang w:val="en-US" w:eastAsia="zh-CN"/>
        </w:rPr>
        <w:t>2020</w:t>
      </w:r>
      <w:r>
        <w:rPr>
          <w:rFonts w:hint="eastAsia" w:ascii="仿宋_GB2312" w:eastAsia="仿宋_GB2312"/>
          <w:sz w:val="32"/>
          <w:szCs w:val="32"/>
        </w:rPr>
        <w:t>年主要工作任务的顺利实施，部门预算项目经费全年支出共计</w:t>
      </w:r>
      <w:r>
        <w:rPr>
          <w:rFonts w:hint="eastAsia" w:ascii="仿宋_GB2312" w:eastAsia="仿宋_GB2312"/>
          <w:sz w:val="32"/>
          <w:szCs w:val="32"/>
          <w:lang w:val="en-US" w:eastAsia="zh-CN"/>
        </w:rPr>
        <w:t>5421.76</w:t>
      </w:r>
      <w:r>
        <w:rPr>
          <w:rFonts w:hint="eastAsia" w:ascii="仿宋_GB2312" w:eastAsia="仿宋_GB2312"/>
          <w:sz w:val="32"/>
          <w:szCs w:val="32"/>
        </w:rPr>
        <w:t>万元。为加强项目管理，我局依据</w:t>
      </w:r>
      <w:r>
        <w:rPr>
          <w:rFonts w:hint="eastAsia" w:ascii="仿宋_GB2312" w:eastAsia="仿宋_GB2312"/>
          <w:sz w:val="32"/>
          <w:szCs w:val="32"/>
          <w:lang w:val="en-US" w:eastAsia="zh-CN"/>
        </w:rPr>
        <w:t>内部控制管理制度</w:t>
      </w:r>
      <w:r>
        <w:rPr>
          <w:rFonts w:hint="eastAsia" w:ascii="仿宋_GB2312" w:eastAsia="仿宋_GB2312"/>
          <w:sz w:val="32"/>
          <w:szCs w:val="32"/>
        </w:rPr>
        <w:t>等，从管理机构设置、项目立项管理、项目执行管理、项目验收管理等几个方面规范了项目实施过程，科学论证，有效保障，严格监督，切实保障了项目的科学顺利实施。</w:t>
      </w:r>
    </w:p>
    <w:p>
      <w:pPr>
        <w:spacing w:line="580" w:lineRule="exact"/>
        <w:rPr>
          <w:rFonts w:ascii="楷体_GB2312" w:hAnsi="楷体" w:eastAsia="楷体_GB2312"/>
          <w:b/>
          <w:sz w:val="32"/>
          <w:szCs w:val="32"/>
        </w:rPr>
      </w:pPr>
      <w:r>
        <w:rPr>
          <w:rFonts w:hint="eastAsia" w:ascii="楷体_GB2312" w:hAnsi="楷体" w:eastAsia="楷体_GB2312"/>
          <w:b/>
          <w:sz w:val="32"/>
          <w:szCs w:val="32"/>
        </w:rPr>
        <w:t>（三）部门履职绩效情况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我局主要履职和主要工作任务圆满完成，所有项目均严格依据项目管理制度实施，并顺利达成目标。通过辖区内国土整治规划、自然资源、海洋管理的全面开展，提高了生态效益，有效推动了</w:t>
      </w:r>
      <w:r>
        <w:rPr>
          <w:rFonts w:hint="eastAsia" w:eastAsia="仿宋_GB2312" w:cs="宋体"/>
          <w:kern w:val="0"/>
          <w:sz w:val="32"/>
          <w:szCs w:val="32"/>
        </w:rPr>
        <w:t>盐田区建成现代化国际化先进滨海城区，为盐田区提升城市品位、增强城市魅力做出了一定贡献</w:t>
      </w:r>
      <w:r>
        <w:rPr>
          <w:rFonts w:hint="eastAsia" w:ascii="仿宋_GB2312" w:eastAsia="仿宋_GB2312"/>
          <w:sz w:val="32"/>
          <w:szCs w:val="32"/>
        </w:rPr>
        <w:t>。</w:t>
      </w:r>
    </w:p>
    <w:p>
      <w:pPr>
        <w:spacing w:line="580" w:lineRule="exact"/>
        <w:rPr>
          <w:rFonts w:ascii="黑体" w:hAnsi="黑体" w:eastAsia="黑体"/>
          <w:sz w:val="32"/>
          <w:szCs w:val="32"/>
        </w:rPr>
      </w:pPr>
      <w:r>
        <w:rPr>
          <w:rFonts w:hint="eastAsia" w:ascii="黑体" w:hAnsi="黑体" w:eastAsia="黑体"/>
          <w:sz w:val="32"/>
          <w:szCs w:val="32"/>
        </w:rPr>
        <w:t xml:space="preserve"> 三、总体评价和整改措施</w:t>
      </w:r>
    </w:p>
    <w:p>
      <w:pPr>
        <w:spacing w:line="580" w:lineRule="exact"/>
        <w:rPr>
          <w:rFonts w:ascii="仿宋_GB2312" w:eastAsia="仿宋_GB2312"/>
          <w:sz w:val="32"/>
          <w:szCs w:val="32"/>
        </w:rPr>
      </w:pPr>
      <w:r>
        <w:rPr>
          <w:rFonts w:hint="eastAsia" w:ascii="楷体_GB2312" w:eastAsia="楷体_GB2312"/>
          <w:b/>
          <w:sz w:val="32"/>
          <w:szCs w:val="32"/>
        </w:rPr>
        <w:t>（一）</w:t>
      </w:r>
      <w:r>
        <w:rPr>
          <w:rFonts w:hint="eastAsia" w:ascii="仿宋_GB2312" w:eastAsia="仿宋_GB2312"/>
          <w:sz w:val="32"/>
          <w:szCs w:val="32"/>
        </w:rPr>
        <w:t>我局立足实际，不断强化绩效管理理念，在绩效评价工作方面进行了进一步探索。机构设置、人员配备到位，成立领导小组，全面负责绩效考评工作的开展；以办公室组牵头，负责绩效管理各项工作的组织实施协调；业务科室主抓项目的自评价，以绩效评价为抓手，提升项目资金的使用效率。</w:t>
      </w:r>
    </w:p>
    <w:p>
      <w:pPr>
        <w:spacing w:line="580" w:lineRule="exact"/>
        <w:rPr>
          <w:rFonts w:ascii="仿宋_GB2312" w:eastAsia="仿宋_GB2312"/>
          <w:sz w:val="32"/>
          <w:szCs w:val="32"/>
        </w:rPr>
      </w:pPr>
      <w:r>
        <w:rPr>
          <w:rFonts w:hint="eastAsia" w:ascii="楷体_GB2312" w:eastAsia="楷体_GB2312"/>
          <w:b/>
          <w:sz w:val="32"/>
          <w:szCs w:val="32"/>
        </w:rPr>
        <w:t>（二）</w:t>
      </w:r>
      <w:r>
        <w:rPr>
          <w:rFonts w:hint="eastAsia" w:ascii="仿宋_GB2312" w:eastAsia="仿宋_GB2312"/>
          <w:sz w:val="32"/>
          <w:szCs w:val="32"/>
        </w:rPr>
        <w:t>整体支出绩效尚存在不足，部门预算执行效率尚可进一步提高，今后应进一步完善绩效评价工作制度，加强学习培训，提升业务能力。</w:t>
      </w:r>
    </w:p>
    <w:p>
      <w:pPr>
        <w:spacing w:line="580" w:lineRule="exact"/>
        <w:rPr>
          <w:rFonts w:ascii="黑体" w:hAnsi="黑体" w:eastAsia="黑体"/>
          <w:sz w:val="32"/>
          <w:szCs w:val="32"/>
        </w:rPr>
      </w:pPr>
      <w:r>
        <w:rPr>
          <w:rFonts w:hint="eastAsia" w:ascii="黑体" w:hAnsi="黑体" w:eastAsia="黑体"/>
          <w:sz w:val="32"/>
          <w:szCs w:val="32"/>
        </w:rPr>
        <w:t>四、部门整体支出绩效评价指标评分情况</w:t>
      </w:r>
    </w:p>
    <w:p>
      <w:pPr>
        <w:spacing w:line="580" w:lineRule="exact"/>
        <w:ind w:firstLine="800" w:firstLineChars="250"/>
        <w:rPr>
          <w:rFonts w:hint="eastAsia" w:ascii="仿宋_GB2312" w:eastAsia="仿宋_GB2312"/>
          <w:sz w:val="32"/>
          <w:szCs w:val="32"/>
        </w:rPr>
      </w:pPr>
      <w:r>
        <w:rPr>
          <w:rFonts w:hint="eastAsia" w:ascii="仿宋_GB2312" w:eastAsia="仿宋_GB2312"/>
          <w:sz w:val="32"/>
          <w:szCs w:val="32"/>
        </w:rPr>
        <w:t>参照《部门整体支出绩效评价共性指标体系框架（</w:t>
      </w:r>
      <w:r>
        <w:rPr>
          <w:rFonts w:hint="eastAsia" w:ascii="仿宋_GB2312" w:eastAsia="仿宋_GB2312"/>
          <w:sz w:val="32"/>
          <w:szCs w:val="32"/>
          <w:lang w:val="en-US" w:eastAsia="zh-CN"/>
        </w:rPr>
        <w:t>2020</w:t>
      </w:r>
      <w:r>
        <w:rPr>
          <w:rFonts w:hint="eastAsia" w:ascii="仿宋_GB2312" w:eastAsia="仿宋_GB2312"/>
          <w:sz w:val="32"/>
          <w:szCs w:val="32"/>
        </w:rPr>
        <w:t>年度）》进行自评，填报得分情况。</w:t>
      </w:r>
    </w:p>
    <w:p>
      <w:pPr>
        <w:spacing w:line="580" w:lineRule="exact"/>
        <w:ind w:firstLine="800" w:firstLineChars="250"/>
        <w:rPr>
          <w:rFonts w:hint="eastAsia" w:ascii="仿宋_GB2312" w:eastAsia="仿宋_GB2312"/>
          <w:sz w:val="32"/>
          <w:szCs w:val="32"/>
        </w:rPr>
      </w:pPr>
    </w:p>
    <w:tbl>
      <w:tblPr>
        <w:tblStyle w:val="5"/>
        <w:tblW w:w="10091"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1713"/>
        <w:gridCol w:w="2705"/>
        <w:gridCol w:w="1193"/>
        <w:gridCol w:w="1310"/>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10091"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0091" w:type="dxa"/>
            <w:gridSpan w:val="6"/>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60" w:type="dxa"/>
            <w:gridSpan w:val="2"/>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部门（单位）名称</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0102011005 深圳市规划和自然资源局盐田管理局</w:t>
            </w:r>
          </w:p>
        </w:tc>
        <w:tc>
          <w:tcPr>
            <w:tcW w:w="1193"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主管部门</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0102011 深圳市规划和自然资源局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年度主要任务</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任务名称</w:t>
            </w:r>
          </w:p>
        </w:tc>
        <w:tc>
          <w:tcPr>
            <w:tcW w:w="2705" w:type="dxa"/>
            <w:vMerge w:val="restart"/>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主要内容</w:t>
            </w:r>
          </w:p>
        </w:tc>
        <w:tc>
          <w:tcPr>
            <w:tcW w:w="4726" w:type="dxa"/>
            <w:gridSpan w:val="3"/>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总额</w:t>
            </w:r>
          </w:p>
        </w:tc>
        <w:tc>
          <w:tcPr>
            <w:tcW w:w="1310"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财政拨款</w:t>
            </w:r>
          </w:p>
        </w:tc>
        <w:tc>
          <w:tcPr>
            <w:tcW w:w="2223"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其它资金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在职及退休人员支出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在职人员工资福利支出和离退休人员经费。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2,484.00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2,484.00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公用支出</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包括公用综合定额经费、水电费、物业管理费、车辆运行维护费和工会经费等公用经费。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综合管理及公务用车运行维护</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保障机构正常运转及规划和国土各项业务有效开展的各种费用支出（包括公务用车运行维护费）。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林业业务</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森林资源管理、林业规划、森林资源保护宣传、森林火灾预防和林业技术支持等内容。</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待支付以前年度政府采购　</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2019年及以前年度已实施招标待支付尾款的物业管理政府采购项目。</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土地使用权出让印花税支出、土地储备管理、地质灾害续建计划的支出。</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土地管理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地质灾害防治，测绘管理</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农业海洋管理</w:t>
            </w: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渔业成品油价格改革财政补贴</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44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金额合计</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5,171.00</w:t>
            </w:r>
          </w:p>
        </w:tc>
        <w:tc>
          <w:tcPr>
            <w:tcW w:w="13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5,171.00</w:t>
            </w:r>
          </w:p>
        </w:tc>
        <w:tc>
          <w:tcPr>
            <w:tcW w:w="2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947"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年度总体目标</w:t>
            </w:r>
          </w:p>
        </w:tc>
        <w:tc>
          <w:tcPr>
            <w:tcW w:w="91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在规划引领上先行示范，构建城区空间规划新格局。组织开展《盐田区国土空间分区规划》；全力打造滨海旅游城区，积极配合盐田建设各项工作，高效推进盐田高铁规划建设。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 在自然资源统筹保护利用上先行示范，打造高品质国土空间。稳步推进地籍调查工作；坚持集约节约用地，优化配置增量空间；多渠道挖掘用地潜力，释放发展空间；全面落实辖区林业海洋渔业管理；严格落实土地批后监管；继续推进生态修复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在服务民生上先行示范，营造宜居宜业的发展环境。推进道路交通设施建设；高标准推进盐田区市政基础设施建设，保障城市良性运行；高效推进公共基础设施建设，积极推进深圳歌剧院、创意设计馆等粤港澳大湾区内的重大文化设施规划建设；全力保障辖区安全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47" w:type="dxa"/>
            <w:vMerge w:val="restart"/>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年度绩效指标</w:t>
            </w:r>
          </w:p>
        </w:tc>
        <w:tc>
          <w:tcPr>
            <w:tcW w:w="1713"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一级指标</w:t>
            </w:r>
          </w:p>
        </w:tc>
        <w:tc>
          <w:tcPr>
            <w:tcW w:w="2705"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二级指标</w:t>
            </w:r>
          </w:p>
        </w:tc>
        <w:tc>
          <w:tcPr>
            <w:tcW w:w="1193" w:type="dxa"/>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三级指标</w:t>
            </w:r>
          </w:p>
        </w:tc>
        <w:tc>
          <w:tcPr>
            <w:tcW w:w="3533" w:type="dxa"/>
            <w:gridSpan w:val="2"/>
            <w:tcBorders>
              <w:top w:val="single" w:color="000000" w:sz="4" w:space="0"/>
              <w:left w:val="single" w:color="000000" w:sz="4" w:space="0"/>
              <w:bottom w:val="single" w:color="000000" w:sz="4" w:space="0"/>
              <w:right w:val="single" w:color="000000" w:sz="4" w:space="0"/>
            </w:tcBorders>
            <w:shd w:val="clear" w:color="C7E2FC" w:fill="C7E2FC"/>
            <w:vAlign w:val="center"/>
          </w:tcPr>
          <w:p>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林业调查技术报告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林业规划</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地灾定点宣传场次</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热门新媒体平台地灾宣传图文推送</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地灾培训工作开展次数</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盐田区地灾专业检查</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0汛期为每年4－10月，检查周期为7天一次（每次2组，即2组日/次）；其余时间为非汛期，检查周期为15天一次（每次2组，即2组日/次）。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林业调查技术报告合格率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全年工作日技术数据准确率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林业规划专家评审通过率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后勤物资采购验收合格率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设备维护验收合格率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设施修缮验收合格率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前端工作设备、基础设施、网站安全率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收发文及时率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设备维护及时率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设备采购及时率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信息技术运维及时率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劳务费用支付及时率</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三公经费控制情况</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0不超过年初预算额度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地灾专业技术服务经济效益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0维护人民财产安全，促进辖区经济和社会的可持续发展。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房产测绘成果审核与不动产权籍调查经济效益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优化营商环境，减少个人企业权利人的负担，确保我市不动产登记工作符合国家要求。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地灾防治知识培训的社会效益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提升辖区地质灾害相关从业人员和基层群测群防人员的业务素质。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地灾防治知识宣传的社会效益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提高辖区群众的地质灾害防治知识水平，切实提高广大人民群众的地质灾害防灾意识和避险能力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国土综合变更调查工程之外业调查社会效益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掌握我市土地利用实际变化情况，为科学规划、合理利用、有效保护土地资源，实施最严格的耕地保护制度，加强和改善宏观调控提供依据。为我局规划国土管理及我市人口、公安、工商等城市管理工作提供信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零星测量的社会效益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便于政府管理，服务人民群众，减少社会矛盾。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林业工作生态效益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强有力地配合辖区林业主管部门、林业执法部门的涉林管理、执法工作，为依法依规、科学合理管理和保护森林资源，打击违法使用林地、破坏森林资源等违法行为提供完善的、有效的技术支持。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地灾防治工作生态效益</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加大生态系统保护力度、推进生态文明建设。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通过生态公益林等种植,达到保护环境的目标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地灾培训受众满意度</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地灾宣传受众满意度</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综合业务培训人员满意度</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档案公共服务满意度</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47" w:type="dxa"/>
            <w:vMerge w:val="continue"/>
            <w:tcBorders>
              <w:top w:val="single" w:color="000000" w:sz="4" w:space="0"/>
              <w:left w:val="single" w:color="000000" w:sz="4" w:space="0"/>
              <w:bottom w:val="single" w:color="000000" w:sz="4" w:space="0"/>
              <w:right w:val="single" w:color="000000" w:sz="4" w:space="0"/>
            </w:tcBorders>
            <w:shd w:val="clear" w:color="C7E2FC" w:fill="C7E2FC"/>
            <w:vAlign w:val="center"/>
          </w:tcPr>
          <w:p>
            <w:pPr>
              <w:jc w:val="center"/>
              <w:rPr>
                <w:rFonts w:hint="eastAsia" w:ascii="宋体" w:hAnsi="宋体" w:eastAsia="宋体" w:cs="宋体"/>
                <w:b/>
                <w:bCs/>
                <w:i w:val="0"/>
                <w:iCs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其他满意度指标</w:t>
            </w:r>
          </w:p>
        </w:tc>
        <w:tc>
          <w:tcPr>
            <w:tcW w:w="11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35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bl>
    <w:p>
      <w:pPr>
        <w:spacing w:line="580" w:lineRule="exact"/>
        <w:ind w:firstLine="800" w:firstLineChars="250"/>
        <w:rPr>
          <w:rFonts w:hint="eastAsia" w:ascii="仿宋_GB2312" w:eastAsia="仿宋_GB2312"/>
          <w:sz w:val="32"/>
          <w:szCs w:val="32"/>
        </w:rPr>
      </w:pPr>
    </w:p>
    <w:p>
      <w:pPr>
        <w:spacing w:line="580" w:lineRule="exact"/>
        <w:ind w:firstLine="800" w:firstLineChars="250"/>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pPr>
        <w:rPr>
          <w:sz w:val="18"/>
          <w:szCs w:val="18"/>
        </w:rPr>
      </w:pPr>
    </w:p>
    <w:sectPr>
      <w:pgSz w:w="11907" w:h="16839"/>
      <w:pgMar w:top="1440" w:right="85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楷体 Std R">
    <w:altName w:val="楷体"/>
    <w:panose1 w:val="00000000000000000000"/>
    <w:charset w:val="86"/>
    <w:family w:val="roman"/>
    <w:pitch w:val="default"/>
    <w:sig w:usb0="00000000" w:usb1="00000000" w:usb2="00000010" w:usb3="00000000" w:csb0="00060007"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8D"/>
    <w:rsid w:val="00015287"/>
    <w:rsid w:val="00025B53"/>
    <w:rsid w:val="000616D7"/>
    <w:rsid w:val="000757DF"/>
    <w:rsid w:val="000C1693"/>
    <w:rsid w:val="000C7F39"/>
    <w:rsid w:val="000D5ECC"/>
    <w:rsid w:val="000E0010"/>
    <w:rsid w:val="000E1432"/>
    <w:rsid w:val="001344C8"/>
    <w:rsid w:val="0014442C"/>
    <w:rsid w:val="00156F7B"/>
    <w:rsid w:val="00186083"/>
    <w:rsid w:val="001A4FCA"/>
    <w:rsid w:val="001E1A5E"/>
    <w:rsid w:val="001E702E"/>
    <w:rsid w:val="001F5AA4"/>
    <w:rsid w:val="00235966"/>
    <w:rsid w:val="00282EF4"/>
    <w:rsid w:val="002A7700"/>
    <w:rsid w:val="002E0FBC"/>
    <w:rsid w:val="002F40E6"/>
    <w:rsid w:val="003068E5"/>
    <w:rsid w:val="00323B8D"/>
    <w:rsid w:val="0035692C"/>
    <w:rsid w:val="003577C2"/>
    <w:rsid w:val="00382649"/>
    <w:rsid w:val="00394B68"/>
    <w:rsid w:val="003B1900"/>
    <w:rsid w:val="003C7673"/>
    <w:rsid w:val="003D5362"/>
    <w:rsid w:val="003F3BCB"/>
    <w:rsid w:val="00447BDD"/>
    <w:rsid w:val="00474D58"/>
    <w:rsid w:val="004753A6"/>
    <w:rsid w:val="00476D3C"/>
    <w:rsid w:val="004A3245"/>
    <w:rsid w:val="004B47F6"/>
    <w:rsid w:val="004B69B8"/>
    <w:rsid w:val="00567EEA"/>
    <w:rsid w:val="0058344B"/>
    <w:rsid w:val="005A7B7C"/>
    <w:rsid w:val="005C793D"/>
    <w:rsid w:val="005D6FD8"/>
    <w:rsid w:val="00664016"/>
    <w:rsid w:val="006668F7"/>
    <w:rsid w:val="00670E00"/>
    <w:rsid w:val="006A08E5"/>
    <w:rsid w:val="006A0B18"/>
    <w:rsid w:val="006A7C4F"/>
    <w:rsid w:val="006C51A9"/>
    <w:rsid w:val="006E2C6E"/>
    <w:rsid w:val="006F0724"/>
    <w:rsid w:val="006F42D7"/>
    <w:rsid w:val="00704B51"/>
    <w:rsid w:val="0071511A"/>
    <w:rsid w:val="0071688F"/>
    <w:rsid w:val="00740955"/>
    <w:rsid w:val="007557B7"/>
    <w:rsid w:val="007B1093"/>
    <w:rsid w:val="007C6A8D"/>
    <w:rsid w:val="007C77C0"/>
    <w:rsid w:val="007E03B1"/>
    <w:rsid w:val="007E16C0"/>
    <w:rsid w:val="007E7028"/>
    <w:rsid w:val="007F11FC"/>
    <w:rsid w:val="008010A2"/>
    <w:rsid w:val="00823A28"/>
    <w:rsid w:val="0083160F"/>
    <w:rsid w:val="008360D4"/>
    <w:rsid w:val="0085384E"/>
    <w:rsid w:val="00866D4F"/>
    <w:rsid w:val="00886EBB"/>
    <w:rsid w:val="008C01DD"/>
    <w:rsid w:val="008C5E9F"/>
    <w:rsid w:val="008D3C34"/>
    <w:rsid w:val="00907B9F"/>
    <w:rsid w:val="009254A3"/>
    <w:rsid w:val="009374E9"/>
    <w:rsid w:val="0094704A"/>
    <w:rsid w:val="00953176"/>
    <w:rsid w:val="009803FA"/>
    <w:rsid w:val="009B6BB4"/>
    <w:rsid w:val="00A03D07"/>
    <w:rsid w:val="00A03EA9"/>
    <w:rsid w:val="00A327AA"/>
    <w:rsid w:val="00A415FC"/>
    <w:rsid w:val="00AA5338"/>
    <w:rsid w:val="00AC140F"/>
    <w:rsid w:val="00AC2E3D"/>
    <w:rsid w:val="00AD4C3B"/>
    <w:rsid w:val="00AD7537"/>
    <w:rsid w:val="00B012E2"/>
    <w:rsid w:val="00B01A1D"/>
    <w:rsid w:val="00B16374"/>
    <w:rsid w:val="00B35993"/>
    <w:rsid w:val="00B85A70"/>
    <w:rsid w:val="00B9050E"/>
    <w:rsid w:val="00BB7A05"/>
    <w:rsid w:val="00BD192D"/>
    <w:rsid w:val="00BD66CF"/>
    <w:rsid w:val="00C04150"/>
    <w:rsid w:val="00C2157C"/>
    <w:rsid w:val="00C409C6"/>
    <w:rsid w:val="00C62E64"/>
    <w:rsid w:val="00C702B8"/>
    <w:rsid w:val="00CB1C36"/>
    <w:rsid w:val="00CB6C81"/>
    <w:rsid w:val="00CB7FE9"/>
    <w:rsid w:val="00CC0E1B"/>
    <w:rsid w:val="00CC7C71"/>
    <w:rsid w:val="00CD69A4"/>
    <w:rsid w:val="00D50E3A"/>
    <w:rsid w:val="00D86FE6"/>
    <w:rsid w:val="00DC002F"/>
    <w:rsid w:val="00DD1293"/>
    <w:rsid w:val="00DF652D"/>
    <w:rsid w:val="00E5107C"/>
    <w:rsid w:val="00E51450"/>
    <w:rsid w:val="00E61598"/>
    <w:rsid w:val="00E632C3"/>
    <w:rsid w:val="00E975EF"/>
    <w:rsid w:val="00F05CC5"/>
    <w:rsid w:val="00F1040D"/>
    <w:rsid w:val="00F30ED4"/>
    <w:rsid w:val="00F74551"/>
    <w:rsid w:val="00F85BCF"/>
    <w:rsid w:val="00F91E47"/>
    <w:rsid w:val="00FA665A"/>
    <w:rsid w:val="08923C2E"/>
    <w:rsid w:val="206A540E"/>
    <w:rsid w:val="2A3F6723"/>
    <w:rsid w:val="2FF01369"/>
    <w:rsid w:val="3CD9694D"/>
    <w:rsid w:val="4C3D5705"/>
    <w:rsid w:val="5FD26A03"/>
    <w:rsid w:val="71B6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396</Words>
  <Characters>2262</Characters>
  <Lines>18</Lines>
  <Paragraphs>5</Paragraphs>
  <TotalTime>65</TotalTime>
  <ScaleCrop>false</ScaleCrop>
  <LinksUpToDate>false</LinksUpToDate>
  <CharactersWithSpaces>2653</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2019-03-07T03:34:00Z</dcterms:created>
  <dc:creator>桂鑫</dc:creator>
  <cp:lastModifiedBy>李舒娴</cp:lastModifiedBy>
  <cp:lastPrinted>2021-10-21T06:28:00Z</cp:lastPrinted>
  <dcterms:modified xsi:type="dcterms:W3CDTF">2021-10-21T10:18:22Z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97F375C8CDD44406B93F4EB271626487</vt:lpwstr>
  </property>
</Properties>
</file>