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rPr>
      </w:pPr>
    </w:p>
    <w:p>
      <w:pPr>
        <w:jc w:val="center"/>
        <w:rPr>
          <w:rFonts w:hint="eastAsia" w:ascii="方正小标宋简体" w:hAnsi="黑体" w:eastAsia="方正小标宋简体"/>
          <w:sz w:val="44"/>
          <w:szCs w:val="44"/>
        </w:rPr>
      </w:pPr>
    </w:p>
    <w:p>
      <w:pPr>
        <w:jc w:val="center"/>
        <w:rPr>
          <w:rFonts w:ascii="方正小标宋简体" w:hAnsi="黑体" w:eastAsia="方正小标宋简体" w:cs="方正小标宋简体"/>
          <w:sz w:val="44"/>
          <w:szCs w:val="44"/>
        </w:rPr>
      </w:pPr>
    </w:p>
    <w:p>
      <w:pPr>
        <w:jc w:val="center"/>
        <w:rPr>
          <w:rFonts w:hint="eastAsia" w:ascii="方正小标宋简体" w:hAnsi="黑体" w:eastAsia="方正小标宋简体" w:cs="方正小标宋简体"/>
          <w:sz w:val="44"/>
          <w:szCs w:val="44"/>
          <w:lang w:val="en-US" w:eastAsia="zh-CN"/>
        </w:rPr>
      </w:pPr>
      <w:r>
        <w:rPr>
          <w:rFonts w:hint="eastAsia" w:ascii="方正小标宋简体" w:hAnsi="黑体" w:eastAsia="方正小标宋简体" w:cs="方正小标宋简体"/>
          <w:sz w:val="44"/>
          <w:szCs w:val="44"/>
          <w:lang w:val="en-US" w:eastAsia="zh-CN"/>
        </w:rPr>
        <w:t>深圳市规划和自然资源局盐田管理局</w:t>
      </w:r>
    </w:p>
    <w:p>
      <w:pPr>
        <w:jc w:val="center"/>
        <w:rPr>
          <w:rFonts w:ascii="方正小标宋简体" w:hAnsi="黑体" w:eastAsia="方正小标宋简体"/>
          <w:sz w:val="44"/>
          <w:szCs w:val="44"/>
        </w:rPr>
      </w:pPr>
      <w:r>
        <w:rPr>
          <w:rFonts w:ascii="方正小标宋简体" w:hAnsi="黑体" w:eastAsia="方正小标宋简体" w:cs="方正小标宋简体"/>
          <w:sz w:val="44"/>
          <w:szCs w:val="44"/>
        </w:rPr>
        <w:t>2020</w:t>
      </w:r>
      <w:r>
        <w:rPr>
          <w:rFonts w:hint="eastAsia" w:ascii="方正小标宋简体" w:hAnsi="黑体" w:eastAsia="方正小标宋简体" w:cs="方正小标宋简体"/>
          <w:sz w:val="44"/>
          <w:szCs w:val="44"/>
        </w:rPr>
        <w:t>年度部门决算报告</w:t>
      </w:r>
    </w:p>
    <w:p>
      <w:pPr>
        <w:ind w:firstLine="0" w:firstLineChars="0"/>
        <w:jc w:val="both"/>
        <w:rPr>
          <w:rFonts w:hint="eastAsia" w:ascii="仿宋_GB2312" w:hAnsi="宋体" w:eastAsia="仿宋_GB2312"/>
          <w:b/>
          <w:bCs/>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目录</w:t>
      </w:r>
    </w:p>
    <w:p>
      <w:pPr>
        <w:jc w:val="center"/>
        <w:rPr>
          <w:rFonts w:hint="eastAsia" w:ascii="黑体" w:hAnsi="黑体" w:eastAsia="黑体" w:cs="黑体"/>
          <w:sz w:val="32"/>
          <w:szCs w:val="32"/>
        </w:rPr>
      </w:pPr>
    </w:p>
    <w:p>
      <w:pPr>
        <w:ind w:firstLine="640" w:firstLineChars="200"/>
        <w:rPr>
          <w:rFonts w:ascii="黑体" w:hAnsi="黑体" w:eastAsia="黑体"/>
          <w:sz w:val="32"/>
          <w:szCs w:val="32"/>
        </w:rPr>
      </w:pPr>
      <w:r>
        <w:rPr>
          <w:rFonts w:hint="eastAsia" w:ascii="黑体" w:hAnsi="黑体" w:eastAsia="黑体" w:cs="黑体"/>
          <w:sz w:val="32"/>
          <w:szCs w:val="32"/>
        </w:rPr>
        <w:t>一、深圳市规划和自然资源局盐田管理局2020年度部门决算报告概况</w:t>
      </w:r>
    </w:p>
    <w:p>
      <w:pPr>
        <w:rPr>
          <w:rFonts w:ascii="楷体_GB2312" w:hAnsi="宋体" w:eastAsia="楷体_GB2312"/>
          <w:b/>
          <w:bCs/>
          <w:sz w:val="32"/>
          <w:szCs w:val="32"/>
        </w:rPr>
      </w:pPr>
      <w:r>
        <w:rPr>
          <w:rFonts w:ascii="仿宋_GB2312" w:hAnsi="宋体" w:eastAsia="仿宋_GB2312" w:cs="仿宋_GB2312"/>
          <w:b/>
          <w:bCs/>
          <w:sz w:val="32"/>
          <w:szCs w:val="32"/>
        </w:rPr>
        <w:t xml:space="preserve">    </w:t>
      </w:r>
      <w:r>
        <w:rPr>
          <w:rFonts w:hint="eastAsia" w:ascii="楷体_GB2312" w:hAnsi="宋体" w:eastAsia="楷体_GB2312" w:cs="楷体_GB2312"/>
          <w:b/>
          <w:bCs/>
          <w:sz w:val="32"/>
          <w:szCs w:val="32"/>
        </w:rPr>
        <w:t>（一）部门（单位）职责</w:t>
      </w:r>
    </w:p>
    <w:p>
      <w:pPr>
        <w:rPr>
          <w:rFonts w:ascii="楷体_GB2312" w:hAnsi="宋体" w:eastAsia="楷体_GB2312"/>
          <w:b/>
          <w:bCs/>
          <w:sz w:val="32"/>
          <w:szCs w:val="32"/>
        </w:rPr>
      </w:pP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（二）机构设置</w:t>
      </w:r>
    </w:p>
    <w:p>
      <w:pPr>
        <w:rPr>
          <w:rFonts w:ascii="黑体" w:hAnsi="黑体" w:eastAsia="黑体"/>
          <w:sz w:val="32"/>
          <w:szCs w:val="32"/>
        </w:rPr>
      </w:pPr>
      <w:r>
        <w:rPr>
          <w:rFonts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二、深圳市规划和自然资源局盐田管理局</w:t>
      </w:r>
      <w:r>
        <w:rPr>
          <w:rFonts w:ascii="黑体" w:hAnsi="黑体" w:eastAsia="黑体" w:cs="黑体"/>
          <w:sz w:val="32"/>
          <w:szCs w:val="32"/>
        </w:rPr>
        <w:t>2020</w:t>
      </w:r>
      <w:r>
        <w:rPr>
          <w:rFonts w:hint="eastAsia" w:ascii="黑体" w:hAnsi="黑体" w:eastAsia="黑体" w:cs="黑体"/>
          <w:sz w:val="32"/>
          <w:szCs w:val="32"/>
        </w:rPr>
        <w:t>年度部门决算表</w:t>
      </w:r>
    </w:p>
    <w:p>
      <w:pPr>
        <w:rPr>
          <w:rFonts w:ascii="黑体" w:hAnsi="黑体" w:eastAsia="黑体"/>
          <w:sz w:val="32"/>
          <w:szCs w:val="32"/>
        </w:rPr>
      </w:pPr>
      <w:r>
        <w:rPr>
          <w:rFonts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三、深圳市规划和自然资源局盐田管理局盐田管理局</w:t>
      </w:r>
      <w:r>
        <w:rPr>
          <w:rFonts w:ascii="黑体" w:hAnsi="黑体" w:eastAsia="黑体" w:cs="黑体"/>
          <w:sz w:val="32"/>
          <w:szCs w:val="32"/>
        </w:rPr>
        <w:t>2020</w:t>
      </w:r>
      <w:r>
        <w:rPr>
          <w:rFonts w:hint="eastAsia" w:ascii="黑体" w:hAnsi="黑体" w:eastAsia="黑体" w:cs="黑体"/>
          <w:sz w:val="32"/>
          <w:szCs w:val="32"/>
        </w:rPr>
        <w:t>年度部门决算情况说明</w:t>
      </w:r>
    </w:p>
    <w:p>
      <w:pPr>
        <w:rPr>
          <w:rFonts w:ascii="黑体" w:hAnsi="黑体" w:eastAsia="黑体"/>
          <w:sz w:val="32"/>
          <w:szCs w:val="32"/>
        </w:rPr>
      </w:pPr>
      <w:r>
        <w:rPr>
          <w:rFonts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四、名词解释</w:t>
      </w:r>
    </w:p>
    <w:p>
      <w:pPr>
        <w:pStyle w:val="2"/>
        <w:spacing w:before="0" w:after="0" w:line="360" w:lineRule="auto"/>
        <w:ind w:firstLine="0" w:firstLineChars="0"/>
        <w:rPr>
          <w:rFonts w:ascii="黑体" w:hAnsi="黑体" w:eastAsia="黑体"/>
          <w:sz w:val="28"/>
          <w:szCs w:val="28"/>
        </w:rPr>
      </w:pPr>
      <w:r>
        <w:rPr>
          <w:rFonts w:hint="eastAsia" w:ascii="黑体" w:hAnsi="黑体" w:eastAsia="黑体" w:cs="黑体"/>
          <w:sz w:val="28"/>
          <w:szCs w:val="28"/>
        </w:rPr>
        <w:t>一、深圳市规划和自然资源局盐田管理局概况</w:t>
      </w:r>
    </w:p>
    <w:p>
      <w:pPr>
        <w:pStyle w:val="3"/>
        <w:spacing w:before="0" w:after="0" w:line="360" w:lineRule="auto"/>
        <w:ind w:firstLine="562" w:firstLineChars="200"/>
        <w:rPr>
          <w:rFonts w:ascii="黑体" w:hAnsi="黑体" w:eastAsia="黑体" w:cs="黑体"/>
          <w:b/>
          <w:bCs/>
          <w:sz w:val="28"/>
          <w:szCs w:val="28"/>
        </w:rPr>
      </w:pPr>
      <w:r>
        <w:rPr>
          <w:rFonts w:hint="eastAsia" w:ascii="黑体" w:hAnsi="黑体" w:eastAsia="黑体" w:cs="黑体"/>
          <w:sz w:val="28"/>
          <w:szCs w:val="28"/>
        </w:rPr>
        <w:t>（一）</w:t>
      </w:r>
      <w:r>
        <w:rPr>
          <w:rFonts w:hint="eastAsia" w:ascii="黑体" w:hAnsi="黑体" w:eastAsia="黑体" w:cs="黑体"/>
          <w:b/>
          <w:bCs/>
          <w:sz w:val="28"/>
          <w:szCs w:val="28"/>
        </w:rPr>
        <w:t>单位职责</w:t>
      </w:r>
    </w:p>
    <w:p>
      <w:pPr>
        <w:pStyle w:val="3"/>
        <w:spacing w:before="0" w:after="0" w:line="360" w:lineRule="auto"/>
        <w:ind w:firstLine="640" w:firstLineChars="200"/>
        <w:rPr>
          <w:rFonts w:hint="eastAsia" w:ascii="仿宋_GB2312" w:hAnsi="宋体" w:eastAsia="仿宋_GB2312" w:cs="仿宋_GB2312"/>
          <w:b w:val="0"/>
          <w:bCs w:val="0"/>
          <w:sz w:val="32"/>
          <w:szCs w:val="32"/>
        </w:rPr>
      </w:pPr>
      <w:r>
        <w:rPr>
          <w:rFonts w:hint="eastAsia" w:ascii="仿宋_GB2312" w:hAnsi="宋体" w:eastAsia="仿宋_GB2312" w:cs="仿宋_GB2312"/>
          <w:b w:val="0"/>
          <w:bCs w:val="0"/>
          <w:sz w:val="32"/>
          <w:szCs w:val="32"/>
        </w:rPr>
        <w:t>贯彻落实国家、省、市关于规划和自然资源管理的方针、政策、法律、法规，履行辖区全民所有土地、矿产、森林、湿地、水、海洋等自然资源资产所有者职责和所有国土空间用途管制职责；负责辖区自然资源调查监测评价、重大权属争议调处、资产合理开发利用和市场监管等工作；负责辖区自然资源资产有偿使用和价值评估管理工作；负责编制并监督实施辖区国土空间规划、详细规划和相关专项规划；负责拟订并实施辖区土地等自然资源年度利用计划，承担辖区各类土地用途转用和土地供应报批工作；负责辖区国土空间生态修复工作；负责辖区地质灾害的预防和治理。负责辖区矿产资源管理工作；负责辖区海洋经济发展、海岸带综合保护利用、海域使用和海岛保护利用管理等工作；负责编制并组织实施辖区林业发展规划、林地保护利用规划等，承担辖区林业管理工作；负责辖区渔业行业管理、渔港建设管理工作；负责辖区地名管理和历史风貌保护区、优秀历史建筑、历史文物古迹的规划管理工作；负责查处辖区测绘、地质矿产、地名等违法行为；负责辖区规划和自然资源领域安全生产监督管理工作；承办市局交办的其他工作，配合辖区政府开展相关工作。</w:t>
      </w:r>
    </w:p>
    <w:p>
      <w:pPr>
        <w:pStyle w:val="3"/>
        <w:spacing w:before="0" w:after="0" w:line="360" w:lineRule="auto"/>
        <w:ind w:firstLine="643" w:firstLineChars="200"/>
        <w:rPr>
          <w:rFonts w:hint="eastAsia" w:ascii="仿宋_GB2312" w:hAnsi="宋体" w:eastAsia="仿宋_GB2312" w:cs="仿宋_GB2312"/>
          <w:sz w:val="32"/>
          <w:szCs w:val="32"/>
        </w:rPr>
      </w:pPr>
    </w:p>
    <w:p>
      <w:pPr>
        <w:pStyle w:val="3"/>
        <w:spacing w:before="0" w:after="0" w:line="360" w:lineRule="auto"/>
        <w:ind w:firstLine="562" w:firstLineChars="200"/>
        <w:rPr>
          <w:rFonts w:hint="eastAsia" w:ascii="黑体" w:hAnsi="黑体" w:eastAsia="黑体" w:cs="黑体"/>
          <w:sz w:val="28"/>
          <w:szCs w:val="28"/>
        </w:rPr>
      </w:pPr>
      <w:r>
        <w:rPr>
          <w:rFonts w:hint="eastAsia" w:ascii="黑体" w:hAnsi="黑体" w:eastAsia="黑体" w:cs="黑体"/>
          <w:sz w:val="28"/>
          <w:szCs w:val="28"/>
        </w:rPr>
        <w:t>（二）机构情况</w:t>
      </w:r>
    </w:p>
    <w:p>
      <w:pPr>
        <w:ind w:firstLine="960" w:firstLineChars="300"/>
        <w:rPr>
          <w:rFonts w:hint="eastAsia" w:ascii="仿宋_GB2312" w:hAnsi="宋体" w:eastAsia="仿宋_GB2312" w:cs="仿宋_GB2312"/>
          <w:sz w:val="32"/>
          <w:szCs w:val="32"/>
        </w:rPr>
      </w:pPr>
      <w:r>
        <w:rPr>
          <w:rFonts w:hint="eastAsia" w:ascii="仿宋_GB2312" w:hAnsi="宋体" w:eastAsia="仿宋_GB2312" w:cs="仿宋_GB2312"/>
          <w:sz w:val="32"/>
          <w:szCs w:val="32"/>
        </w:rPr>
        <w:t>我部门没有下属单位，按照部门决算编报要求，单独编制本部门决算。</w:t>
      </w:r>
    </w:p>
    <w:p>
      <w:pPr>
        <w:widowControl/>
        <w:ind w:firstLine="643" w:firstLineChars="200"/>
        <w:jc w:val="left"/>
        <w:rPr>
          <w:rFonts w:ascii="Times New Roman" w:hAnsi="Times New Roman" w:eastAsia="宋体"/>
          <w:b/>
          <w:bCs/>
          <w:sz w:val="21"/>
          <w:szCs w:val="21"/>
        </w:rPr>
      </w:pPr>
      <w:r>
        <w:rPr>
          <w:rFonts w:ascii="仿宋_GB2312" w:hAnsi="宋体" w:eastAsia="仿宋_GB2312" w:cs="仿宋_GB2312"/>
          <w:b/>
          <w:bCs/>
          <w:sz w:val="32"/>
          <w:szCs w:val="32"/>
        </w:rPr>
        <w:br w:type="page"/>
      </w:r>
      <w:r>
        <w:rPr>
          <w:rFonts w:hint="eastAsia" w:ascii="黑体" w:hAnsi="黑体" w:eastAsia="黑体" w:cs="黑体"/>
          <w:b/>
          <w:bCs/>
          <w:sz w:val="28"/>
          <w:szCs w:val="28"/>
          <w:lang w:val="en-US" w:eastAsia="zh-CN"/>
        </w:rPr>
        <w:t>二、</w:t>
      </w:r>
      <w:r>
        <w:rPr>
          <w:rFonts w:hint="default" w:ascii="黑体" w:hAnsi="黑体" w:eastAsia="黑体" w:cs="黑体"/>
          <w:b/>
          <w:bCs/>
          <w:sz w:val="28"/>
          <w:szCs w:val="28"/>
        </w:rPr>
        <w:t>深圳市规划和自然资源局</w:t>
      </w:r>
      <w:r>
        <w:rPr>
          <w:rFonts w:hint="eastAsia" w:ascii="黑体" w:hAnsi="黑体" w:eastAsia="黑体" w:cs="黑体"/>
          <w:b/>
          <w:bCs/>
          <w:sz w:val="28"/>
          <w:szCs w:val="28"/>
        </w:rPr>
        <w:t>盐田管理局</w:t>
      </w:r>
      <w:r>
        <w:rPr>
          <w:rFonts w:ascii="黑体" w:hAnsi="黑体" w:eastAsia="黑体" w:cs="黑体"/>
          <w:b/>
          <w:bCs/>
          <w:sz w:val="28"/>
          <w:szCs w:val="28"/>
        </w:rPr>
        <w:t>2020</w:t>
      </w:r>
      <w:r>
        <w:rPr>
          <w:rFonts w:hint="eastAsia" w:ascii="黑体" w:hAnsi="黑体" w:eastAsia="黑体" w:cs="黑体"/>
          <w:b/>
          <w:bCs/>
          <w:sz w:val="28"/>
          <w:szCs w:val="28"/>
        </w:rPr>
        <w:t>年度部门决算表</w:t>
      </w:r>
    </w:p>
    <w:p>
      <w:pPr>
        <w:pStyle w:val="2"/>
        <w:numPr>
          <w:ilvl w:val="-1"/>
          <w:numId w:val="0"/>
        </w:numPr>
        <w:spacing w:before="0" w:after="0" w:line="360" w:lineRule="auto"/>
        <w:ind w:firstLine="0" w:firstLineChars="0"/>
        <w:rPr>
          <w:rFonts w:hint="eastAsia" w:ascii="宋体" w:hAnsi="宋体" w:eastAsia="宋体" w:cs="宋体"/>
          <w:sz w:val="16"/>
          <w:szCs w:val="16"/>
        </w:rPr>
      </w:pPr>
      <w:r>
        <w:drawing>
          <wp:inline distT="0" distB="0" distL="114300" distR="114300">
            <wp:extent cx="5638165" cy="5812790"/>
            <wp:effectExtent l="0" t="0" r="63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638165" cy="5812790"/>
                    </a:xfrm>
                    <a:prstGeom prst="rect">
                      <a:avLst/>
                    </a:prstGeom>
                    <a:noFill/>
                    <a:ln>
                      <a:noFill/>
                    </a:ln>
                  </pic:spPr>
                </pic:pic>
              </a:graphicData>
            </a:graphic>
          </wp:inline>
        </w:drawing>
      </w:r>
    </w:p>
    <w:p>
      <w:pPr>
        <w:ind w:firstLine="640" w:firstLineChars="200"/>
        <w:rPr>
          <w:rFonts w:ascii="仿宋_GB2312" w:hAnsi="宋体" w:eastAsia="仿宋_GB2312"/>
          <w:sz w:val="32"/>
          <w:szCs w:val="32"/>
        </w:rPr>
      </w:pPr>
    </w:p>
    <w:p>
      <w:pPr>
        <w:jc w:val="center"/>
        <w:rPr>
          <w:rFonts w:ascii="仿宋_GB2312" w:hAnsi="宋体" w:eastAsia="仿宋_GB2312" w:cs="仿宋_GB2312"/>
          <w:b/>
          <w:bCs/>
          <w:sz w:val="32"/>
          <w:szCs w:val="32"/>
        </w:rPr>
      </w:pPr>
    </w:p>
    <w:p>
      <w:pPr>
        <w:widowControl/>
        <w:jc w:val="left"/>
        <w:rPr>
          <w:rFonts w:ascii="仿宋_GB2312" w:hAnsi="宋体" w:eastAsia="仿宋_GB2312" w:cs="仿宋_GB2312"/>
          <w:b/>
          <w:bCs/>
          <w:sz w:val="32"/>
          <w:szCs w:val="32"/>
        </w:rPr>
      </w:pPr>
      <w:r>
        <w:rPr>
          <w:rFonts w:ascii="仿宋_GB2312" w:hAnsi="宋体" w:eastAsia="仿宋_GB2312" w:cs="仿宋_GB2312"/>
          <w:b/>
          <w:bCs/>
          <w:sz w:val="32"/>
          <w:szCs w:val="32"/>
        </w:rPr>
        <w:br w:type="page"/>
      </w:r>
    </w:p>
    <w:p>
      <w:pPr>
        <w:pStyle w:val="2"/>
        <w:spacing w:before="0" w:after="0" w:line="360" w:lineRule="auto"/>
        <w:ind w:firstLine="0" w:firstLineChars="0"/>
      </w:pPr>
    </w:p>
    <w:p>
      <w:pPr>
        <w:pStyle w:val="2"/>
        <w:spacing w:before="0" w:after="0" w:line="360" w:lineRule="auto"/>
        <w:ind w:firstLine="0" w:firstLineChars="0"/>
      </w:pPr>
    </w:p>
    <w:p>
      <w:pPr>
        <w:pStyle w:val="2"/>
        <w:spacing w:before="0" w:after="0" w:line="360" w:lineRule="auto"/>
        <w:ind w:firstLine="0" w:firstLineChars="0"/>
        <w:rPr>
          <w:rFonts w:hint="eastAsia" w:ascii="黑体" w:hAnsi="黑体" w:eastAsia="黑体" w:cs="黑体"/>
          <w:sz w:val="28"/>
          <w:szCs w:val="28"/>
        </w:rPr>
      </w:pPr>
      <w:r>
        <w:drawing>
          <wp:inline distT="0" distB="0" distL="114300" distR="114300">
            <wp:extent cx="5722620" cy="5894070"/>
            <wp:effectExtent l="0" t="0" r="11430" b="1143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722620" cy="5894070"/>
                    </a:xfrm>
                    <a:prstGeom prst="rect">
                      <a:avLst/>
                    </a:prstGeom>
                    <a:noFill/>
                    <a:ln>
                      <a:noFill/>
                    </a:ln>
                  </pic:spPr>
                </pic:pic>
              </a:graphicData>
            </a:graphic>
          </wp:inline>
        </w:drawing>
      </w: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r>
        <w:drawing>
          <wp:inline distT="0" distB="0" distL="114300" distR="114300">
            <wp:extent cx="5864860" cy="5454015"/>
            <wp:effectExtent l="0" t="0" r="2540" b="133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864860" cy="5454015"/>
                    </a:xfrm>
                    <a:prstGeom prst="rect">
                      <a:avLst/>
                    </a:prstGeom>
                    <a:noFill/>
                    <a:ln>
                      <a:noFill/>
                    </a:ln>
                  </pic:spPr>
                </pic:pic>
              </a:graphicData>
            </a:graphic>
          </wp:inline>
        </w:drawing>
      </w: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r>
        <w:drawing>
          <wp:inline distT="0" distB="0" distL="114300" distR="114300">
            <wp:extent cx="5735955" cy="6002655"/>
            <wp:effectExtent l="0" t="0" r="17145" b="171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5735955" cy="6002655"/>
                    </a:xfrm>
                    <a:prstGeom prst="rect">
                      <a:avLst/>
                    </a:prstGeom>
                    <a:noFill/>
                    <a:ln>
                      <a:noFill/>
                    </a:ln>
                  </pic:spPr>
                </pic:pic>
              </a:graphicData>
            </a:graphic>
          </wp:inline>
        </w:drawing>
      </w: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420" w:firstLineChars="200"/>
        <w:rPr>
          <w:rFonts w:hint="eastAsia" w:ascii="黑体" w:hAnsi="黑体" w:eastAsia="黑体" w:cs="黑体"/>
          <w:sz w:val="28"/>
          <w:szCs w:val="28"/>
        </w:rPr>
      </w:pPr>
      <w:r>
        <w:drawing>
          <wp:inline distT="0" distB="0" distL="114300" distR="114300">
            <wp:extent cx="5440680" cy="5198110"/>
            <wp:effectExtent l="0" t="0" r="762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440680" cy="5198110"/>
                    </a:xfrm>
                    <a:prstGeom prst="rect">
                      <a:avLst/>
                    </a:prstGeom>
                    <a:noFill/>
                    <a:ln>
                      <a:noFill/>
                    </a:ln>
                  </pic:spPr>
                </pic:pic>
              </a:graphicData>
            </a:graphic>
          </wp:inline>
        </w:drawing>
      </w: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ind w:firstLine="420" w:firstLineChars="200"/>
      </w:pPr>
      <w:r>
        <w:drawing>
          <wp:inline distT="0" distB="0" distL="114300" distR="114300">
            <wp:extent cx="5547360" cy="4472940"/>
            <wp:effectExtent l="0" t="0" r="1524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547360" cy="4472940"/>
                    </a:xfrm>
                    <a:prstGeom prst="rect">
                      <a:avLst/>
                    </a:prstGeom>
                    <a:noFill/>
                    <a:ln>
                      <a:noFill/>
                    </a:ln>
                  </pic:spPr>
                </pic:pic>
              </a:graphicData>
            </a:graphic>
          </wp:inline>
        </w:drawing>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rPr>
          <w:rFonts w:hint="eastAsia"/>
        </w:rPr>
      </w:pPr>
    </w:p>
    <w:p>
      <w:pPr>
        <w:ind w:firstLine="560" w:firstLineChars="200"/>
        <w:rPr>
          <w:rFonts w:hint="eastAsia" w:ascii="黑体" w:hAnsi="黑体" w:eastAsia="黑体" w:cs="黑体"/>
          <w:sz w:val="28"/>
          <w:szCs w:val="28"/>
        </w:rPr>
      </w:pPr>
    </w:p>
    <w:p>
      <w:pPr>
        <w:ind w:firstLine="420" w:firstLineChars="200"/>
        <w:rPr>
          <w:rFonts w:hint="eastAsia" w:ascii="黑体" w:hAnsi="黑体" w:eastAsia="黑体" w:cs="黑体"/>
          <w:sz w:val="28"/>
          <w:szCs w:val="28"/>
        </w:rPr>
      </w:pPr>
      <w:r>
        <w:drawing>
          <wp:inline distT="0" distB="0" distL="114300" distR="114300">
            <wp:extent cx="5515610" cy="1162685"/>
            <wp:effectExtent l="0" t="0" r="8890" b="184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515610" cy="1162685"/>
                    </a:xfrm>
                    <a:prstGeom prst="rect">
                      <a:avLst/>
                    </a:prstGeom>
                    <a:noFill/>
                    <a:ln>
                      <a:noFill/>
                    </a:ln>
                  </pic:spPr>
                </pic:pic>
              </a:graphicData>
            </a:graphic>
          </wp:inline>
        </w:drawing>
      </w: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560" w:firstLineChars="200"/>
        <w:rPr>
          <w:rFonts w:hint="eastAsia" w:ascii="黑体" w:hAnsi="黑体" w:eastAsia="黑体" w:cs="黑体"/>
          <w:sz w:val="28"/>
          <w:szCs w:val="28"/>
        </w:rPr>
      </w:pPr>
    </w:p>
    <w:p>
      <w:pPr>
        <w:ind w:firstLine="420" w:firstLineChars="200"/>
      </w:pPr>
      <w:r>
        <w:drawing>
          <wp:inline distT="0" distB="0" distL="114300" distR="114300">
            <wp:extent cx="5624195" cy="2025650"/>
            <wp:effectExtent l="0" t="0" r="14605" b="1270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624195" cy="2025650"/>
                    </a:xfrm>
                    <a:prstGeom prst="rect">
                      <a:avLst/>
                    </a:prstGeom>
                    <a:noFill/>
                    <a:ln>
                      <a:noFill/>
                    </a:ln>
                  </pic:spPr>
                </pic:pic>
              </a:graphicData>
            </a:graphic>
          </wp:inline>
        </w:drawing>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rPr>
          <w:rFonts w:hint="eastAsia"/>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r>
        <w:drawing>
          <wp:inline distT="0" distB="0" distL="114300" distR="114300">
            <wp:extent cx="4742815" cy="1900555"/>
            <wp:effectExtent l="0" t="0" r="635"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4742815" cy="1900555"/>
                    </a:xfrm>
                    <a:prstGeom prst="rect">
                      <a:avLst/>
                    </a:prstGeom>
                    <a:noFill/>
                    <a:ln>
                      <a:noFill/>
                    </a:ln>
                  </pic:spPr>
                </pic:pic>
              </a:graphicData>
            </a:graphic>
          </wp:inline>
        </w:drawing>
      </w: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hint="eastAsia" w:ascii="黑体" w:hAnsi="黑体" w:eastAsia="黑体" w:cs="黑体"/>
          <w:sz w:val="28"/>
          <w:szCs w:val="28"/>
        </w:rPr>
      </w:pPr>
    </w:p>
    <w:p>
      <w:pPr>
        <w:pStyle w:val="2"/>
        <w:spacing w:before="0" w:after="0" w:line="360" w:lineRule="auto"/>
        <w:ind w:firstLine="0" w:firstLineChars="0"/>
        <w:rPr>
          <w:rFonts w:ascii="黑体" w:hAnsi="黑体" w:eastAsia="黑体" w:cs="黑体"/>
          <w:sz w:val="28"/>
          <w:szCs w:val="28"/>
        </w:rPr>
      </w:pPr>
      <w:r>
        <w:rPr>
          <w:rFonts w:hint="eastAsia" w:ascii="黑体" w:hAnsi="黑体" w:eastAsia="黑体" w:cs="黑体"/>
          <w:sz w:val="28"/>
          <w:szCs w:val="28"/>
        </w:rPr>
        <w:t>三、</w:t>
      </w:r>
      <w:r>
        <w:rPr>
          <w:rFonts w:hint="default" w:ascii="黑体" w:hAnsi="黑体" w:eastAsia="黑体" w:cs="黑体"/>
          <w:sz w:val="28"/>
          <w:szCs w:val="28"/>
        </w:rPr>
        <w:t>深圳市规划和自然资源局</w:t>
      </w:r>
      <w:r>
        <w:rPr>
          <w:rFonts w:hint="eastAsia" w:ascii="黑体" w:hAnsi="黑体" w:eastAsia="黑体" w:cs="黑体"/>
          <w:sz w:val="28"/>
          <w:szCs w:val="28"/>
        </w:rPr>
        <w:t>盐田管理局</w:t>
      </w:r>
      <w:r>
        <w:rPr>
          <w:rFonts w:ascii="黑体" w:hAnsi="黑体" w:eastAsia="黑体" w:cs="黑体"/>
          <w:sz w:val="28"/>
          <w:szCs w:val="28"/>
        </w:rPr>
        <w:t>2020</w:t>
      </w:r>
      <w:r>
        <w:rPr>
          <w:rFonts w:hint="eastAsia" w:ascii="黑体" w:hAnsi="黑体" w:eastAsia="黑体" w:cs="黑体"/>
          <w:sz w:val="28"/>
          <w:szCs w:val="28"/>
        </w:rPr>
        <w:t>年度部门决算情况说明</w:t>
      </w:r>
    </w:p>
    <w:p>
      <w:pPr>
        <w:pStyle w:val="3"/>
        <w:numPr>
          <w:ilvl w:val="-1"/>
          <w:numId w:val="0"/>
        </w:numPr>
        <w:spacing w:before="0" w:after="0" w:line="360" w:lineRule="auto"/>
        <w:ind w:left="0" w:firstLine="0"/>
        <w:rPr>
          <w:rFonts w:hint="default" w:ascii="黑体" w:hAnsi="黑体" w:eastAsia="黑体" w:cs="黑体"/>
          <w:b/>
          <w:bCs/>
          <w:sz w:val="28"/>
          <w:szCs w:val="28"/>
        </w:rPr>
      </w:pPr>
      <w:r>
        <w:rPr>
          <w:rFonts w:hint="eastAsia" w:ascii="黑体" w:hAnsi="黑体" w:eastAsia="黑体" w:cs="黑体"/>
          <w:sz w:val="28"/>
          <w:szCs w:val="28"/>
        </w:rPr>
        <w:t>（一）</w:t>
      </w:r>
      <w:r>
        <w:rPr>
          <w:rFonts w:hint="eastAsia" w:ascii="黑体" w:hAnsi="黑体" w:eastAsia="黑体" w:cs="黑体"/>
          <w:sz w:val="28"/>
          <w:szCs w:val="28"/>
          <w:lang w:val="en-US" w:eastAsia="zh-CN"/>
        </w:rPr>
        <w:t>财政拨款收入支出决算总体情况说明</w:t>
      </w:r>
    </w:p>
    <w:p>
      <w:pPr>
        <w:ind w:firstLine="640" w:firstLineChars="200"/>
        <w:rPr>
          <w:rFonts w:hint="eastAsia" w:ascii="仿宋_GB2312" w:eastAsia="仿宋_GB2312" w:cs="仿宋_GB2312"/>
          <w:sz w:val="32"/>
          <w:szCs w:val="32"/>
          <w:lang w:val="en-US" w:eastAsia="zh-CN"/>
        </w:rPr>
      </w:pPr>
      <w:r>
        <w:rPr>
          <w:rFonts w:hint="eastAsia" w:ascii="仿宋_GB2312" w:hAnsi="Times New Roman" w:eastAsia="仿宋_GB2312" w:cs="仿宋_GB2312"/>
          <w:sz w:val="32"/>
          <w:szCs w:val="32"/>
        </w:rPr>
        <w:t>2020年决算总收入为5619.06万元，其中本年收入5421.76万元，年初结转和结余197.3万元;2020年决算总支出为5619.06万元，其中本年支出5421.76万元，年初结转和结余197.3万元。</w:t>
      </w:r>
      <w:r>
        <w:rPr>
          <w:rFonts w:hint="eastAsia" w:ascii="仿宋_GB2312" w:eastAsia="仿宋_GB2312" w:cs="仿宋_GB2312"/>
          <w:sz w:val="32"/>
          <w:szCs w:val="32"/>
          <w:lang w:val="en-US" w:eastAsia="zh-CN"/>
        </w:rPr>
        <w:t>与2019年结算数相比，收支增加了1248.57万元，增长了30%，主要原因是项目支出增加了1313.14万，其中城乡社区支出增加213.31万元，农林水支出增加708.62万元，自然资源海洋气象支出增加671.43万元，增加30%，灾害防治支出增加91.64万元，主要是由于农林水支出、自然资源海洋气象、测绘地籍类、灾害防治支出等2019年区经费拨款填报口径为同级财政拨款收入，2020年区经费填报口径为非同级财政拨款收入及商品和服务费用导致。</w:t>
      </w:r>
    </w:p>
    <w:p>
      <w:pPr>
        <w:pStyle w:val="3"/>
        <w:snapToGrid w:val="0"/>
        <w:spacing w:before="0" w:after="0" w:line="360" w:lineRule="auto"/>
        <w:ind w:firstLine="0" w:firstLineChars="0"/>
        <w:rPr>
          <w:rFonts w:hint="eastAsia" w:ascii="黑体" w:hAnsi="黑体" w:eastAsia="黑体" w:cs="黑体"/>
          <w:sz w:val="28"/>
          <w:szCs w:val="28"/>
        </w:rPr>
      </w:pPr>
      <w:r>
        <w:rPr>
          <w:rFonts w:hint="eastAsia" w:ascii="黑体" w:hAnsi="黑体" w:eastAsia="黑体" w:cs="黑体"/>
          <w:sz w:val="28"/>
          <w:szCs w:val="28"/>
        </w:rPr>
        <w:t>（二）收入决算情况说明</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2020年度决算总收入为5421.76万</w:t>
      </w:r>
      <w:r>
        <w:rPr>
          <w:rFonts w:hint="eastAsia" w:ascii="仿宋_GB2312" w:hAnsi="仿宋" w:eastAsia="仿宋_GB2312"/>
          <w:sz w:val="32"/>
          <w:szCs w:val="32"/>
          <w:lang w:val="en-US" w:eastAsia="zh-CN"/>
        </w:rPr>
        <w:t>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其中财政拨款收入为5421.76万元，占比100%，其中一般公共预算财政拨款为5177.26万元，占比95.49%，政府性基金预算拨款244.5万元，占比4.51%，</w:t>
      </w:r>
      <w:r>
        <w:rPr>
          <w:rFonts w:hint="eastAsia" w:ascii="仿宋_GB2312" w:hAnsi="仿宋" w:eastAsia="仿宋_GB2312"/>
          <w:sz w:val="32"/>
          <w:szCs w:val="32"/>
        </w:rPr>
        <w:t>与去年4173.19万元相比增加</w:t>
      </w:r>
      <w:r>
        <w:rPr>
          <w:rFonts w:hint="eastAsia" w:ascii="仿宋_GB2312" w:hAnsi="仿宋" w:eastAsia="仿宋_GB2312"/>
          <w:sz w:val="32"/>
          <w:szCs w:val="32"/>
          <w:lang w:val="en-US" w:eastAsia="zh-CN"/>
        </w:rPr>
        <w:t>1248.57万元，主要原因与（一）相同。</w:t>
      </w:r>
    </w:p>
    <w:p>
      <w:pPr>
        <w:snapToGrid w:val="0"/>
        <w:spacing w:line="520" w:lineRule="exact"/>
        <w:ind w:firstLine="0" w:firstLineChars="0"/>
        <w:rPr>
          <w:rFonts w:hint="default" w:ascii="仿宋_GB2312" w:hAnsi="仿宋" w:eastAsia="仿宋_GB2312"/>
          <w:sz w:val="32"/>
          <w:szCs w:val="32"/>
          <w:lang w:val="en-US" w:eastAsia="zh-CN"/>
        </w:rPr>
      </w:pPr>
    </w:p>
    <w:p>
      <w:pPr>
        <w:pStyle w:val="3"/>
        <w:snapToGrid w:val="0"/>
        <w:spacing w:before="0" w:after="0" w:line="360" w:lineRule="auto"/>
        <w:ind w:firstLine="0" w:firstLineChars="0"/>
        <w:rPr>
          <w:rFonts w:hint="eastAsia" w:ascii="黑体" w:hAnsi="黑体" w:eastAsia="黑体" w:cs="黑体"/>
          <w:sz w:val="28"/>
          <w:szCs w:val="28"/>
        </w:rPr>
      </w:pPr>
      <w:r>
        <w:rPr>
          <w:rFonts w:hint="eastAsia" w:ascii="黑体" w:hAnsi="黑体" w:eastAsia="黑体" w:cs="黑体"/>
          <w:sz w:val="28"/>
          <w:szCs w:val="28"/>
        </w:rPr>
        <w:t>（三）支出决算情况说明</w:t>
      </w:r>
    </w:p>
    <w:p>
      <w:pPr>
        <w:snapToGrid w:val="0"/>
        <w:spacing w:line="360" w:lineRule="auto"/>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2020年决算支出5421.76万元，其中基本支出2348.99万元，占比43%，项目支出3072.77万元，项目支出占比57%。与2020年初预算5171万元相比增加了250.76万元，主要原因同（一）。</w:t>
      </w:r>
    </w:p>
    <w:p>
      <w:pPr>
        <w:pStyle w:val="3"/>
        <w:numPr>
          <w:ilvl w:val="0"/>
          <w:numId w:val="1"/>
        </w:numPr>
        <w:snapToGrid w:val="0"/>
        <w:spacing w:before="0" w:after="0" w:line="360" w:lineRule="auto"/>
        <w:ind w:left="-560" w:firstLine="562" w:firstLineChars="200"/>
        <w:rPr>
          <w:rFonts w:hint="default"/>
          <w:lang w:val="en-US" w:eastAsia="zh-CN"/>
        </w:rPr>
      </w:pPr>
      <w:r>
        <w:rPr>
          <w:rFonts w:hint="eastAsia" w:ascii="黑体" w:hAnsi="黑体" w:eastAsia="黑体" w:cs="黑体"/>
          <w:sz w:val="28"/>
          <w:szCs w:val="28"/>
          <w:lang w:val="en-US" w:eastAsia="zh-CN"/>
        </w:rPr>
        <w:t>财政拨款收入支出决算总体情况说明</w:t>
      </w:r>
    </w:p>
    <w:p>
      <w:pPr>
        <w:pStyle w:val="3"/>
        <w:numPr>
          <w:ilvl w:val="-1"/>
          <w:numId w:val="0"/>
        </w:numPr>
        <w:snapToGrid w:val="0"/>
        <w:spacing w:before="0" w:after="0" w:line="360" w:lineRule="auto"/>
        <w:ind w:left="0" w:firstLine="640" w:firstLineChars="200"/>
        <w:rPr>
          <w:rFonts w:hint="default"/>
          <w:lang w:val="en-US" w:eastAsia="zh-CN"/>
        </w:rPr>
      </w:pPr>
      <w:r>
        <w:rPr>
          <w:rFonts w:hint="eastAsia" w:ascii="仿宋_GB2312" w:hAnsi="仿宋" w:eastAsia="仿宋_GB2312" w:cs="Times New Roman"/>
          <w:b w:val="0"/>
          <w:bCs w:val="0"/>
          <w:lang w:val="en-US" w:eastAsia="zh-CN"/>
        </w:rPr>
        <w:t xml:space="preserve"> 2020年财政拨款收入5421.76万元，其中一般公共预算拨款收入5177.26万元，政府性基金拨款收入为244.5万元，财政拨款支出5421.76万元，比年初预算5171万元相比增加了250.76万元，增长了4.85%，主要原因是社会保障和就业支出比预算增加了208万，原因：一是年初测算在职人员社保是根据预算时点的社保情况预估，后因社保基数调整，相应调增社保费用;二是退休人员经费预估亦根据预算时点数据，实际支出时调增了退休人员的经费。</w:t>
      </w:r>
    </w:p>
    <w:p>
      <w:pPr>
        <w:pStyle w:val="3"/>
        <w:numPr>
          <w:ilvl w:val="0"/>
          <w:numId w:val="1"/>
        </w:numPr>
        <w:snapToGrid w:val="0"/>
        <w:spacing w:before="0" w:after="0" w:line="360" w:lineRule="auto"/>
        <w:ind w:left="-560" w:firstLine="560"/>
        <w:rPr>
          <w:rFonts w:hint="eastAsia" w:ascii="黑体" w:hAnsi="黑体" w:eastAsia="黑体" w:cs="黑体"/>
          <w:b/>
          <w:bCs/>
          <w:i w:val="0"/>
          <w:iCs w:val="0"/>
          <w:sz w:val="28"/>
          <w:szCs w:val="28"/>
        </w:rPr>
      </w:pPr>
      <w:r>
        <w:rPr>
          <w:rFonts w:hint="eastAsia" w:ascii="黑体" w:hAnsi="黑体" w:eastAsia="黑体" w:cs="黑体"/>
          <w:b/>
          <w:bCs/>
          <w:i w:val="0"/>
          <w:iCs w:val="0"/>
          <w:sz w:val="28"/>
          <w:szCs w:val="28"/>
          <w:lang w:val="en-US" w:eastAsia="zh-CN"/>
        </w:rPr>
        <w:t>一般公共预算财政拨款支出决算情况说明</w:t>
      </w:r>
    </w:p>
    <w:p>
      <w:pPr>
        <w:spacing w:line="360" w:lineRule="auto"/>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2020年度财政拨款收入支出5177.26万元，与年初预算数5064万元相比，增加113.26万元，主要是由于生态公益效益补偿金按预算要求未列入年初预算，共计103.3万元，渔业成品油价格改革补贴结转按要求未列入年初预算，共计9.94万元。</w:t>
      </w:r>
    </w:p>
    <w:p>
      <w:pPr>
        <w:pStyle w:val="3"/>
        <w:spacing w:before="0" w:after="0" w:line="360" w:lineRule="auto"/>
        <w:ind w:firstLine="0" w:firstLineChars="0"/>
        <w:rPr>
          <w:rFonts w:hint="default" w:ascii="黑体" w:hAnsi="黑体" w:eastAsia="黑体" w:cs="黑体"/>
          <w:sz w:val="28"/>
          <w:szCs w:val="28"/>
          <w:lang w:val="en-US" w:eastAsia="zh-CN"/>
        </w:rPr>
      </w:pPr>
      <w:r>
        <w:rPr>
          <w:rFonts w:hint="eastAsia" w:ascii="黑体" w:hAnsi="黑体" w:eastAsia="黑体" w:cs="黑体"/>
          <w:sz w:val="28"/>
          <w:szCs w:val="28"/>
        </w:rPr>
        <w:t>（六）</w:t>
      </w:r>
      <w:r>
        <w:rPr>
          <w:rFonts w:hint="eastAsia" w:ascii="黑体" w:hAnsi="黑体" w:eastAsia="黑体" w:cs="黑体"/>
          <w:sz w:val="28"/>
          <w:szCs w:val="28"/>
          <w:lang w:val="en-US" w:eastAsia="zh-CN"/>
        </w:rPr>
        <w:t>一</w:t>
      </w:r>
      <w:r>
        <w:rPr>
          <w:rFonts w:hint="eastAsia" w:ascii="黑体" w:hAnsi="黑体" w:eastAsia="黑体" w:cs="黑体"/>
          <w:b/>
          <w:bCs/>
          <w:i w:val="0"/>
          <w:iCs w:val="0"/>
          <w:sz w:val="28"/>
          <w:szCs w:val="28"/>
          <w:lang w:val="en-US" w:eastAsia="zh-CN"/>
        </w:rPr>
        <w:t>般公共预算财政拨款基本支出决算情况说明</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2020年度</w:t>
      </w:r>
      <w:r>
        <w:rPr>
          <w:rFonts w:hint="eastAsia" w:ascii="仿宋_GB2312" w:hAnsi="宋体" w:eastAsia="仿宋_GB2312" w:cs="仿宋_GB2312"/>
          <w:sz w:val="32"/>
          <w:szCs w:val="32"/>
          <w:lang w:val="en-US" w:eastAsia="zh-CN"/>
        </w:rPr>
        <w:t>一般公共预算基本支出2348.99万元，与2019年2413.57万元相比减少64.58万元，主要为人员经费相比2019年减少116.76万元，公用经费增加52.18万元。公用经费</w:t>
      </w:r>
      <w:r>
        <w:rPr>
          <w:rFonts w:hint="eastAsia" w:ascii="仿宋_GB2312" w:hAnsi="宋体" w:eastAsia="仿宋_GB2312" w:cs="仿宋_GB2312"/>
          <w:b w:val="0"/>
          <w:bCs w:val="0"/>
          <w:i w:val="0"/>
          <w:iCs w:val="0"/>
          <w:sz w:val="32"/>
          <w:szCs w:val="32"/>
          <w:lang w:val="en-US" w:eastAsia="zh-CN"/>
        </w:rPr>
        <w:t>增加</w:t>
      </w:r>
      <w:r>
        <w:rPr>
          <w:rFonts w:hint="eastAsia" w:ascii="仿宋_GB2312" w:hAnsi="宋体" w:eastAsia="仿宋_GB2312" w:cs="仿宋_GB2312"/>
          <w:sz w:val="32"/>
          <w:szCs w:val="32"/>
          <w:lang w:val="en-US" w:eastAsia="zh-CN"/>
        </w:rPr>
        <w:t>主要是由于2020年公用经费定额标准调增，2020年公用支出预算相应增加；所以公用经费增加，但对</w:t>
      </w:r>
      <w:r>
        <w:rPr>
          <w:rFonts w:hint="eastAsia" w:ascii="仿宋_GB2312" w:hAnsi="宋体" w:eastAsia="仿宋_GB2312" w:cs="仿宋_GB2312"/>
          <w:b w:val="0"/>
          <w:bCs w:val="0"/>
          <w:i w:val="0"/>
          <w:iCs w:val="0"/>
          <w:sz w:val="32"/>
          <w:szCs w:val="32"/>
          <w:lang w:val="en-US" w:eastAsia="zh-CN"/>
        </w:rPr>
        <w:t>比年初预算减少132.8万元，减少了26%。</w:t>
      </w:r>
      <w:r>
        <w:rPr>
          <w:rFonts w:hint="eastAsia" w:ascii="仿宋_GB2312" w:hAnsi="宋体" w:eastAsia="仿宋_GB2312" w:cs="仿宋_GB2312"/>
          <w:sz w:val="32"/>
          <w:szCs w:val="32"/>
          <w:lang w:val="en-US" w:eastAsia="zh-CN"/>
        </w:rPr>
        <w:t>人员经费1967.79万元，包括基本工资、津贴补贴、奖金、住房公积金、退休费等;公用经费381.20万元，包括办公费、水电费、邮电费、物业管理费、培训费、工会经费等。</w:t>
      </w:r>
    </w:p>
    <w:p>
      <w:pPr>
        <w:numPr>
          <w:ilvl w:val="-1"/>
          <w:numId w:val="0"/>
        </w:numPr>
        <w:ind w:left="0" w:firstLine="0" w:firstLineChars="0"/>
        <w:rPr>
          <w:rFonts w:hint="eastAsia" w:ascii="黑体" w:hAnsi="黑体" w:eastAsia="黑体" w:cs="黑体"/>
          <w:b/>
          <w:bCs/>
          <w:i/>
          <w:iCs/>
          <w:sz w:val="28"/>
          <w:szCs w:val="28"/>
        </w:rPr>
      </w:pPr>
      <w:r>
        <w:rPr>
          <w:rFonts w:hint="eastAsia" w:ascii="黑体" w:hAnsi="黑体" w:eastAsia="黑体" w:cs="黑体"/>
          <w:b/>
          <w:bCs/>
          <w:sz w:val="28"/>
          <w:szCs w:val="28"/>
          <w:lang w:val="en-US" w:eastAsia="zh-CN"/>
        </w:rPr>
        <w:t>（七）一般公共预算财政拨款“三公”经费支出决算情况说明</w:t>
      </w:r>
    </w:p>
    <w:p>
      <w:pPr>
        <w:numPr>
          <w:ilvl w:val="-1"/>
          <w:numId w:val="0"/>
        </w:numPr>
        <w:ind w:firstLine="320" w:firstLineChars="100"/>
        <w:rPr>
          <w:rFonts w:hint="eastAsia" w:ascii="仿宋" w:hAnsi="仿宋" w:eastAsia="仿宋" w:cs="仿宋"/>
          <w:i w:val="0"/>
          <w:iCs w:val="0"/>
          <w:sz w:val="32"/>
          <w:szCs w:val="32"/>
        </w:rPr>
      </w:pPr>
      <w:r>
        <w:rPr>
          <w:rFonts w:hint="eastAsia" w:ascii="仿宋" w:hAnsi="仿宋" w:eastAsia="仿宋" w:cs="仿宋"/>
          <w:i w:val="0"/>
          <w:iCs w:val="0"/>
          <w:sz w:val="32"/>
          <w:szCs w:val="32"/>
          <w:lang w:val="en-US" w:eastAsia="zh-CN"/>
        </w:rPr>
        <w:t>1.</w:t>
      </w:r>
      <w:r>
        <w:rPr>
          <w:rFonts w:hint="eastAsia" w:ascii="仿宋" w:hAnsi="仿宋" w:eastAsia="仿宋" w:cs="仿宋"/>
          <w:i w:val="0"/>
          <w:iCs w:val="0"/>
          <w:sz w:val="32"/>
          <w:szCs w:val="32"/>
        </w:rPr>
        <w:t>“三公”经费财政拨款支出决算总体情况说明。</w:t>
      </w:r>
    </w:p>
    <w:p>
      <w:pPr>
        <w:numPr>
          <w:ilvl w:val="-1"/>
          <w:numId w:val="0"/>
        </w:numPr>
        <w:ind w:firstLine="0" w:firstLineChars="0"/>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 xml:space="preserve">   “三公”经费全年预算数12万元，支出总额5.86万元，与预算数相比减少6.14万元，与上年决算数8.34万元相比，减少29.74%，主要原因是根据公务车管理相关规定，我局进一步加强了公务车管理，厉行节约，加油费减少，公务用车运行维护费减少。</w:t>
      </w:r>
    </w:p>
    <w:p>
      <w:pPr>
        <w:numPr>
          <w:ilvl w:val="-1"/>
          <w:numId w:val="0"/>
        </w:numPr>
        <w:ind w:firstLine="320" w:firstLineChars="100"/>
        <w:rPr>
          <w:rFonts w:hint="eastAsia" w:ascii="仿宋" w:hAnsi="仿宋" w:eastAsia="仿宋" w:cs="仿宋"/>
          <w:i w:val="0"/>
          <w:iCs w:val="0"/>
          <w:sz w:val="32"/>
          <w:szCs w:val="32"/>
        </w:rPr>
      </w:pPr>
      <w:r>
        <w:rPr>
          <w:rFonts w:hint="eastAsia" w:ascii="仿宋" w:hAnsi="仿宋" w:eastAsia="仿宋" w:cs="仿宋"/>
          <w:i w:val="0"/>
          <w:iCs w:val="0"/>
          <w:sz w:val="32"/>
          <w:szCs w:val="32"/>
          <w:lang w:val="en-US" w:eastAsia="zh-CN"/>
        </w:rPr>
        <w:t>2.</w:t>
      </w:r>
      <w:r>
        <w:rPr>
          <w:rFonts w:hint="eastAsia" w:ascii="仿宋" w:hAnsi="仿宋" w:eastAsia="仿宋" w:cs="仿宋"/>
          <w:i w:val="0"/>
          <w:iCs w:val="0"/>
          <w:sz w:val="32"/>
          <w:szCs w:val="32"/>
        </w:rPr>
        <w:t>“三公”经费财政拨款支出决算具体情况说明。</w:t>
      </w:r>
    </w:p>
    <w:p>
      <w:pPr>
        <w:numPr>
          <w:ilvl w:val="0"/>
          <w:numId w:val="2"/>
        </w:numPr>
        <w:ind w:firstLine="0" w:firstLineChars="0"/>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因公出国（境）费</w:t>
      </w:r>
    </w:p>
    <w:p>
      <w:pPr>
        <w:numPr>
          <w:ilvl w:val="-1"/>
          <w:numId w:val="0"/>
        </w:numPr>
        <w:ind w:firstLine="640" w:firstLineChars="200"/>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因公出国（境）费决算数为0万元，预算数为0元，与上年对比无增减变动，我局深刻践行疫情防控和三公经费标准，严控出国（境）费用。</w:t>
      </w:r>
    </w:p>
    <w:p>
      <w:pPr>
        <w:numPr>
          <w:ilvl w:val="0"/>
          <w:numId w:val="2"/>
        </w:numPr>
        <w:ind w:firstLine="0" w:firstLineChars="0"/>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公务接待费</w:t>
      </w:r>
    </w:p>
    <w:p>
      <w:pPr>
        <w:numPr>
          <w:ilvl w:val="-1"/>
          <w:numId w:val="0"/>
        </w:numPr>
        <w:ind w:firstLine="0" w:firstLineChars="0"/>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 xml:space="preserve">    公务接待费支出决算数为0万元，完成全年预算数2万元的0%，上年支出0万元，原因是进一步贯彻落实中央、省、市关于厉行节约、反对铺张浪费的要求，故无相关费用。</w:t>
      </w:r>
    </w:p>
    <w:p>
      <w:pPr>
        <w:numPr>
          <w:ilvl w:val="0"/>
          <w:numId w:val="2"/>
        </w:numPr>
        <w:ind w:firstLine="0" w:firstLineChars="0"/>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公务用车购置及运行维护费</w:t>
      </w:r>
    </w:p>
    <w:p>
      <w:pPr>
        <w:numPr>
          <w:ilvl w:val="-1"/>
          <w:numId w:val="0"/>
        </w:numPr>
        <w:ind w:firstLine="640" w:firstLineChars="200"/>
        <w:rPr>
          <w:rFonts w:hint="eastAsia" w:ascii="仿宋" w:hAnsi="仿宋" w:eastAsia="仿宋" w:cs="仿宋"/>
          <w:i w:val="0"/>
          <w:iCs w:val="0"/>
          <w:sz w:val="32"/>
          <w:szCs w:val="32"/>
        </w:rPr>
      </w:pPr>
      <w:r>
        <w:rPr>
          <w:rFonts w:hint="eastAsia" w:ascii="仿宋" w:hAnsi="仿宋" w:eastAsia="仿宋" w:cs="仿宋"/>
          <w:i w:val="0"/>
          <w:iCs w:val="0"/>
          <w:sz w:val="32"/>
          <w:szCs w:val="32"/>
          <w:lang w:val="en-US" w:eastAsia="zh-CN"/>
        </w:rPr>
        <w:t>我局2020年公务用车购置及运行费预算为12万元，决算为5.86万元，减少了6.14万元，减少了51.17%，上年支出数8.34万元，与上年对比减少了2.48万元，主要是由于我局加强公务用车管理，减少公车出行 ，厉行节俭。</w:t>
      </w:r>
      <w:r>
        <w:rPr>
          <w:rFonts w:hint="eastAsia" w:ascii="仿宋" w:hAnsi="仿宋" w:eastAsia="仿宋" w:cs="仿宋"/>
          <w:i w:val="0"/>
          <w:iCs w:val="0"/>
          <w:sz w:val="32"/>
          <w:szCs w:val="32"/>
        </w:rPr>
        <w:t xml:space="preserve">  </w:t>
      </w:r>
    </w:p>
    <w:p>
      <w:pPr>
        <w:numPr>
          <w:ilvl w:val="-1"/>
          <w:numId w:val="0"/>
        </w:numPr>
        <w:ind w:firstLine="640" w:firstLineChars="200"/>
        <w:rPr>
          <w:rFonts w:hint="default"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其中公务用车购置费预算数0万元，决算数0万元，减少了0万元，上年支出数0万元，与上年对比减少0万元，与上年对比无变动。我局当年公务用车购置数为0辆，公务用车保有量为7</w:t>
      </w:r>
      <w:bookmarkStart w:id="0" w:name="_GoBack"/>
      <w:bookmarkEnd w:id="0"/>
      <w:r>
        <w:rPr>
          <w:rFonts w:hint="eastAsia" w:ascii="仿宋" w:hAnsi="仿宋" w:eastAsia="仿宋" w:cs="仿宋"/>
          <w:i w:val="0"/>
          <w:iCs w:val="0"/>
          <w:sz w:val="32"/>
          <w:szCs w:val="32"/>
          <w:lang w:val="en-US" w:eastAsia="zh-CN"/>
        </w:rPr>
        <w:t>辆。</w:t>
      </w:r>
    </w:p>
    <w:p>
      <w:pPr>
        <w:numPr>
          <w:ilvl w:val="-1"/>
          <w:numId w:val="0"/>
        </w:numPr>
        <w:ind w:firstLine="640" w:firstLineChars="200"/>
        <w:rPr>
          <w:rFonts w:hint="eastAsia" w:ascii="仿宋" w:hAnsi="仿宋" w:eastAsia="仿宋" w:cs="仿宋"/>
          <w:i w:val="0"/>
          <w:iCs w:val="0"/>
          <w:sz w:val="32"/>
          <w:szCs w:val="32"/>
        </w:rPr>
      </w:pPr>
      <w:r>
        <w:rPr>
          <w:rFonts w:hint="eastAsia" w:ascii="仿宋" w:hAnsi="仿宋" w:eastAsia="仿宋" w:cs="仿宋"/>
          <w:i w:val="0"/>
          <w:iCs w:val="0"/>
          <w:sz w:val="32"/>
          <w:szCs w:val="32"/>
          <w:lang w:val="en-US" w:eastAsia="zh-CN"/>
        </w:rPr>
        <w:t>公务用车运行费预算数12万元，决算数5.86万元，减少了6.14万元，上年支出数8.34万元，与上年对比减少2.48万元，主要原因是按我局加强公务用车管理，减少公车出行 ，厉行节俭。</w:t>
      </w:r>
    </w:p>
    <w:p>
      <w:pPr>
        <w:numPr>
          <w:ilvl w:val="-1"/>
          <w:numId w:val="0"/>
        </w:numPr>
        <w:ind w:left="0" w:firstLine="0"/>
        <w:rPr>
          <w:rFonts w:hint="eastAsia" w:ascii="黑体" w:hAnsi="黑体" w:eastAsia="黑体" w:cs="黑体"/>
          <w:b/>
          <w:bCs/>
          <w:i w:val="0"/>
          <w:iCs w:val="0"/>
          <w:sz w:val="28"/>
          <w:szCs w:val="28"/>
        </w:rPr>
      </w:pPr>
      <w:r>
        <w:rPr>
          <w:rFonts w:hint="eastAsia" w:ascii="黑体" w:hAnsi="黑体" w:eastAsia="黑体" w:cs="黑体"/>
          <w:b/>
          <w:bCs/>
          <w:i w:val="0"/>
          <w:iCs w:val="0"/>
          <w:sz w:val="28"/>
          <w:szCs w:val="28"/>
          <w:lang w:val="en-US" w:eastAsia="zh-CN"/>
        </w:rPr>
        <w:t>（八）</w:t>
      </w:r>
      <w:r>
        <w:rPr>
          <w:rFonts w:hint="eastAsia" w:ascii="黑体" w:hAnsi="黑体" w:eastAsia="黑体" w:cs="黑体"/>
          <w:b/>
          <w:bCs/>
          <w:i w:val="0"/>
          <w:iCs w:val="0"/>
          <w:sz w:val="28"/>
          <w:szCs w:val="28"/>
        </w:rPr>
        <w:t>政府性基金预算财政拨款收入支出决算情况说明</w:t>
      </w:r>
    </w:p>
    <w:p>
      <w:pPr>
        <w:numPr>
          <w:ilvl w:val="-1"/>
          <w:numId w:val="0"/>
        </w:numPr>
        <w:ind w:left="0" w:firstLine="0"/>
        <w:rPr>
          <w:rFonts w:hint="eastAsia" w:ascii="仿宋" w:hAnsi="仿宋" w:eastAsia="仿宋" w:cs="仿宋"/>
          <w:b w:val="0"/>
          <w:bCs w:val="0"/>
          <w:i w:val="0"/>
          <w:iCs w:val="0"/>
          <w:sz w:val="32"/>
          <w:szCs w:val="32"/>
        </w:rPr>
      </w:pPr>
      <w:r>
        <w:rPr>
          <w:rFonts w:hint="eastAsia" w:ascii="楷体_GB2312" w:hAnsi="宋体" w:eastAsia="楷体_GB2312" w:cs="楷体_GB2312"/>
          <w:b/>
          <w:bCs/>
          <w:i/>
          <w:iCs/>
          <w:sz w:val="32"/>
          <w:szCs w:val="32"/>
          <w:lang w:val="en-US" w:eastAsia="zh-CN"/>
        </w:rPr>
        <w:t xml:space="preserve">    </w:t>
      </w:r>
      <w:r>
        <w:rPr>
          <w:rFonts w:hint="eastAsia" w:ascii="仿宋" w:hAnsi="仿宋" w:eastAsia="仿宋" w:cs="仿宋"/>
          <w:b w:val="0"/>
          <w:bCs w:val="0"/>
          <w:i w:val="0"/>
          <w:iCs w:val="0"/>
          <w:sz w:val="32"/>
          <w:szCs w:val="32"/>
          <w:lang w:val="en-US" w:eastAsia="zh-CN"/>
        </w:rPr>
        <w:t>2020年度政府性基金财政拨款收支为244.5万元，比2019年决算增加了213.31万元，主要增加了城市建设支出和土地开发支出项目，充分发挥我局开发规划用地的功能。</w:t>
      </w:r>
    </w:p>
    <w:p>
      <w:pPr>
        <w:numPr>
          <w:ilvl w:val="-1"/>
          <w:numId w:val="0"/>
        </w:numPr>
        <w:ind w:left="0" w:firstLine="0"/>
        <w:rPr>
          <w:rFonts w:hint="eastAsia" w:ascii="黑体" w:hAnsi="黑体" w:eastAsia="黑体" w:cs="黑体"/>
          <w:b/>
          <w:bCs/>
          <w:i w:val="0"/>
          <w:iCs w:val="0"/>
          <w:sz w:val="28"/>
          <w:szCs w:val="28"/>
        </w:rPr>
      </w:pPr>
      <w:r>
        <w:rPr>
          <w:rFonts w:hint="eastAsia" w:ascii="黑体" w:hAnsi="黑体" w:eastAsia="黑体" w:cs="黑体"/>
          <w:b/>
          <w:bCs/>
          <w:i w:val="0"/>
          <w:iCs w:val="0"/>
          <w:sz w:val="28"/>
          <w:szCs w:val="28"/>
          <w:lang w:val="en-US" w:eastAsia="zh-CN"/>
        </w:rPr>
        <w:t>（九）</w:t>
      </w:r>
      <w:r>
        <w:rPr>
          <w:rFonts w:hint="eastAsia" w:ascii="黑体" w:hAnsi="黑体" w:eastAsia="黑体" w:cs="黑体"/>
          <w:b/>
          <w:bCs/>
          <w:i w:val="0"/>
          <w:iCs w:val="0"/>
          <w:sz w:val="28"/>
          <w:szCs w:val="28"/>
        </w:rPr>
        <w:t>国有资本经营预算财政拨款支出</w:t>
      </w:r>
    </w:p>
    <w:p>
      <w:pPr>
        <w:ind w:left="0" w:firstLine="640" w:firstLineChars="200"/>
        <w:rPr>
          <w:rFonts w:hint="eastAsia" w:ascii="仿宋_GB2312" w:hAnsi="宋体" w:eastAsia="仿宋_GB2312" w:cs="仿宋_GB2312"/>
          <w:i w:val="0"/>
          <w:iCs w:val="0"/>
          <w:sz w:val="32"/>
          <w:szCs w:val="32"/>
        </w:rPr>
      </w:pPr>
      <w:r>
        <w:rPr>
          <w:rFonts w:hint="eastAsia" w:ascii="仿宋_GB2312" w:hAnsi="宋体" w:eastAsia="仿宋_GB2312" w:cs="仿宋_GB2312"/>
          <w:i w:val="0"/>
          <w:iCs w:val="0"/>
          <w:sz w:val="32"/>
          <w:szCs w:val="32"/>
          <w:lang w:val="en-US" w:eastAsia="zh-CN"/>
        </w:rPr>
        <w:t>2020年度国有资本经营预算财政拨款为0，预决算指标均为0，主要原因是我局无国有资本经营预算财政拨款支出。</w:t>
      </w:r>
    </w:p>
    <w:p>
      <w:pPr>
        <w:numPr>
          <w:ilvl w:val="0"/>
          <w:numId w:val="0"/>
        </w:numPr>
        <w:ind w:left="0" w:firstLine="0" w:firstLineChars="0"/>
        <w:rPr>
          <w:rFonts w:hint="eastAsia" w:ascii="黑体" w:hAnsi="黑体" w:eastAsia="黑体" w:cs="黑体"/>
          <w:b/>
          <w:bCs/>
          <w:i w:val="0"/>
          <w:iCs w:val="0"/>
          <w:sz w:val="28"/>
          <w:szCs w:val="28"/>
        </w:rPr>
      </w:pPr>
      <w:r>
        <w:rPr>
          <w:rFonts w:hint="eastAsia" w:ascii="黑体" w:hAnsi="黑体" w:eastAsia="黑体" w:cs="黑体"/>
          <w:b/>
          <w:bCs/>
          <w:i w:val="0"/>
          <w:iCs w:val="0"/>
          <w:sz w:val="28"/>
          <w:szCs w:val="28"/>
          <w:lang w:eastAsia="zh-CN"/>
        </w:rPr>
        <w:t>（</w:t>
      </w:r>
      <w:r>
        <w:rPr>
          <w:rFonts w:hint="eastAsia" w:ascii="黑体" w:hAnsi="黑体" w:eastAsia="黑体" w:cs="黑体"/>
          <w:b/>
          <w:bCs/>
          <w:i w:val="0"/>
          <w:iCs w:val="0"/>
          <w:sz w:val="28"/>
          <w:szCs w:val="28"/>
          <w:lang w:val="en-US" w:eastAsia="zh-CN"/>
        </w:rPr>
        <w:t>十</w:t>
      </w:r>
      <w:r>
        <w:rPr>
          <w:rFonts w:hint="eastAsia" w:ascii="黑体" w:hAnsi="黑体" w:eastAsia="黑体" w:cs="黑体"/>
          <w:b/>
          <w:bCs/>
          <w:i w:val="0"/>
          <w:iCs w:val="0"/>
          <w:sz w:val="28"/>
          <w:szCs w:val="28"/>
          <w:lang w:eastAsia="zh-CN"/>
        </w:rPr>
        <w:t>）</w:t>
      </w:r>
      <w:r>
        <w:rPr>
          <w:rFonts w:hint="eastAsia" w:ascii="黑体" w:hAnsi="黑体" w:eastAsia="黑体" w:cs="黑体"/>
          <w:b/>
          <w:bCs/>
          <w:i w:val="0"/>
          <w:iCs w:val="0"/>
          <w:sz w:val="28"/>
          <w:szCs w:val="28"/>
        </w:rPr>
        <w:t>预算绩效情况说明</w:t>
      </w:r>
    </w:p>
    <w:p>
      <w:pPr>
        <w:ind w:firstLine="321" w:firstLineChars="100"/>
        <w:rPr>
          <w:rFonts w:ascii="仿宋_GB2312" w:hAnsi="黑体" w:eastAsia="仿宋_GB2312"/>
          <w:i/>
          <w:iCs/>
          <w:sz w:val="32"/>
          <w:szCs w:val="32"/>
        </w:rPr>
      </w:pPr>
      <w:r>
        <w:rPr>
          <w:rFonts w:ascii="仿宋_GB2312" w:hAnsi="黑体" w:eastAsia="仿宋_GB2312" w:cs="仿宋_GB2312"/>
          <w:b/>
          <w:bCs/>
          <w:i w:val="0"/>
          <w:iCs w:val="0"/>
          <w:sz w:val="32"/>
          <w:szCs w:val="32"/>
        </w:rPr>
        <w:t>1.</w:t>
      </w:r>
      <w:r>
        <w:rPr>
          <w:rFonts w:hint="eastAsia" w:ascii="仿宋_GB2312" w:hAnsi="黑体" w:eastAsia="仿宋_GB2312" w:cs="仿宋_GB2312"/>
          <w:b/>
          <w:bCs/>
          <w:i w:val="0"/>
          <w:iCs w:val="0"/>
          <w:sz w:val="32"/>
          <w:szCs w:val="32"/>
        </w:rPr>
        <w:t>预算绩效管理工作开展情况</w:t>
      </w:r>
      <w:r>
        <w:rPr>
          <w:rFonts w:hint="eastAsia" w:ascii="仿宋_GB2312" w:hAnsi="黑体" w:eastAsia="仿宋_GB2312" w:cs="仿宋_GB2312"/>
          <w:b/>
          <w:bCs/>
          <w:i/>
          <w:iCs/>
          <w:sz w:val="32"/>
          <w:szCs w:val="32"/>
        </w:rPr>
        <w:t>。</w:t>
      </w:r>
    </w:p>
    <w:p>
      <w:pPr>
        <w:ind w:firstLine="640" w:firstLineChars="200"/>
        <w:rPr>
          <w:rFonts w:hint="eastAsia" w:ascii="仿宋" w:hAnsi="仿宋" w:eastAsia="仿宋" w:cs="仿宋"/>
          <w:i w:val="0"/>
          <w:iCs w:val="0"/>
          <w:sz w:val="32"/>
          <w:szCs w:val="32"/>
        </w:rPr>
      </w:pPr>
      <w:r>
        <w:rPr>
          <w:rFonts w:hint="eastAsia" w:ascii="仿宋" w:hAnsi="仿宋" w:eastAsia="仿宋" w:cs="仿宋"/>
          <w:i w:val="0"/>
          <w:iCs w:val="0"/>
          <w:sz w:val="32"/>
          <w:szCs w:val="32"/>
        </w:rPr>
        <w:t>根据预算绩效管理要求，</w:t>
      </w:r>
      <w:r>
        <w:rPr>
          <w:rFonts w:hint="eastAsia" w:ascii="仿宋" w:hAnsi="仿宋" w:eastAsia="仿宋" w:cs="仿宋"/>
          <w:sz w:val="32"/>
          <w:szCs w:val="32"/>
        </w:rPr>
        <w:t>深圳市规划和自然资源局盐田管理局</w:t>
      </w:r>
      <w:r>
        <w:rPr>
          <w:rFonts w:hint="eastAsia" w:ascii="仿宋" w:hAnsi="仿宋" w:eastAsia="仿宋" w:cs="仿宋"/>
          <w:i w:val="0"/>
          <w:iCs w:val="0"/>
          <w:sz w:val="32"/>
          <w:szCs w:val="32"/>
        </w:rPr>
        <w:t>已按要求编制整体支出绩效目标，并围绕政策落实、年度计划实施、重点工作任务和重大项目开展以及资金管理使用等情况，开展整体支出绩效自评。（部门整体绩效评价报告,详见附件</w:t>
      </w:r>
      <w:r>
        <w:rPr>
          <w:rFonts w:hint="eastAsia" w:ascii="仿宋" w:hAnsi="仿宋" w:eastAsia="仿宋" w:cs="仿宋"/>
          <w:i w:val="0"/>
          <w:iCs w:val="0"/>
          <w:sz w:val="32"/>
          <w:szCs w:val="32"/>
          <w:lang w:val="en-US" w:eastAsia="zh-CN"/>
        </w:rPr>
        <w:t>2</w:t>
      </w:r>
      <w:r>
        <w:rPr>
          <w:rFonts w:hint="eastAsia" w:ascii="仿宋" w:hAnsi="仿宋" w:eastAsia="仿宋" w:cs="仿宋"/>
          <w:i w:val="0"/>
          <w:iCs w:val="0"/>
          <w:sz w:val="32"/>
          <w:szCs w:val="32"/>
        </w:rPr>
        <w:t>）</w:t>
      </w:r>
    </w:p>
    <w:p>
      <w:pPr>
        <w:ind w:firstLine="640" w:firstLineChars="200"/>
        <w:rPr>
          <w:rFonts w:ascii="仿宋_GB2312" w:hAnsi="黑体" w:eastAsia="仿宋_GB2312"/>
          <w:i/>
          <w:iCs/>
          <w:sz w:val="32"/>
          <w:szCs w:val="32"/>
        </w:rPr>
      </w:pPr>
      <w:r>
        <w:rPr>
          <w:rFonts w:hint="eastAsia" w:ascii="仿宋_GB2312" w:hAnsi="黑体" w:eastAsia="仿宋_GB2312" w:cs="仿宋_GB2312"/>
          <w:i w:val="0"/>
          <w:iCs w:val="0"/>
          <w:sz w:val="32"/>
          <w:szCs w:val="32"/>
        </w:rPr>
        <w:t>组织对</w:t>
      </w:r>
      <w:r>
        <w:rPr>
          <w:rFonts w:ascii="仿宋_GB2312" w:hAnsi="黑体" w:eastAsia="仿宋_GB2312" w:cs="仿宋_GB2312"/>
          <w:i w:val="0"/>
          <w:iCs w:val="0"/>
          <w:sz w:val="32"/>
          <w:szCs w:val="32"/>
        </w:rPr>
        <w:t>2020</w:t>
      </w:r>
      <w:r>
        <w:rPr>
          <w:rFonts w:hint="eastAsia" w:ascii="仿宋_GB2312" w:hAnsi="黑体" w:eastAsia="仿宋_GB2312" w:cs="仿宋_GB2312"/>
          <w:i w:val="0"/>
          <w:iCs w:val="0"/>
          <w:sz w:val="32"/>
          <w:szCs w:val="32"/>
        </w:rPr>
        <w:t>年度一般公共预算项目支出全面开展绩效自评，其中，一级项目</w:t>
      </w:r>
      <w:r>
        <w:rPr>
          <w:rFonts w:hint="eastAsia" w:ascii="仿宋_GB2312" w:hAnsi="黑体" w:eastAsia="仿宋_GB2312" w:cs="仿宋_GB2312"/>
          <w:i w:val="0"/>
          <w:iCs w:val="0"/>
          <w:sz w:val="32"/>
          <w:szCs w:val="32"/>
          <w:lang w:val="en-US" w:eastAsia="zh-CN"/>
        </w:rPr>
        <w:t>17</w:t>
      </w:r>
      <w:r>
        <w:rPr>
          <w:rFonts w:hint="eastAsia" w:ascii="仿宋_GB2312" w:hAnsi="黑体" w:eastAsia="仿宋_GB2312" w:cs="仿宋_GB2312"/>
          <w:i w:val="0"/>
          <w:iCs w:val="0"/>
          <w:sz w:val="32"/>
          <w:szCs w:val="32"/>
        </w:rPr>
        <w:t>个，二级项目</w:t>
      </w:r>
      <w:r>
        <w:rPr>
          <w:rFonts w:hint="eastAsia" w:ascii="仿宋_GB2312" w:hAnsi="黑体" w:eastAsia="仿宋_GB2312" w:cs="仿宋_GB2312"/>
          <w:i w:val="0"/>
          <w:iCs w:val="0"/>
          <w:sz w:val="32"/>
          <w:szCs w:val="32"/>
          <w:lang w:eastAsia="zh-CN"/>
        </w:rPr>
        <w:t>3</w:t>
      </w:r>
      <w:r>
        <w:rPr>
          <w:rFonts w:hint="eastAsia" w:ascii="仿宋_GB2312" w:hAnsi="黑体" w:eastAsia="仿宋_GB2312" w:cs="仿宋_GB2312"/>
          <w:i w:val="0"/>
          <w:iCs w:val="0"/>
          <w:sz w:val="32"/>
          <w:szCs w:val="32"/>
          <w:lang w:val="en-US" w:eastAsia="zh-CN"/>
        </w:rPr>
        <w:t>1</w:t>
      </w:r>
      <w:r>
        <w:rPr>
          <w:rFonts w:hint="eastAsia" w:ascii="仿宋_GB2312" w:hAnsi="黑体" w:eastAsia="仿宋_GB2312" w:cs="仿宋_GB2312"/>
          <w:i w:val="0"/>
          <w:iCs w:val="0"/>
          <w:sz w:val="32"/>
          <w:szCs w:val="32"/>
        </w:rPr>
        <w:t>个，共涉及财政资金</w:t>
      </w:r>
      <w:r>
        <w:rPr>
          <w:rFonts w:hint="eastAsia" w:ascii="仿宋_GB2312" w:hAnsi="黑体" w:eastAsia="仿宋_GB2312" w:cs="仿宋_GB2312"/>
          <w:i w:val="0"/>
          <w:iCs w:val="0"/>
          <w:sz w:val="32"/>
          <w:szCs w:val="32"/>
          <w:lang w:eastAsia="zh-CN"/>
        </w:rPr>
        <w:t>4</w:t>
      </w:r>
      <w:r>
        <w:rPr>
          <w:rFonts w:hint="eastAsia" w:ascii="仿宋_GB2312" w:hAnsi="黑体" w:eastAsia="仿宋_GB2312" w:cs="仿宋_GB2312"/>
          <w:i w:val="0"/>
          <w:iCs w:val="0"/>
          <w:sz w:val="32"/>
          <w:szCs w:val="32"/>
          <w:lang w:val="en-US" w:eastAsia="zh-CN"/>
        </w:rPr>
        <w:t>095.82</w:t>
      </w:r>
      <w:r>
        <w:rPr>
          <w:rFonts w:hint="eastAsia" w:ascii="仿宋_GB2312" w:hAnsi="黑体" w:eastAsia="仿宋_GB2312" w:cs="仿宋_GB2312"/>
          <w:i w:val="0"/>
          <w:iCs w:val="0"/>
          <w:sz w:val="32"/>
          <w:szCs w:val="32"/>
        </w:rPr>
        <w:t>万元，占一般公共预算项目支出总额的</w:t>
      </w:r>
      <w:r>
        <w:rPr>
          <w:rFonts w:ascii="仿宋_GB2312" w:hAnsi="黑体" w:eastAsia="仿宋_GB2312" w:cs="仿宋_GB2312"/>
          <w:i w:val="0"/>
          <w:iCs w:val="0"/>
          <w:sz w:val="32"/>
          <w:szCs w:val="32"/>
        </w:rPr>
        <w:t>100%</w:t>
      </w:r>
      <w:r>
        <w:rPr>
          <w:rFonts w:hint="eastAsia" w:ascii="仿宋_GB2312" w:hAnsi="黑体" w:eastAsia="仿宋_GB2312" w:cs="仿宋_GB2312"/>
          <w:i w:val="0"/>
          <w:iCs w:val="0"/>
          <w:sz w:val="32"/>
          <w:szCs w:val="32"/>
        </w:rPr>
        <w:t>。</w:t>
      </w:r>
    </w:p>
    <w:p>
      <w:pPr>
        <w:ind w:firstLine="640" w:firstLineChars="200"/>
        <w:rPr>
          <w:rFonts w:ascii="仿宋_GB2312" w:hAnsi="黑体" w:eastAsia="仿宋_GB2312"/>
          <w:i w:val="0"/>
          <w:iCs w:val="0"/>
          <w:sz w:val="32"/>
          <w:szCs w:val="32"/>
        </w:rPr>
      </w:pPr>
      <w:r>
        <w:rPr>
          <w:rFonts w:hint="eastAsia" w:ascii="仿宋_GB2312" w:hAnsi="黑体" w:eastAsia="仿宋_GB2312" w:cs="仿宋_GB2312"/>
          <w:i w:val="0"/>
          <w:iCs w:val="0"/>
          <w:sz w:val="32"/>
          <w:szCs w:val="32"/>
        </w:rPr>
        <w:t>组织对</w:t>
      </w:r>
      <w:r>
        <w:rPr>
          <w:rFonts w:hint="eastAsia" w:ascii="仿宋_GB2312" w:hAnsi="黑体" w:eastAsia="仿宋_GB2312" w:cs="仿宋_GB2312"/>
          <w:i w:val="0"/>
          <w:iCs w:val="0"/>
          <w:sz w:val="32"/>
          <w:szCs w:val="32"/>
          <w:lang w:val="en-US" w:eastAsia="zh-CN"/>
        </w:rPr>
        <w:t>2020年度政府性基金预算项目开展绩效自评，其中一级项目2个，二级项目12个，共涉及资金244.50万元，占政府性基金项目支出总额的100%。</w:t>
      </w:r>
    </w:p>
    <w:p>
      <w:pPr>
        <w:ind w:firstLine="321" w:firstLineChars="100"/>
        <w:rPr>
          <w:rFonts w:ascii="仿宋_GB2312" w:hAnsi="黑体" w:eastAsia="仿宋_GB2312" w:cs="仿宋_GB2312"/>
          <w:b/>
          <w:bCs/>
          <w:i w:val="0"/>
          <w:iCs w:val="0"/>
          <w:sz w:val="32"/>
          <w:szCs w:val="32"/>
        </w:rPr>
      </w:pPr>
      <w:r>
        <w:rPr>
          <w:rFonts w:ascii="仿宋_GB2312" w:hAnsi="黑体" w:eastAsia="仿宋_GB2312" w:cs="仿宋_GB2312"/>
          <w:b/>
          <w:bCs/>
          <w:i w:val="0"/>
          <w:iCs w:val="0"/>
          <w:sz w:val="32"/>
          <w:szCs w:val="32"/>
        </w:rPr>
        <w:t>2.</w:t>
      </w:r>
      <w:r>
        <w:rPr>
          <w:rFonts w:hint="eastAsia" w:ascii="仿宋_GB2312" w:hAnsi="黑体" w:eastAsia="仿宋_GB2312" w:cs="仿宋_GB2312"/>
          <w:b/>
          <w:bCs/>
          <w:i w:val="0"/>
          <w:iCs w:val="0"/>
          <w:sz w:val="32"/>
          <w:szCs w:val="32"/>
        </w:rPr>
        <w:t>部门决算中项目绩效自评结果。</w:t>
      </w:r>
    </w:p>
    <w:p>
      <w:pPr>
        <w:ind w:firstLine="640" w:firstLineChars="200"/>
        <w:rPr>
          <w:rFonts w:hint="eastAsia" w:ascii="仿宋_GB2312" w:hAnsi="黑体" w:eastAsia="仿宋_GB2312" w:cs="仿宋_GB2312"/>
          <w:i w:val="0"/>
          <w:iCs w:val="0"/>
          <w:sz w:val="32"/>
          <w:szCs w:val="32"/>
        </w:rPr>
      </w:pPr>
      <w:r>
        <w:rPr>
          <w:rFonts w:hint="eastAsia" w:ascii="仿宋_GB2312" w:hAnsi="黑体" w:eastAsia="仿宋_GB2312" w:cs="仿宋_GB2312"/>
          <w:i w:val="0"/>
          <w:iCs w:val="0"/>
          <w:sz w:val="32"/>
          <w:szCs w:val="32"/>
          <w:lang w:val="en-US" w:eastAsia="zh-CN"/>
        </w:rPr>
        <w:t>深圳市规划和自然资源局盐田管理局</w:t>
      </w:r>
      <w:r>
        <w:rPr>
          <w:rFonts w:hint="eastAsia" w:ascii="仿宋_GB2312" w:hAnsi="黑体" w:eastAsia="仿宋_GB2312" w:cs="仿宋_GB2312"/>
          <w:i w:val="0"/>
          <w:iCs w:val="0"/>
          <w:sz w:val="32"/>
          <w:szCs w:val="32"/>
        </w:rPr>
        <w:t>在2020年度部门决算中反映“</w:t>
      </w:r>
      <w:r>
        <w:rPr>
          <w:rFonts w:hint="eastAsia" w:ascii="仿宋_GB2312" w:hAnsi="黑体" w:eastAsia="仿宋_GB2312" w:cs="仿宋_GB2312"/>
          <w:i w:val="0"/>
          <w:iCs w:val="0"/>
          <w:sz w:val="32"/>
          <w:szCs w:val="32"/>
          <w:lang w:val="en-US" w:eastAsia="zh-CN"/>
        </w:rPr>
        <w:t>综合事务管理</w:t>
      </w:r>
      <w:r>
        <w:rPr>
          <w:rFonts w:hint="eastAsia" w:ascii="仿宋_GB2312" w:hAnsi="黑体" w:eastAsia="仿宋_GB2312" w:cs="仿宋_GB2312"/>
          <w:i w:val="0"/>
          <w:iCs w:val="0"/>
          <w:sz w:val="32"/>
          <w:szCs w:val="32"/>
        </w:rPr>
        <w:t>”等</w:t>
      </w:r>
      <w:r>
        <w:rPr>
          <w:rFonts w:hint="eastAsia" w:ascii="仿宋_GB2312" w:hAnsi="黑体" w:eastAsia="仿宋_GB2312" w:cs="仿宋_GB2312"/>
          <w:i w:val="0"/>
          <w:iCs w:val="0"/>
          <w:sz w:val="32"/>
          <w:szCs w:val="32"/>
          <w:lang w:eastAsia="zh-CN"/>
        </w:rPr>
        <w:t>3</w:t>
      </w:r>
      <w:r>
        <w:rPr>
          <w:rFonts w:hint="eastAsia" w:ascii="仿宋_GB2312" w:hAnsi="黑体" w:eastAsia="仿宋_GB2312" w:cs="仿宋_GB2312"/>
          <w:i w:val="0"/>
          <w:iCs w:val="0"/>
          <w:sz w:val="32"/>
          <w:szCs w:val="32"/>
          <w:lang w:val="en-US" w:eastAsia="zh-CN"/>
        </w:rPr>
        <w:t>0</w:t>
      </w:r>
      <w:r>
        <w:rPr>
          <w:rFonts w:hint="eastAsia" w:ascii="仿宋_GB2312" w:hAnsi="黑体" w:eastAsia="仿宋_GB2312" w:cs="仿宋_GB2312"/>
          <w:i w:val="0"/>
          <w:iCs w:val="0"/>
          <w:sz w:val="32"/>
          <w:szCs w:val="32"/>
        </w:rPr>
        <w:t>个项目绩效自评结果</w:t>
      </w: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lang w:val="en-US" w:eastAsia="zh-CN"/>
        </w:rPr>
        <w:t xml:space="preserve">详见附件3 </w:t>
      </w:r>
      <w:r>
        <w:rPr>
          <w:rFonts w:hint="eastAsia" w:ascii="仿宋_GB2312" w:hAnsi="黑体" w:eastAsia="仿宋_GB2312" w:cs="仿宋_GB2312"/>
          <w:i w:val="0"/>
          <w:iCs w:val="0"/>
          <w:sz w:val="32"/>
          <w:szCs w:val="32"/>
          <w:lang w:eastAsia="zh-CN"/>
        </w:rPr>
        <w:t>）</w:t>
      </w:r>
    </w:p>
    <w:p>
      <w:pPr>
        <w:numPr>
          <w:ilvl w:val="-1"/>
          <w:numId w:val="0"/>
        </w:numPr>
        <w:ind w:left="0" w:leftChars="0" w:firstLine="640" w:firstLineChars="200"/>
        <w:rPr>
          <w:rFonts w:hint="eastAsia" w:ascii="仿宋_GB2312" w:hAnsi="黑体" w:eastAsia="仿宋_GB2312" w:cs="仿宋_GB2312"/>
          <w:i w:val="0"/>
          <w:iCs w:val="0"/>
          <w:sz w:val="32"/>
          <w:szCs w:val="32"/>
        </w:rPr>
      </w:pP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lang w:val="en-US" w:eastAsia="zh-CN"/>
        </w:rPr>
        <w:t>1</w:t>
      </w: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lang w:val="en-US" w:eastAsia="zh-CN"/>
        </w:rPr>
        <w:t>土地使用权出让印花税</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1</w:t>
      </w:r>
      <w:r>
        <w:rPr>
          <w:rFonts w:hint="eastAsia" w:ascii="仿宋_GB2312" w:hAnsi="黑体" w:eastAsia="仿宋_GB2312" w:cs="仿宋_GB2312"/>
          <w:i w:val="0"/>
          <w:iCs w:val="0"/>
          <w:sz w:val="32"/>
          <w:szCs w:val="32"/>
        </w:rPr>
        <w:t>）绩效自评综述</w:t>
      </w: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rPr>
        <w:t>根据年初设定的目标，项目自评得分</w:t>
      </w:r>
      <w:r>
        <w:rPr>
          <w:rFonts w:hint="eastAsia" w:ascii="仿宋_GB2312" w:hAnsi="黑体" w:eastAsia="仿宋_GB2312" w:cs="仿宋_GB2312"/>
          <w:i w:val="0"/>
          <w:iCs w:val="0"/>
          <w:sz w:val="32"/>
          <w:szCs w:val="32"/>
          <w:lang w:val="en-US" w:eastAsia="zh-CN"/>
        </w:rPr>
        <w:t>90.6</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13</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4.7</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36</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预算执行进度较低，主要原因是受疫情及经济影响，部分土地出让计划无法实施。 下一步改进措施：我局将进一步提高预算编制的科学性、合理性，在兼顾一般支出的同时优先保障重点支出，合理安排各项资金。</w:t>
      </w:r>
    </w:p>
    <w:p>
      <w:pPr>
        <w:ind w:left="0" w:leftChars="0" w:firstLine="640" w:firstLineChars="200"/>
        <w:rPr>
          <w:rFonts w:hint="eastAsia" w:ascii="仿宋_GB2312" w:hAnsi="黑体" w:eastAsia="仿宋_GB2312" w:cs="仿宋_GB2312"/>
          <w:i w:val="0"/>
          <w:iCs w:val="0"/>
          <w:sz w:val="32"/>
          <w:szCs w:val="32"/>
        </w:rPr>
      </w:pP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lang w:val="en-US" w:eastAsia="zh-CN"/>
        </w:rPr>
        <w:t>2</w:t>
      </w: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lang w:val="en-US" w:eastAsia="zh-CN"/>
        </w:rPr>
        <w:t>综合事务管理</w:t>
      </w:r>
      <w:r>
        <w:rPr>
          <w:rFonts w:hint="eastAsia" w:ascii="仿宋_GB2312" w:hAnsi="黑体" w:eastAsia="仿宋_GB2312" w:cs="仿宋_GB2312"/>
          <w:i w:val="0"/>
          <w:iCs w:val="0"/>
          <w:sz w:val="32"/>
          <w:szCs w:val="32"/>
        </w:rPr>
        <w:t>（项目名2）绩效自评综述：根据年初设定的目标，项目自评得分</w:t>
      </w:r>
      <w:r>
        <w:rPr>
          <w:rFonts w:hint="eastAsia" w:ascii="仿宋_GB2312" w:hAnsi="黑体" w:eastAsia="仿宋_GB2312" w:cs="仿宋_GB2312"/>
          <w:i w:val="0"/>
          <w:iCs w:val="0"/>
          <w:sz w:val="32"/>
          <w:szCs w:val="32"/>
          <w:lang w:val="en-US" w:eastAsia="zh-CN"/>
        </w:rPr>
        <w:t>93</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eastAsia="zh-CN"/>
        </w:rPr>
        <w:t>1</w:t>
      </w:r>
      <w:r>
        <w:rPr>
          <w:rFonts w:hint="eastAsia" w:ascii="仿宋_GB2312" w:hAnsi="黑体" w:eastAsia="仿宋_GB2312" w:cs="仿宋_GB2312"/>
          <w:i w:val="0"/>
          <w:iCs w:val="0"/>
          <w:sz w:val="32"/>
          <w:szCs w:val="32"/>
          <w:lang w:val="en-US" w:eastAsia="zh-CN"/>
        </w:rPr>
        <w:t>109.45</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eastAsia="zh-CN"/>
        </w:rPr>
        <w:t>1</w:t>
      </w:r>
      <w:r>
        <w:rPr>
          <w:rFonts w:hint="eastAsia" w:ascii="仿宋_GB2312" w:hAnsi="黑体" w:eastAsia="仿宋_GB2312" w:cs="仿宋_GB2312"/>
          <w:i w:val="0"/>
          <w:iCs w:val="0"/>
          <w:sz w:val="32"/>
          <w:szCs w:val="32"/>
          <w:lang w:val="en-US" w:eastAsia="zh-CN"/>
        </w:rPr>
        <w:t>109.45</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eastAsia="zh-CN"/>
        </w:rPr>
        <w:t>1</w:t>
      </w:r>
      <w:r>
        <w:rPr>
          <w:rFonts w:hint="eastAsia" w:ascii="仿宋_GB2312" w:hAnsi="黑体" w:eastAsia="仿宋_GB2312" w:cs="仿宋_GB2312"/>
          <w:i w:val="0"/>
          <w:iCs w:val="0"/>
          <w:sz w:val="32"/>
          <w:szCs w:val="32"/>
          <w:lang w:val="en-US" w:eastAsia="zh-CN"/>
        </w:rPr>
        <w:t>00</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我局基本完成了综合管理项目的绩效目标</w:t>
      </w:r>
      <w:r>
        <w:rPr>
          <w:rFonts w:hint="eastAsia" w:ascii="仿宋_GB2312" w:hAnsi="黑体" w:eastAsia="仿宋_GB2312" w:cs="仿宋_GB2312"/>
          <w:i w:val="0"/>
          <w:iCs w:val="0"/>
          <w:sz w:val="32"/>
          <w:szCs w:val="32"/>
        </w:rPr>
        <w:t>。</w:t>
      </w:r>
      <w:r>
        <w:rPr>
          <w:rFonts w:hint="eastAsia" w:ascii="仿宋_GB2312" w:hAnsi="黑体" w:eastAsia="仿宋_GB2312" w:cs="仿宋_GB2312"/>
          <w:i w:val="0"/>
          <w:iCs w:val="0"/>
          <w:sz w:val="32"/>
          <w:szCs w:val="32"/>
          <w:lang w:val="en-US" w:eastAsia="zh-CN"/>
        </w:rPr>
        <w:t>劳务费发放率100%，各项费用支出及时，收发文及时率、办文办结率、设施修缮验收合格率、设备维护验收合格率、设备正常运转率均达100%。培训人员满意度达95%。发现的主要问题及原因：培训工作完成及时率较低，主要原因是受疫情影响，部分培训计划无法实施。下一步改进措施：我局将进一步提高预算编制的科学性、合理性，在兼顾一般支出的同时优先保障重点支出，合理安排各项资金。</w:t>
      </w:r>
    </w:p>
    <w:p>
      <w:pPr>
        <w:ind w:left="0" w:leftChars="0" w:firstLine="640" w:firstLineChars="200"/>
        <w:rPr>
          <w:rFonts w:hint="eastAsia" w:ascii="仿宋_GB2312" w:hAnsi="黑体" w:eastAsia="仿宋_GB2312" w:cs="仿宋_GB2312"/>
          <w:i w:val="0"/>
          <w:iCs w:val="0"/>
          <w:sz w:val="32"/>
          <w:szCs w:val="32"/>
        </w:rPr>
      </w:pPr>
      <w:r>
        <w:rPr>
          <w:rFonts w:hint="eastAsia" w:ascii="仿宋_GB2312" w:hAnsi="黑体" w:eastAsia="仿宋_GB2312" w:cs="仿宋_GB2312"/>
          <w:i w:val="0"/>
          <w:iCs w:val="0"/>
          <w:sz w:val="32"/>
          <w:szCs w:val="32"/>
        </w:rPr>
        <w:t>（</w:t>
      </w:r>
      <w:r>
        <w:rPr>
          <w:rFonts w:hint="eastAsia" w:ascii="仿宋_GB2312" w:hAnsi="黑体" w:eastAsia="仿宋_GB2312" w:cs="仿宋_GB2312"/>
          <w:i w:val="0"/>
          <w:iCs w:val="0"/>
          <w:sz w:val="32"/>
          <w:szCs w:val="32"/>
          <w:lang w:val="en-US" w:eastAsia="zh-CN"/>
        </w:rPr>
        <w:t>3</w:t>
      </w:r>
      <w:r>
        <w:rPr>
          <w:rFonts w:hint="eastAsia" w:ascii="仿宋_GB2312" w:hAnsi="黑体" w:eastAsia="仿宋_GB2312" w:cs="仿宋_GB2312"/>
          <w:i w:val="0"/>
          <w:iCs w:val="0"/>
          <w:sz w:val="32"/>
          <w:szCs w:val="32"/>
        </w:rPr>
        <w:t>）</w:t>
      </w:r>
      <w:r>
        <w:rPr>
          <w:rFonts w:hint="eastAsia" w:ascii="仿宋_GB2312" w:hAnsi="黑体" w:eastAsia="仿宋_GB2312" w:cs="仿宋_GB2312"/>
          <w:i w:val="0"/>
          <w:iCs w:val="0"/>
          <w:sz w:val="32"/>
          <w:szCs w:val="32"/>
          <w:lang w:val="en-US" w:eastAsia="zh-CN"/>
        </w:rPr>
        <w:t>办公设备采购</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3</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eastAsia="zh-CN"/>
        </w:rPr>
        <w:t>9</w:t>
      </w:r>
      <w:r>
        <w:rPr>
          <w:rFonts w:hint="eastAsia" w:ascii="仿宋_GB2312" w:hAnsi="黑体" w:eastAsia="仿宋_GB2312" w:cs="仿宋_GB2312"/>
          <w:i w:val="0"/>
          <w:iCs w:val="0"/>
          <w:sz w:val="32"/>
          <w:szCs w:val="32"/>
          <w:lang w:val="en-US" w:eastAsia="zh-CN"/>
        </w:rPr>
        <w:t>3.8</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eastAsia="zh-CN"/>
        </w:rPr>
        <w:t>5</w:t>
      </w:r>
      <w:r>
        <w:rPr>
          <w:rFonts w:hint="eastAsia" w:ascii="仿宋_GB2312" w:hAnsi="黑体" w:eastAsia="仿宋_GB2312" w:cs="仿宋_GB2312"/>
          <w:i w:val="0"/>
          <w:iCs w:val="0"/>
          <w:sz w:val="32"/>
          <w:szCs w:val="32"/>
          <w:lang w:val="en-US" w:eastAsia="zh-CN"/>
        </w:rPr>
        <w:t>2.85</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eastAsia="zh-CN"/>
        </w:rPr>
        <w:t>5</w:t>
      </w:r>
      <w:r>
        <w:rPr>
          <w:rFonts w:hint="eastAsia" w:ascii="仿宋_GB2312" w:hAnsi="黑体" w:eastAsia="仿宋_GB2312" w:cs="仿宋_GB2312"/>
          <w:i w:val="0"/>
          <w:iCs w:val="0"/>
          <w:sz w:val="32"/>
          <w:szCs w:val="32"/>
          <w:lang w:val="en-US" w:eastAsia="zh-CN"/>
        </w:rPr>
        <w:t>1.79</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eastAsia="zh-CN"/>
        </w:rPr>
        <w:t>9</w:t>
      </w:r>
      <w:r>
        <w:rPr>
          <w:rFonts w:hint="eastAsia" w:ascii="仿宋_GB2312" w:hAnsi="黑体" w:eastAsia="仿宋_GB2312" w:cs="仿宋_GB2312"/>
          <w:i w:val="0"/>
          <w:iCs w:val="0"/>
          <w:sz w:val="32"/>
          <w:szCs w:val="32"/>
          <w:lang w:val="en-US" w:eastAsia="zh-CN"/>
        </w:rPr>
        <w:t>8</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项目执行情况良好，已完成年度办公设备采购目标</w:t>
      </w:r>
      <w:r>
        <w:rPr>
          <w:rFonts w:hint="eastAsia" w:ascii="仿宋_GB2312" w:hAnsi="黑体" w:eastAsia="仿宋_GB2312" w:cs="仿宋_GB2312"/>
          <w:i w:val="0"/>
          <w:iCs w:val="0"/>
          <w:sz w:val="32"/>
          <w:szCs w:val="32"/>
        </w:rPr>
        <w:t>。</w:t>
      </w:r>
    </w:p>
    <w:p>
      <w:p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rPr>
        <w:t>（</w:t>
      </w:r>
      <w:r>
        <w:rPr>
          <w:rFonts w:hint="eastAsia" w:ascii="仿宋_GB2312" w:hAnsi="黑体" w:eastAsia="仿宋_GB2312" w:cs="仿宋_GB2312"/>
          <w:i w:val="0"/>
          <w:iCs w:val="0"/>
          <w:sz w:val="32"/>
          <w:szCs w:val="32"/>
          <w:lang w:val="en-US" w:eastAsia="zh-CN"/>
        </w:rPr>
        <w:t>4</w:t>
      </w:r>
      <w:r>
        <w:rPr>
          <w:rFonts w:hint="eastAsia" w:ascii="仿宋_GB2312" w:hAnsi="黑体" w:eastAsia="仿宋_GB2312" w:cs="仿宋_GB2312"/>
          <w:i w:val="0"/>
          <w:iCs w:val="0"/>
          <w:sz w:val="32"/>
          <w:szCs w:val="32"/>
        </w:rPr>
        <w:t>）</w:t>
      </w:r>
      <w:r>
        <w:rPr>
          <w:rFonts w:hint="eastAsia" w:ascii="仿宋_GB2312" w:hAnsi="黑体" w:eastAsia="仿宋_GB2312" w:cs="仿宋_GB2312"/>
          <w:i w:val="0"/>
          <w:iCs w:val="0"/>
          <w:sz w:val="32"/>
          <w:szCs w:val="32"/>
          <w:lang w:val="en-US" w:eastAsia="zh-CN"/>
        </w:rPr>
        <w:t>盐田区2020-2021年地质灾害综合业务专业咨询</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4</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eastAsia="zh-CN"/>
        </w:rPr>
        <w:t>9</w:t>
      </w:r>
      <w:r>
        <w:rPr>
          <w:rFonts w:hint="eastAsia" w:ascii="仿宋_GB2312" w:hAnsi="黑体" w:eastAsia="仿宋_GB2312" w:cs="仿宋_GB2312"/>
          <w:i w:val="0"/>
          <w:iCs w:val="0"/>
          <w:sz w:val="32"/>
          <w:szCs w:val="32"/>
          <w:lang w:val="en-US" w:eastAsia="zh-CN"/>
        </w:rPr>
        <w:t>9.9</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38</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37.51</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eastAsia="zh-CN"/>
        </w:rPr>
        <w:t>9</w:t>
      </w:r>
      <w:r>
        <w:rPr>
          <w:rFonts w:hint="eastAsia" w:ascii="仿宋_GB2312" w:hAnsi="黑体" w:eastAsia="仿宋_GB2312" w:cs="仿宋_GB2312"/>
          <w:i w:val="0"/>
          <w:iCs w:val="0"/>
          <w:sz w:val="32"/>
          <w:szCs w:val="32"/>
          <w:lang w:val="en-US" w:eastAsia="zh-CN"/>
        </w:rPr>
        <w:t>9</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项目执行情况良好，已完成</w:t>
      </w:r>
      <w:r>
        <w:rPr>
          <w:rFonts w:hint="eastAsia" w:ascii="仿宋_GB2312" w:hAnsi="黑体" w:eastAsia="仿宋_GB2312" w:cs="仿宋_GB2312"/>
          <w:i w:val="0"/>
          <w:iCs w:val="0"/>
          <w:sz w:val="32"/>
          <w:szCs w:val="32"/>
        </w:rPr>
        <w:t>盐田区2021年地质灾害综合业务专业咨询，完成辖区的地质灾害日常巡查、汛前排查、应急调查、技术咨询等工作任务</w:t>
      </w: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lang w:val="en-US" w:eastAsia="zh-CN"/>
        </w:rPr>
        <w:t>在汛前、汛中、讯后达到相应的安排专业力量开展巡查，编制汛情简报和总结，有效保障了辖区群众安全。</w:t>
      </w:r>
    </w:p>
    <w:p>
      <w:pPr>
        <w:ind w:left="0" w:leftChars="0" w:firstLine="640" w:firstLineChars="200"/>
        <w:rPr>
          <w:rFonts w:hint="eastAsia" w:ascii="仿宋_GB2312" w:hAnsi="黑体" w:eastAsia="仿宋_GB2312" w:cs="仿宋_GB2312"/>
          <w:i w:val="0"/>
          <w:iCs w:val="0"/>
          <w:sz w:val="32"/>
          <w:szCs w:val="32"/>
        </w:rPr>
      </w:pPr>
      <w:r>
        <w:rPr>
          <w:rFonts w:hint="eastAsia" w:ascii="仿宋_GB2312" w:hAnsi="黑体" w:eastAsia="仿宋_GB2312" w:cs="仿宋_GB2312"/>
          <w:i w:val="0"/>
          <w:iCs w:val="0"/>
          <w:sz w:val="32"/>
          <w:szCs w:val="32"/>
        </w:rPr>
        <w:t>（</w:t>
      </w:r>
      <w:r>
        <w:rPr>
          <w:rFonts w:hint="eastAsia" w:ascii="仿宋_GB2312" w:hAnsi="黑体" w:eastAsia="仿宋_GB2312" w:cs="仿宋_GB2312"/>
          <w:i w:val="0"/>
          <w:iCs w:val="0"/>
          <w:sz w:val="32"/>
          <w:szCs w:val="32"/>
          <w:lang w:val="en-US" w:eastAsia="zh-CN"/>
        </w:rPr>
        <w:t>5</w:t>
      </w:r>
      <w:r>
        <w:rPr>
          <w:rFonts w:hint="eastAsia" w:ascii="仿宋_GB2312" w:hAnsi="黑体" w:eastAsia="仿宋_GB2312" w:cs="仿宋_GB2312"/>
          <w:i w:val="0"/>
          <w:iCs w:val="0"/>
          <w:sz w:val="32"/>
          <w:szCs w:val="32"/>
        </w:rPr>
        <w:t>）</w:t>
      </w:r>
      <w:r>
        <w:rPr>
          <w:rFonts w:hint="eastAsia" w:ascii="仿宋_GB2312" w:hAnsi="黑体" w:eastAsia="仿宋_GB2312" w:cs="仿宋_GB2312"/>
          <w:i w:val="0"/>
          <w:iCs w:val="0"/>
          <w:sz w:val="32"/>
          <w:szCs w:val="32"/>
          <w:lang w:val="en-US" w:eastAsia="zh-CN"/>
        </w:rPr>
        <w:t>盐田片区2018年度地籍调查成果检查验收</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5</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eastAsia="zh-CN"/>
        </w:rPr>
        <w:t>9</w:t>
      </w:r>
      <w:r>
        <w:rPr>
          <w:rFonts w:hint="eastAsia" w:ascii="仿宋_GB2312" w:hAnsi="黑体" w:eastAsia="仿宋_GB2312" w:cs="仿宋_GB2312"/>
          <w:i w:val="0"/>
          <w:iCs w:val="0"/>
          <w:sz w:val="32"/>
          <w:szCs w:val="32"/>
          <w:lang w:val="en-US" w:eastAsia="zh-CN"/>
        </w:rPr>
        <w:t>6</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4.2</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4.2</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100</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项目执行情况良好，已</w:t>
      </w:r>
      <w:r>
        <w:rPr>
          <w:rFonts w:hint="eastAsia" w:ascii="仿宋_GB2312" w:hAnsi="黑体" w:eastAsia="仿宋_GB2312" w:cs="仿宋_GB2312"/>
          <w:i w:val="0"/>
          <w:iCs w:val="0"/>
          <w:sz w:val="32"/>
          <w:szCs w:val="32"/>
        </w:rPr>
        <w:t>按照《深圳市地籍调查规程》（试行）、《深圳市地籍调查前期清查规则》（试行）和《深圳市地籍调查底图编制规则》（试行）等要求，对盐田片区2018年度地籍调查的成果进行检查，并辅助开展验收。</w:t>
      </w:r>
    </w:p>
    <w:p>
      <w:p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rPr>
        <w:t>（</w:t>
      </w:r>
      <w:r>
        <w:rPr>
          <w:rFonts w:hint="eastAsia" w:ascii="仿宋_GB2312" w:hAnsi="黑体" w:eastAsia="仿宋_GB2312" w:cs="仿宋_GB2312"/>
          <w:i w:val="0"/>
          <w:iCs w:val="0"/>
          <w:sz w:val="32"/>
          <w:szCs w:val="32"/>
          <w:lang w:val="en-US" w:eastAsia="zh-CN"/>
        </w:rPr>
        <w:t>6</w:t>
      </w:r>
      <w:r>
        <w:rPr>
          <w:rFonts w:hint="eastAsia" w:ascii="仿宋_GB2312" w:hAnsi="黑体" w:eastAsia="仿宋_GB2312" w:cs="仿宋_GB2312"/>
          <w:i w:val="0"/>
          <w:iCs w:val="0"/>
          <w:sz w:val="32"/>
          <w:szCs w:val="32"/>
        </w:rPr>
        <w:t>）2020年度盐田区国土综合变更调查工程之外业调查（项目名</w:t>
      </w:r>
      <w:r>
        <w:rPr>
          <w:rFonts w:hint="eastAsia" w:ascii="仿宋_GB2312" w:hAnsi="黑体" w:eastAsia="仿宋_GB2312" w:cs="仿宋_GB2312"/>
          <w:i w:val="0"/>
          <w:iCs w:val="0"/>
          <w:sz w:val="32"/>
          <w:szCs w:val="32"/>
          <w:lang w:val="en-US" w:eastAsia="zh-CN"/>
        </w:rPr>
        <w:t>6</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eastAsia="zh-CN"/>
        </w:rPr>
        <w:t>9</w:t>
      </w:r>
      <w:r>
        <w:rPr>
          <w:rFonts w:hint="eastAsia" w:ascii="仿宋_GB2312" w:hAnsi="黑体" w:eastAsia="仿宋_GB2312" w:cs="仿宋_GB2312"/>
          <w:i w:val="0"/>
          <w:iCs w:val="0"/>
          <w:sz w:val="32"/>
          <w:szCs w:val="32"/>
          <w:lang w:val="en-US" w:eastAsia="zh-CN"/>
        </w:rPr>
        <w:t>5.9</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8</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7.94</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99</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已完成辖区本年度的土地利用变更调查、建（构）筑物更新调查，对外业调查成果进行检查并进行相应的数据处理，按照规范要求形成2020年度盐田区国土综合变更调查成果数据库，保障年度国土变更工作任务的顺利完成，促进调查成果应用。</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lang w:val="en-US" w:eastAsia="zh-CN"/>
        </w:rPr>
        <w:t>7</w:t>
      </w: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rPr>
        <w:t>盐田区2020年地质灾害防治知识宣传（项目名</w:t>
      </w:r>
      <w:r>
        <w:rPr>
          <w:rFonts w:hint="eastAsia" w:ascii="仿宋_GB2312" w:hAnsi="黑体" w:eastAsia="仿宋_GB2312" w:cs="仿宋_GB2312"/>
          <w:i w:val="0"/>
          <w:iCs w:val="0"/>
          <w:sz w:val="32"/>
          <w:szCs w:val="32"/>
          <w:lang w:val="en-US" w:eastAsia="zh-CN"/>
        </w:rPr>
        <w:t>7</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eastAsia="zh-CN"/>
        </w:rPr>
        <w:t>9</w:t>
      </w:r>
      <w:r>
        <w:rPr>
          <w:rFonts w:hint="eastAsia" w:ascii="仿宋_GB2312" w:hAnsi="黑体" w:eastAsia="仿宋_GB2312" w:cs="仿宋_GB2312"/>
          <w:i w:val="0"/>
          <w:iCs w:val="0"/>
          <w:sz w:val="32"/>
          <w:szCs w:val="32"/>
          <w:lang w:val="en-US" w:eastAsia="zh-CN"/>
        </w:rPr>
        <w:t>9.8</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12</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11.7</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98</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项目执行情况良好，已完成4次辖区</w:t>
      </w:r>
      <w:r>
        <w:rPr>
          <w:rFonts w:hint="eastAsia" w:ascii="仿宋_GB2312" w:hAnsi="黑体" w:eastAsia="仿宋_GB2312" w:cs="仿宋_GB2312"/>
          <w:i w:val="0"/>
          <w:iCs w:val="0"/>
          <w:sz w:val="32"/>
          <w:szCs w:val="32"/>
        </w:rPr>
        <w:t>地质灾害防治知识宣传</w:t>
      </w: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lang w:val="en-US" w:eastAsia="zh-CN"/>
        </w:rPr>
        <w:t>较充分地运用了科技手段和参与者趣味互动，宣传形式较丰富，有效提高了辖区群众地质灾害防治知识水平。</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lang w:val="en-US" w:eastAsia="zh-CN"/>
        </w:rPr>
        <w:t>8</w:t>
      </w: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rPr>
        <w:t>盐田区2019年地质灾害隐患点详细调查（项目名</w:t>
      </w:r>
      <w:r>
        <w:rPr>
          <w:rFonts w:hint="eastAsia" w:ascii="仿宋_GB2312" w:hAnsi="黑体" w:eastAsia="仿宋_GB2312" w:cs="仿宋_GB2312"/>
          <w:i w:val="0"/>
          <w:iCs w:val="0"/>
          <w:sz w:val="32"/>
          <w:szCs w:val="32"/>
          <w:lang w:val="en-US" w:eastAsia="zh-CN"/>
        </w:rPr>
        <w:t>8</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eastAsia="zh-CN"/>
        </w:rPr>
        <w:t>9</w:t>
      </w:r>
      <w:r>
        <w:rPr>
          <w:rFonts w:hint="eastAsia" w:ascii="仿宋_GB2312" w:hAnsi="黑体" w:eastAsia="仿宋_GB2312" w:cs="仿宋_GB2312"/>
          <w:i w:val="0"/>
          <w:iCs w:val="0"/>
          <w:sz w:val="32"/>
          <w:szCs w:val="32"/>
          <w:lang w:val="en-US" w:eastAsia="zh-CN"/>
        </w:rPr>
        <w:t>9.3</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10</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9.3</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93</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项目执行情况良好，已完成辖区2020年地质灾害隐患点详细调查工作，并根据调查结果，填写不稳定斜坡调查表，有效提高了辖区地质灾害防治工作的针对性。</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lang w:val="en-US" w:eastAsia="zh-CN"/>
        </w:rPr>
        <w:t>9</w:t>
      </w: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rPr>
        <w:t>盐田片区2018年度地籍调查监理（项目名</w:t>
      </w:r>
      <w:r>
        <w:rPr>
          <w:rFonts w:hint="eastAsia" w:ascii="仿宋_GB2312" w:hAnsi="黑体" w:eastAsia="仿宋_GB2312" w:cs="仿宋_GB2312"/>
          <w:i w:val="0"/>
          <w:iCs w:val="0"/>
          <w:sz w:val="32"/>
          <w:szCs w:val="32"/>
          <w:lang w:val="en-US" w:eastAsia="zh-CN"/>
        </w:rPr>
        <w:t>9</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eastAsia="zh-CN"/>
        </w:rPr>
        <w:t>9</w:t>
      </w:r>
      <w:r>
        <w:rPr>
          <w:rFonts w:hint="eastAsia" w:ascii="仿宋_GB2312" w:hAnsi="黑体" w:eastAsia="仿宋_GB2312" w:cs="仿宋_GB2312"/>
          <w:i w:val="0"/>
          <w:iCs w:val="0"/>
          <w:sz w:val="32"/>
          <w:szCs w:val="32"/>
          <w:lang w:val="en-US" w:eastAsia="zh-CN"/>
        </w:rPr>
        <w:t>5</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4.2</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4.2</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100</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项目执行情况良好，已按照《深圳市地籍调查规程》（试行）、《深圳市地籍调查前期清查规则》（试行）和《深圳市地籍调查底图编制规则》（试行）等要求，开展盐田片区14.76 k㎡（包括9.74k㎡的建成区和5.02k㎡的非建成区）地籍调查项目的监理工作。</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lang w:val="en-US" w:eastAsia="zh-CN"/>
        </w:rPr>
        <w:t>10</w:t>
      </w: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rPr>
        <w:t>储备土地日常管理（项目名</w:t>
      </w:r>
      <w:r>
        <w:rPr>
          <w:rFonts w:hint="eastAsia" w:ascii="仿宋_GB2312" w:hAnsi="黑体" w:eastAsia="仿宋_GB2312" w:cs="仿宋_GB2312"/>
          <w:i w:val="0"/>
          <w:iCs w:val="0"/>
          <w:sz w:val="32"/>
          <w:szCs w:val="32"/>
          <w:lang w:val="en-US" w:eastAsia="zh-CN"/>
        </w:rPr>
        <w:t>10</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eastAsia="zh-CN"/>
        </w:rPr>
        <w:t>9</w:t>
      </w:r>
      <w:r>
        <w:rPr>
          <w:rFonts w:hint="eastAsia" w:ascii="仿宋_GB2312" w:hAnsi="黑体" w:eastAsia="仿宋_GB2312" w:cs="仿宋_GB2312"/>
          <w:i w:val="0"/>
          <w:iCs w:val="0"/>
          <w:sz w:val="32"/>
          <w:szCs w:val="32"/>
          <w:lang w:val="en-US" w:eastAsia="zh-CN"/>
        </w:rPr>
        <w:t>7</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85.66</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85.66</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100</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由市土地储备中心对恩上旧村TYT-156储备土地进行自行管理，保证储备土地自行管理工作质量达标率达到100%，有效维持自管储备土地现状，完成了对受托管理地块日常巡察、监管并建立管理档案等工作。</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lang w:val="en-US" w:eastAsia="zh-CN"/>
        </w:rPr>
        <w:t>11</w:t>
      </w: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rPr>
        <w:t>盐田区1:50000地质灾害详细调查（项目名</w:t>
      </w:r>
      <w:r>
        <w:rPr>
          <w:rFonts w:hint="eastAsia" w:ascii="仿宋_GB2312" w:hAnsi="黑体" w:eastAsia="仿宋_GB2312" w:cs="仿宋_GB2312"/>
          <w:i w:val="0"/>
          <w:iCs w:val="0"/>
          <w:sz w:val="32"/>
          <w:szCs w:val="32"/>
          <w:lang w:val="en-US" w:eastAsia="zh-CN"/>
        </w:rPr>
        <w:t>11</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val="en-US" w:eastAsia="zh-CN"/>
        </w:rPr>
        <w:t>100</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56.8</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56.77</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100</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项目执行情况良好，我局开展了盐田区地质灾害隐患点详细调查工作，并根据调查结果，填写不稳定斜坡调查表，有效提高了辖区地质灾害防治工作的针对性。</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（12）盐田区2017年度地籍调查工程监理</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12</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val="en-US" w:eastAsia="zh-CN"/>
        </w:rPr>
        <w:t>96</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3.5</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3.5</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100</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项目执行情况良好，我局按照市局统一部署，完成了盐田片区2017年度地籍调查工作中属于2020年度必须完成的面积指标的监理工作。</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（13）盐田区2019年零星测量</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13</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val="en-US" w:eastAsia="zh-CN"/>
        </w:rPr>
        <w:t>95.3</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30</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24.88</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83</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项目执行情况良好，保障了我局在规划、用地等方面管理工作顺利开展。</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（14）盐田管理局2020年度零星测量</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14</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val="en-US" w:eastAsia="zh-CN"/>
        </w:rPr>
        <w:t>94</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15</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15</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100</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项目执行情况良好，保障了我局在规划、用地等方面管理工作顺利开展。</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（15）盐田区2020年度房产测绘成果审核与不动产权籍调查</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15</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val="en-US" w:eastAsia="zh-CN"/>
        </w:rPr>
        <w:t>95</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19</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19</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100</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我局在房产测绘成果审核的基础上，通过内化模式开展不动产权籍调查，整合权籍调查和测绘成果，汇总形成一套规范、完整、准确的不动产权籍调查成果，作为不动产统一登记的要件，为登记工作提供坚实的数据保障和技术支撑。</w:t>
      </w:r>
    </w:p>
    <w:p>
      <w:pPr>
        <w:numPr>
          <w:ilvl w:val="-1"/>
          <w:numId w:val="0"/>
        </w:numPr>
        <w:ind w:left="0" w:leftChars="0" w:firstLine="320" w:firstLineChars="1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（16）公务用车运行维护费</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16</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val="en-US" w:eastAsia="zh-CN"/>
        </w:rPr>
        <w:t>96</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5</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5</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100</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项目执行情况良好，我局在厉行勤俭节约，反对铺张浪费，加强党风廉政建设的同时保障公务用车高效运行。</w:t>
      </w:r>
    </w:p>
    <w:p>
      <w:pPr>
        <w:numPr>
          <w:ilvl w:val="-1"/>
          <w:numId w:val="0"/>
        </w:numPr>
        <w:ind w:left="0" w:leftChars="0" w:firstLine="320" w:firstLineChars="1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（17）盐田片区2018年度地籍调查</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17</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val="en-US" w:eastAsia="zh-CN"/>
        </w:rPr>
        <w:t>92.1</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59.14</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12.25</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21</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该项目已完成合同签订、项目人员培训、资料收集、宣传培训等前期工作。通过地籍调查和土地总登记工作，摸清土地资产家底，明晰土地权属关系，盘活存量土地资产；加快违法建筑疏导处置，提升城市治理水平；保护权利人合法财产权，保障社会和谐，为深圳现代化国际化创新型城市建设提供有力支撑。发现的主要问题及原因：预算执行进度偏低，主要原因是受疫情、三调影响，进展未达到二期付款条件。下一步改进措施：我局将进一步提高预算编制的科学性、合理性，同时加快推进项目进度。</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（18）待支付以前年度政府采购项目</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18</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val="en-US" w:eastAsia="zh-CN"/>
        </w:rPr>
        <w:t>99.4</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88.68</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83.8</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94</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办公楼物业管理良好。建筑物本体完好，建筑物外观、各种指示标识完好、清洁。建筑物及附属设施及时维修、维护。供配电设备运行良好，做到安全、合理、节约用电。智能化系统、消防系统设施、电梯系统给排水系统、中央空调系统、照明系统等设备完好，正常运行。该项目有利于保障良好的秩序环境、安全高效的工作环境和财产安全。</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（19）盐田区2019年地质灾害综合业务专业咨询</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19</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val="en-US" w:eastAsia="zh-CN"/>
        </w:rPr>
        <w:t>99.7</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13</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12.6</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99.7</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项目执行情况良好，完成了辖区的地质灾害日常巡查、汛前排查、应急调查、技术咨询等工作任务。</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20）渔业成品油价格改革财政补贴（项目名20）绩效自评综述：根据年初设定的目标，项目自评得分97.1分。项目全年预算数144.73万元，执行数103.3万元，预算执行率71%。项目绩效目标完成情况：项目执行情况良好，完成了辖区的4项补助资金的发放，补贴标准严格执行相关文件、补贴申请材料规范。项目有效地保障了渔民的基本利益，促进捕捞生产结构优化调整，促进渔业资源永续发展。发现的主要问题及原因：受新冠疫情影响，我局预留了较多经费用于渔民生活补助，后因上级批复的补助标准有所调整，导致经费剩余。下一步改进措施：我局将进一步提高预算编制的科学性、合理性，在经费使用过程中，及时根据实际情况调整资金，促进资源优化配置。</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（21）盐田区2020年地质灾害防治知识培训</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21</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eastAsia="zh-CN"/>
        </w:rPr>
        <w:t>9</w:t>
      </w:r>
      <w:r>
        <w:rPr>
          <w:rFonts w:hint="eastAsia" w:ascii="仿宋_GB2312" w:hAnsi="黑体" w:eastAsia="仿宋_GB2312" w:cs="仿宋_GB2312"/>
          <w:i w:val="0"/>
          <w:iCs w:val="0"/>
          <w:sz w:val="32"/>
          <w:szCs w:val="32"/>
          <w:lang w:val="en-US" w:eastAsia="zh-CN"/>
        </w:rPr>
        <w:t>9.8</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12</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11.72</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98</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项目执行情况良好，已完成6次辖区地质灾害防治知识培训（其中，现场教学2次、室内培训4次）</w:t>
      </w: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lang w:val="en-US" w:eastAsia="zh-CN"/>
        </w:rPr>
        <w:t>提供了专业的地质灾害防治培训平台，有效提高了辖区地质灾害防治水平。</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（22）生态公益林效益补偿金</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22</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val="en-US" w:eastAsia="zh-CN"/>
        </w:rPr>
        <w:t>90</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103.68</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103.3</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100</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项目执行情况良好，完成盐田区天然林落界工作，1000亩森林抚育工作，1次自然保护教育培训。</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（23）盐田区国土空间生态修复专项规划研究</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23</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val="en-US" w:eastAsia="zh-CN"/>
        </w:rPr>
        <w:t>60.5</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33</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32.99</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100</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项目执行情况良好，完成了盐田区国土空间生态修复专项规划研究报告和盐田区海岸带生态修复专题报告。</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（24）补缴转企人员养老保险</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24</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val="en-US" w:eastAsia="zh-CN"/>
        </w:rPr>
        <w:t>99.4</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79.19</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74.66</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94</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项目执行情况良好，按有关通知要求,补缴了编外退休人员自2014年10月起的养老保险费用.</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（25）盐田区2019年地质灾害防治知识宣传</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25</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eastAsia="zh-CN"/>
        </w:rPr>
        <w:t>9</w:t>
      </w:r>
      <w:r>
        <w:rPr>
          <w:rFonts w:hint="eastAsia" w:ascii="仿宋_GB2312" w:hAnsi="黑体" w:eastAsia="仿宋_GB2312" w:cs="仿宋_GB2312"/>
          <w:i w:val="0"/>
          <w:iCs w:val="0"/>
          <w:sz w:val="32"/>
          <w:szCs w:val="32"/>
          <w:lang w:val="en-US" w:eastAsia="zh-CN"/>
        </w:rPr>
        <w:t>9.3</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14</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13.08</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98</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项目执行情况良好，已完成4次辖区</w:t>
      </w:r>
      <w:r>
        <w:rPr>
          <w:rFonts w:hint="eastAsia" w:ascii="仿宋_GB2312" w:hAnsi="黑体" w:eastAsia="仿宋_GB2312" w:cs="仿宋_GB2312"/>
          <w:i w:val="0"/>
          <w:iCs w:val="0"/>
          <w:sz w:val="32"/>
          <w:szCs w:val="32"/>
        </w:rPr>
        <w:t>地质灾害防治知识宣传</w:t>
      </w: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lang w:val="en-US" w:eastAsia="zh-CN"/>
        </w:rPr>
        <w:t>较充分地运用了科技手段和参与者趣味互动，宣传形式较丰富，有效提高了辖区群众地质灾害防治知识水平。</w:t>
      </w:r>
    </w:p>
    <w:p>
      <w:p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（26）盐田区2019年地质灾害防治知识培训</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26</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eastAsia="zh-CN"/>
        </w:rPr>
        <w:t>9</w:t>
      </w:r>
      <w:r>
        <w:rPr>
          <w:rFonts w:hint="eastAsia" w:ascii="仿宋_GB2312" w:hAnsi="黑体" w:eastAsia="仿宋_GB2312" w:cs="仿宋_GB2312"/>
          <w:i w:val="0"/>
          <w:iCs w:val="0"/>
          <w:sz w:val="32"/>
          <w:szCs w:val="32"/>
          <w:lang w:val="en-US" w:eastAsia="zh-CN"/>
        </w:rPr>
        <w:t>9.5</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14</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13.37</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95</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项目执行情况良好，已完成6次辖区地质灾害防治知识培训（其中，现场教学2次、室内培训4次）</w:t>
      </w:r>
      <w:r>
        <w:rPr>
          <w:rFonts w:hint="eastAsia" w:ascii="仿宋_GB2312" w:hAnsi="黑体" w:eastAsia="仿宋_GB2312" w:cs="仿宋_GB2312"/>
          <w:i w:val="0"/>
          <w:iCs w:val="0"/>
          <w:sz w:val="32"/>
          <w:szCs w:val="32"/>
          <w:lang w:eastAsia="zh-CN"/>
        </w:rPr>
        <w:t>，</w:t>
      </w:r>
      <w:r>
        <w:rPr>
          <w:rFonts w:hint="eastAsia" w:ascii="仿宋_GB2312" w:hAnsi="黑体" w:eastAsia="仿宋_GB2312" w:cs="仿宋_GB2312"/>
          <w:i w:val="0"/>
          <w:iCs w:val="0"/>
          <w:sz w:val="32"/>
          <w:szCs w:val="32"/>
          <w:lang w:val="en-US" w:eastAsia="zh-CN"/>
        </w:rPr>
        <w:t>提供了专业的地质灾害防治培训平台，有效提高了辖区地质灾害防治水平。</w:t>
      </w:r>
    </w:p>
    <w:p>
      <w:p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（27）盐田区2020-2021年突发地质灾害处置技术指导</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27</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eastAsia="zh-CN"/>
        </w:rPr>
        <w:t>9</w:t>
      </w:r>
      <w:r>
        <w:rPr>
          <w:rFonts w:hint="eastAsia" w:ascii="仿宋_GB2312" w:hAnsi="黑体" w:eastAsia="仿宋_GB2312" w:cs="仿宋_GB2312"/>
          <w:i w:val="0"/>
          <w:iCs w:val="0"/>
          <w:sz w:val="32"/>
          <w:szCs w:val="32"/>
          <w:lang w:val="en-US" w:eastAsia="zh-CN"/>
        </w:rPr>
        <w:t>9.6</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23</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22</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96</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项目执行情况良好，已完成对盐田区2020年地质灾害综合业务专业咨询，完成辖区的地质灾害日常巡查、汛前排查、应急调查、技术咨询等工作任务。</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（28）盐田区2020年地质灾害隐患点详细调查</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28</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eastAsia="zh-CN"/>
        </w:rPr>
        <w:t>9</w:t>
      </w:r>
      <w:r>
        <w:rPr>
          <w:rFonts w:hint="eastAsia" w:ascii="仿宋_GB2312" w:hAnsi="黑体" w:eastAsia="仿宋_GB2312" w:cs="仿宋_GB2312"/>
          <w:i w:val="0"/>
          <w:iCs w:val="0"/>
          <w:sz w:val="32"/>
          <w:szCs w:val="32"/>
          <w:lang w:val="en-US" w:eastAsia="zh-CN"/>
        </w:rPr>
        <w:t>9.7</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9</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8.7</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97</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项目执行情况良好，已完成辖区2020年地质灾害隐患点详细调查工作，并根据调查结果，填写不稳定斜坡调查表，有效提高了辖区地质灾害防治工作的针对性。</w:t>
      </w:r>
    </w:p>
    <w:p>
      <w:pPr>
        <w:numPr>
          <w:ilvl w:val="-1"/>
          <w:numId w:val="0"/>
        </w:numPr>
        <w:ind w:left="0" w:leftChars="0" w:firstLine="640" w:firstLineChars="200"/>
        <w:rPr>
          <w:rFonts w:hint="eastAsia" w:ascii="仿宋_GB2312" w:hAnsi="黑体" w:eastAsia="仿宋_GB2312" w:cs="仿宋_GB2312"/>
          <w:i w:val="0"/>
          <w:iCs w:val="0"/>
          <w:sz w:val="32"/>
          <w:szCs w:val="32"/>
          <w:lang w:val="en-US" w:eastAsia="zh-CN"/>
        </w:rPr>
      </w:pPr>
      <w:r>
        <w:rPr>
          <w:rFonts w:hint="eastAsia" w:ascii="仿宋_GB2312" w:hAnsi="黑体" w:eastAsia="仿宋_GB2312" w:cs="仿宋_GB2312"/>
          <w:i w:val="0"/>
          <w:iCs w:val="0"/>
          <w:sz w:val="32"/>
          <w:szCs w:val="32"/>
          <w:lang w:val="en-US" w:eastAsia="zh-CN"/>
        </w:rPr>
        <w:t>（29）渔业成品油价格改革财政补贴(2019年结转)</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29</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val="en-US" w:eastAsia="zh-CN"/>
        </w:rPr>
        <w:t>91.6</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63.67</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9.94</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16</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完成2019年立项的渔业增殖放流和渔民培训的尾款及2020年立项的增殖放流的首期款支付。项目有效地保障了渔民的基本利益，促进捕捞生产结构优化调整，促进渔业资源永续发展。发现的主要问题及原因：受新冠疫情影响，未开展2020增殖放流项目立项。下一步改进措施：我局将进一步提高预算编制的科学性、合理性，在经费使用过程中，及时根据实际情况调整资金，促进资源优化配置。</w:t>
      </w:r>
    </w:p>
    <w:p>
      <w:pPr>
        <w:numPr>
          <w:ilvl w:val="0"/>
          <w:numId w:val="0"/>
        </w:numPr>
        <w:ind w:firstLine="640" w:firstLineChars="200"/>
        <w:rPr>
          <w:rFonts w:hint="eastAsia" w:ascii="仿宋_GB2312" w:hAnsi="黑体" w:eastAsia="仿宋_GB2312" w:cs="仿宋_GB2312"/>
          <w:i w:val="0"/>
          <w:iCs w:val="0"/>
          <w:sz w:val="32"/>
          <w:szCs w:val="32"/>
        </w:rPr>
      </w:pPr>
      <w:r>
        <w:rPr>
          <w:rFonts w:hint="eastAsia" w:ascii="仿宋_GB2312" w:hAnsi="黑体" w:eastAsia="仿宋_GB2312" w:cs="仿宋_GB2312"/>
          <w:i w:val="0"/>
          <w:iCs w:val="0"/>
          <w:sz w:val="32"/>
          <w:szCs w:val="32"/>
          <w:lang w:val="en-US" w:eastAsia="zh-CN"/>
        </w:rPr>
        <w:t>（30）林业管理（</w:t>
      </w:r>
      <w:r>
        <w:rPr>
          <w:rFonts w:hint="eastAsia" w:ascii="仿宋_GB2312" w:hAnsi="黑体" w:eastAsia="仿宋_GB2312" w:cs="仿宋_GB2312"/>
          <w:i w:val="0"/>
          <w:iCs w:val="0"/>
          <w:sz w:val="32"/>
          <w:szCs w:val="32"/>
        </w:rPr>
        <w:t>项目名</w:t>
      </w:r>
      <w:r>
        <w:rPr>
          <w:rFonts w:hint="eastAsia" w:ascii="仿宋_GB2312" w:hAnsi="黑体" w:eastAsia="仿宋_GB2312" w:cs="仿宋_GB2312"/>
          <w:i w:val="0"/>
          <w:iCs w:val="0"/>
          <w:sz w:val="32"/>
          <w:szCs w:val="32"/>
          <w:lang w:val="en-US" w:eastAsia="zh-CN"/>
        </w:rPr>
        <w:t>30</w:t>
      </w:r>
      <w:r>
        <w:rPr>
          <w:rFonts w:hint="eastAsia" w:ascii="仿宋_GB2312" w:hAnsi="黑体" w:eastAsia="仿宋_GB2312" w:cs="仿宋_GB2312"/>
          <w:i w:val="0"/>
          <w:iCs w:val="0"/>
          <w:sz w:val="32"/>
          <w:szCs w:val="32"/>
        </w:rPr>
        <w:t>）绩效自评综述：根据年初设定的目标，项目自评得分</w:t>
      </w:r>
      <w:r>
        <w:rPr>
          <w:rFonts w:hint="eastAsia" w:ascii="仿宋_GB2312" w:hAnsi="黑体" w:eastAsia="仿宋_GB2312" w:cs="仿宋_GB2312"/>
          <w:i w:val="0"/>
          <w:iCs w:val="0"/>
          <w:sz w:val="32"/>
          <w:szCs w:val="32"/>
          <w:lang w:val="en-US" w:eastAsia="zh-CN"/>
        </w:rPr>
        <w:t>98</w:t>
      </w:r>
      <w:r>
        <w:rPr>
          <w:rFonts w:hint="eastAsia" w:ascii="仿宋_GB2312" w:hAnsi="黑体" w:eastAsia="仿宋_GB2312" w:cs="仿宋_GB2312"/>
          <w:i w:val="0"/>
          <w:iCs w:val="0"/>
          <w:sz w:val="32"/>
          <w:szCs w:val="32"/>
        </w:rPr>
        <w:t>分。项目全年预算数</w:t>
      </w:r>
      <w:r>
        <w:rPr>
          <w:rFonts w:hint="eastAsia" w:ascii="仿宋_GB2312" w:hAnsi="黑体" w:eastAsia="仿宋_GB2312" w:cs="仿宋_GB2312"/>
          <w:i w:val="0"/>
          <w:iCs w:val="0"/>
          <w:sz w:val="32"/>
          <w:szCs w:val="32"/>
          <w:lang w:val="en-US" w:eastAsia="zh-CN"/>
        </w:rPr>
        <w:t>616.63</w:t>
      </w:r>
      <w:r>
        <w:rPr>
          <w:rFonts w:hint="eastAsia" w:ascii="仿宋_GB2312" w:hAnsi="黑体" w:eastAsia="仿宋_GB2312" w:cs="仿宋_GB2312"/>
          <w:i w:val="0"/>
          <w:iCs w:val="0"/>
          <w:sz w:val="32"/>
          <w:szCs w:val="32"/>
        </w:rPr>
        <w:t>万元，执行数</w:t>
      </w:r>
      <w:r>
        <w:rPr>
          <w:rFonts w:hint="eastAsia" w:ascii="仿宋_GB2312" w:hAnsi="黑体" w:eastAsia="仿宋_GB2312" w:cs="仿宋_GB2312"/>
          <w:i w:val="0"/>
          <w:iCs w:val="0"/>
          <w:sz w:val="32"/>
          <w:szCs w:val="32"/>
          <w:lang w:val="en-US" w:eastAsia="zh-CN"/>
        </w:rPr>
        <w:t>616.63</w:t>
      </w:r>
      <w:r>
        <w:rPr>
          <w:rFonts w:hint="eastAsia" w:ascii="仿宋_GB2312" w:hAnsi="黑体" w:eastAsia="仿宋_GB2312" w:cs="仿宋_GB2312"/>
          <w:i w:val="0"/>
          <w:iCs w:val="0"/>
          <w:sz w:val="32"/>
          <w:szCs w:val="32"/>
        </w:rPr>
        <w:t>万元，预算执行率</w:t>
      </w:r>
      <w:r>
        <w:rPr>
          <w:rFonts w:hint="eastAsia" w:ascii="仿宋_GB2312" w:hAnsi="黑体" w:eastAsia="仿宋_GB2312" w:cs="仿宋_GB2312"/>
          <w:i w:val="0"/>
          <w:iCs w:val="0"/>
          <w:sz w:val="32"/>
          <w:szCs w:val="32"/>
          <w:lang w:val="en-US" w:eastAsia="zh-CN"/>
        </w:rPr>
        <w:t>100</w:t>
      </w:r>
      <w:r>
        <w:rPr>
          <w:rFonts w:hint="eastAsia" w:ascii="仿宋_GB2312" w:hAnsi="黑体" w:eastAsia="仿宋_GB2312" w:cs="仿宋_GB2312"/>
          <w:i w:val="0"/>
          <w:iCs w:val="0"/>
          <w:sz w:val="32"/>
          <w:szCs w:val="32"/>
        </w:rPr>
        <w:t>%。项目绩效目标完成情况：</w:t>
      </w:r>
      <w:r>
        <w:rPr>
          <w:rFonts w:hint="eastAsia" w:ascii="仿宋_GB2312" w:hAnsi="黑体" w:eastAsia="仿宋_GB2312" w:cs="仿宋_GB2312"/>
          <w:i w:val="0"/>
          <w:iCs w:val="0"/>
          <w:sz w:val="32"/>
          <w:szCs w:val="32"/>
          <w:lang w:val="en-US" w:eastAsia="zh-CN"/>
        </w:rPr>
        <w:t>项目执行情况良好，完成盐田区薇甘菊防治（约3000亩）、生物防火林带维护（约47公里）、林分的抚育和景观提升（约43.1公顷）、红火蚁防治（约104公顷）、天然氧吧规划等工作。</w:t>
      </w:r>
    </w:p>
    <w:p>
      <w:pPr>
        <w:ind w:firstLine="0" w:firstLineChars="0"/>
        <w:rPr>
          <w:rFonts w:hint="eastAsia" w:ascii="楷体" w:hAnsi="楷体" w:eastAsia="楷体" w:cs="楷体"/>
          <w:b/>
          <w:bCs/>
          <w:i w:val="0"/>
          <w:iCs w:val="0"/>
          <w:sz w:val="32"/>
          <w:szCs w:val="32"/>
        </w:rPr>
      </w:pPr>
      <w:r>
        <w:rPr>
          <w:rFonts w:hint="eastAsia" w:ascii="楷体" w:hAnsi="楷体" w:eastAsia="楷体" w:cs="楷体"/>
          <w:b/>
          <w:bCs/>
          <w:i w:val="0"/>
          <w:iCs w:val="0"/>
          <w:sz w:val="32"/>
          <w:szCs w:val="32"/>
        </w:rPr>
        <w:t>（十一）其他重要事项情况说明</w:t>
      </w:r>
    </w:p>
    <w:p>
      <w:pPr>
        <w:ind w:firstLine="321" w:firstLineChars="100"/>
        <w:rPr>
          <w:rFonts w:hint="eastAsia" w:ascii="仿宋_GB2312" w:hAnsi="宋体" w:eastAsia="仿宋_GB2312" w:cs="仿宋_GB2312"/>
          <w:b w:val="0"/>
          <w:bCs w:val="0"/>
          <w:i w:val="0"/>
          <w:iCs w:val="0"/>
          <w:sz w:val="32"/>
          <w:szCs w:val="32"/>
          <w:lang w:val="en-US" w:eastAsia="zh-CN"/>
        </w:rPr>
      </w:pPr>
      <w:r>
        <w:rPr>
          <w:rFonts w:ascii="仿宋_GB2312" w:eastAsia="仿宋_GB2312" w:cs="仿宋_GB2312"/>
          <w:b/>
          <w:bCs/>
          <w:i w:val="0"/>
          <w:iCs w:val="0"/>
          <w:sz w:val="32"/>
          <w:szCs w:val="32"/>
        </w:rPr>
        <w:t>1.</w:t>
      </w:r>
      <w:r>
        <w:rPr>
          <w:rFonts w:hint="eastAsia" w:ascii="仿宋_GB2312" w:hAnsi="宋体" w:eastAsia="仿宋_GB2312" w:cs="仿宋_GB2312"/>
          <w:b/>
          <w:bCs/>
          <w:i w:val="0"/>
          <w:iCs w:val="0"/>
          <w:sz w:val="32"/>
          <w:szCs w:val="32"/>
        </w:rPr>
        <w:t>机关运行经费支出情况说明。</w:t>
      </w:r>
      <w:r>
        <w:rPr>
          <w:rFonts w:hint="eastAsia" w:ascii="仿宋_GB2312" w:hAnsi="宋体" w:eastAsia="仿宋_GB2312" w:cs="仿宋_GB2312"/>
          <w:b w:val="0"/>
          <w:bCs w:val="0"/>
          <w:i w:val="0"/>
          <w:iCs w:val="0"/>
          <w:sz w:val="32"/>
          <w:szCs w:val="32"/>
          <w:lang w:val="en-US" w:eastAsia="zh-CN"/>
        </w:rPr>
        <w:t>本单位2020年度机关运行经费支出381.2万元，比上年决算数329.02万元增加52.18万元，</w:t>
      </w:r>
      <w:r>
        <w:rPr>
          <w:rFonts w:hint="eastAsia" w:ascii="仿宋_GB2312" w:hAnsi="宋体" w:eastAsia="仿宋_GB2312" w:cs="仿宋_GB2312"/>
          <w:sz w:val="32"/>
          <w:szCs w:val="32"/>
          <w:lang w:val="en-US" w:eastAsia="zh-CN"/>
        </w:rPr>
        <w:t>公用经费增加52.18万元。公用经费</w:t>
      </w:r>
      <w:r>
        <w:rPr>
          <w:rFonts w:hint="eastAsia" w:ascii="仿宋_GB2312" w:hAnsi="宋体" w:eastAsia="仿宋_GB2312" w:cs="仿宋_GB2312"/>
          <w:b w:val="0"/>
          <w:bCs w:val="0"/>
          <w:i w:val="0"/>
          <w:iCs w:val="0"/>
          <w:sz w:val="32"/>
          <w:szCs w:val="32"/>
          <w:lang w:val="en-US" w:eastAsia="zh-CN"/>
        </w:rPr>
        <w:t>增加</w:t>
      </w:r>
      <w:r>
        <w:rPr>
          <w:rFonts w:hint="eastAsia" w:ascii="仿宋_GB2312" w:hAnsi="宋体" w:eastAsia="仿宋_GB2312" w:cs="仿宋_GB2312"/>
          <w:sz w:val="32"/>
          <w:szCs w:val="32"/>
          <w:lang w:val="en-US" w:eastAsia="zh-CN"/>
        </w:rPr>
        <w:t>主要是由于2020年公用经费定额标准调增，2020年公用支出预算相应增加；所以公用经费增加但对</w:t>
      </w:r>
      <w:r>
        <w:rPr>
          <w:rFonts w:hint="eastAsia" w:ascii="仿宋_GB2312" w:hAnsi="宋体" w:eastAsia="仿宋_GB2312" w:cs="仿宋_GB2312"/>
          <w:b w:val="0"/>
          <w:bCs w:val="0"/>
          <w:i w:val="0"/>
          <w:iCs w:val="0"/>
          <w:sz w:val="32"/>
          <w:szCs w:val="32"/>
          <w:lang w:val="en-US" w:eastAsia="zh-CN"/>
        </w:rPr>
        <w:t>比年初预算减少132.8万元，减少了26%。</w:t>
      </w:r>
    </w:p>
    <w:p>
      <w:pPr>
        <w:ind w:firstLine="320" w:firstLineChars="100"/>
        <w:rPr>
          <w:rFonts w:hint="default" w:ascii="仿宋_GB2312" w:hAnsi="宋体" w:eastAsia="仿宋_GB2312" w:cs="仿宋_GB2312"/>
          <w:b w:val="0"/>
          <w:bCs w:val="0"/>
          <w:i w:val="0"/>
          <w:iCs w:val="0"/>
          <w:sz w:val="32"/>
          <w:szCs w:val="32"/>
          <w:lang w:val="en-US" w:eastAsia="zh-CN"/>
        </w:rPr>
      </w:pPr>
    </w:p>
    <w:p>
      <w:pPr>
        <w:ind w:firstLine="321" w:firstLineChars="100"/>
        <w:rPr>
          <w:rFonts w:hint="eastAsia" w:ascii="仿宋_GB2312" w:hAnsi="宋体" w:eastAsia="仿宋_GB2312" w:cs="仿宋_GB2312"/>
          <w:i w:val="0"/>
          <w:iCs w:val="0"/>
          <w:sz w:val="32"/>
          <w:szCs w:val="32"/>
        </w:rPr>
      </w:pPr>
      <w:r>
        <w:rPr>
          <w:rFonts w:ascii="仿宋_GB2312" w:eastAsia="仿宋_GB2312" w:cs="仿宋_GB2312"/>
          <w:b/>
          <w:bCs/>
          <w:i w:val="0"/>
          <w:iCs w:val="0"/>
          <w:sz w:val="32"/>
          <w:szCs w:val="32"/>
        </w:rPr>
        <w:t>2.</w:t>
      </w:r>
      <w:r>
        <w:rPr>
          <w:rFonts w:hint="eastAsia" w:ascii="仿宋_GB2312" w:hAnsi="宋体" w:eastAsia="仿宋_GB2312" w:cs="仿宋_GB2312"/>
          <w:b/>
          <w:bCs/>
          <w:i w:val="0"/>
          <w:iCs w:val="0"/>
          <w:sz w:val="32"/>
          <w:szCs w:val="32"/>
        </w:rPr>
        <w:t>政府采购支出情况说明。</w:t>
      </w:r>
      <w:r>
        <w:rPr>
          <w:rFonts w:hint="eastAsia" w:ascii="仿宋_GB2312" w:hAnsi="宋体" w:eastAsia="仿宋_GB2312" w:cs="仿宋_GB2312"/>
          <w:b w:val="0"/>
          <w:bCs w:val="0"/>
          <w:i w:val="0"/>
          <w:iCs w:val="0"/>
          <w:sz w:val="32"/>
          <w:szCs w:val="32"/>
          <w:lang w:val="en-US" w:eastAsia="zh-CN"/>
        </w:rPr>
        <w:t>本单位2020年政府采购支出总额165.31万元，其中：政府采购货物支出51.79万元，政府采购工程支出0万元，政府采购服务支出113.52万元，其中授予小微企业合同66.29万元。</w:t>
      </w:r>
    </w:p>
    <w:p>
      <w:pPr>
        <w:ind w:firstLine="321" w:firstLineChars="100"/>
        <w:rPr>
          <w:rFonts w:ascii="仿宋_GB2312" w:hAnsi="宋体" w:eastAsia="仿宋_GB2312"/>
          <w:i w:val="0"/>
          <w:iCs w:val="0"/>
          <w:sz w:val="32"/>
          <w:szCs w:val="32"/>
        </w:rPr>
      </w:pPr>
      <w:r>
        <w:rPr>
          <w:rFonts w:ascii="仿宋_GB2312" w:eastAsia="仿宋_GB2312" w:cs="仿宋_GB2312"/>
          <w:b/>
          <w:bCs/>
          <w:i w:val="0"/>
          <w:iCs w:val="0"/>
          <w:sz w:val="32"/>
          <w:szCs w:val="32"/>
        </w:rPr>
        <w:t>3.</w:t>
      </w:r>
      <w:r>
        <w:rPr>
          <w:rFonts w:hint="eastAsia" w:ascii="仿宋_GB2312" w:hAnsi="宋体" w:eastAsia="仿宋_GB2312" w:cs="仿宋_GB2312"/>
          <w:b/>
          <w:bCs/>
          <w:i w:val="0"/>
          <w:iCs w:val="0"/>
          <w:sz w:val="32"/>
          <w:szCs w:val="32"/>
        </w:rPr>
        <w:t>国有资产占用情况说明。</w:t>
      </w:r>
      <w:r>
        <w:rPr>
          <w:rFonts w:hint="eastAsia" w:ascii="仿宋_GB2312" w:hAnsi="宋体" w:eastAsia="仿宋_GB2312" w:cs="仿宋_GB2312"/>
          <w:i w:val="0"/>
          <w:iCs w:val="0"/>
          <w:sz w:val="32"/>
          <w:szCs w:val="32"/>
        </w:rPr>
        <w:t>截至</w:t>
      </w:r>
      <w:r>
        <w:rPr>
          <w:rFonts w:ascii="仿宋_GB2312" w:hAnsi="宋体" w:eastAsia="仿宋_GB2312" w:cs="仿宋_GB2312"/>
          <w:i w:val="0"/>
          <w:iCs w:val="0"/>
          <w:sz w:val="32"/>
          <w:szCs w:val="32"/>
        </w:rPr>
        <w:t>2020</w:t>
      </w:r>
      <w:r>
        <w:rPr>
          <w:rFonts w:hint="eastAsia" w:ascii="仿宋_GB2312" w:hAnsi="宋体" w:eastAsia="仿宋_GB2312" w:cs="仿宋_GB2312"/>
          <w:i w:val="0"/>
          <w:iCs w:val="0"/>
          <w:sz w:val="32"/>
          <w:szCs w:val="32"/>
        </w:rPr>
        <w:t>年</w:t>
      </w:r>
      <w:r>
        <w:rPr>
          <w:rFonts w:ascii="仿宋_GB2312" w:hAnsi="宋体" w:eastAsia="仿宋_GB2312" w:cs="仿宋_GB2312"/>
          <w:i w:val="0"/>
          <w:iCs w:val="0"/>
          <w:sz w:val="32"/>
          <w:szCs w:val="32"/>
        </w:rPr>
        <w:t>12</w:t>
      </w:r>
      <w:r>
        <w:rPr>
          <w:rFonts w:hint="eastAsia" w:ascii="仿宋_GB2312" w:hAnsi="宋体" w:eastAsia="仿宋_GB2312" w:cs="仿宋_GB2312"/>
          <w:i w:val="0"/>
          <w:iCs w:val="0"/>
          <w:sz w:val="32"/>
          <w:szCs w:val="32"/>
        </w:rPr>
        <w:t>月</w:t>
      </w:r>
      <w:r>
        <w:rPr>
          <w:rFonts w:ascii="仿宋_GB2312" w:hAnsi="宋体" w:eastAsia="仿宋_GB2312" w:cs="仿宋_GB2312"/>
          <w:i w:val="0"/>
          <w:iCs w:val="0"/>
          <w:sz w:val="32"/>
          <w:szCs w:val="32"/>
        </w:rPr>
        <w:t>31</w:t>
      </w:r>
      <w:r>
        <w:rPr>
          <w:rFonts w:hint="eastAsia" w:ascii="仿宋_GB2312" w:hAnsi="宋体" w:eastAsia="仿宋_GB2312" w:cs="仿宋_GB2312"/>
          <w:i w:val="0"/>
          <w:iCs w:val="0"/>
          <w:sz w:val="32"/>
          <w:szCs w:val="32"/>
        </w:rPr>
        <w:t>日，本单位共有车辆</w:t>
      </w:r>
      <w:r>
        <w:rPr>
          <w:rFonts w:hint="eastAsia" w:ascii="仿宋_GB2312" w:hAnsi="宋体" w:eastAsia="仿宋_GB2312"/>
          <w:i w:val="0"/>
          <w:iCs w:val="0"/>
          <w:sz w:val="32"/>
          <w:szCs w:val="32"/>
          <w:lang w:eastAsia="zh-CN"/>
        </w:rPr>
        <w:t>7</w:t>
      </w:r>
      <w:r>
        <w:rPr>
          <w:rFonts w:hint="eastAsia" w:ascii="仿宋_GB2312" w:hAnsi="宋体" w:eastAsia="仿宋_GB2312" w:cs="仿宋_GB2312"/>
          <w:i w:val="0"/>
          <w:iCs w:val="0"/>
          <w:sz w:val="32"/>
          <w:szCs w:val="32"/>
        </w:rPr>
        <w:t>辆，其中一般公务用车</w:t>
      </w:r>
      <w:r>
        <w:rPr>
          <w:rFonts w:hint="eastAsia" w:ascii="仿宋_GB2312" w:hAnsi="宋体" w:eastAsia="仿宋_GB2312" w:cs="仿宋_GB2312"/>
          <w:i w:val="0"/>
          <w:iCs w:val="0"/>
          <w:sz w:val="32"/>
          <w:szCs w:val="32"/>
          <w:lang w:val="en-US" w:eastAsia="zh-CN"/>
        </w:rPr>
        <w:t>2</w:t>
      </w:r>
      <w:r>
        <w:rPr>
          <w:rFonts w:hint="eastAsia" w:ascii="仿宋_GB2312" w:hAnsi="宋体" w:eastAsia="仿宋_GB2312" w:cs="仿宋_GB2312"/>
          <w:i w:val="0"/>
          <w:iCs w:val="0"/>
          <w:sz w:val="32"/>
          <w:szCs w:val="32"/>
        </w:rPr>
        <w:t>辆</w:t>
      </w:r>
      <w:r>
        <w:rPr>
          <w:rFonts w:hint="eastAsia" w:ascii="仿宋_GB2312" w:hAnsi="宋体" w:eastAsia="仿宋_GB2312" w:cs="仿宋_GB2312"/>
          <w:i w:val="0"/>
          <w:iCs w:val="0"/>
          <w:sz w:val="32"/>
          <w:szCs w:val="32"/>
          <w:lang w:eastAsia="zh-CN"/>
        </w:rPr>
        <w:t>，</w:t>
      </w:r>
      <w:r>
        <w:rPr>
          <w:rFonts w:hint="eastAsia" w:ascii="仿宋_GB2312" w:hAnsi="宋体" w:eastAsia="仿宋_GB2312" w:cs="仿宋_GB2312"/>
          <w:i w:val="0"/>
          <w:iCs w:val="0"/>
          <w:sz w:val="32"/>
          <w:szCs w:val="32"/>
          <w:lang w:val="en-US" w:eastAsia="zh-CN"/>
        </w:rPr>
        <w:t>另外5辆有账无车。</w:t>
      </w:r>
      <w:r>
        <w:rPr>
          <w:rFonts w:hint="eastAsia" w:ascii="仿宋_GB2312" w:hAnsi="宋体" w:eastAsia="仿宋_GB2312" w:cs="仿宋_GB2312"/>
          <w:i w:val="0"/>
          <w:iCs w:val="0"/>
          <w:sz w:val="32"/>
          <w:szCs w:val="32"/>
        </w:rPr>
        <w:t>单价</w:t>
      </w:r>
      <w:r>
        <w:rPr>
          <w:rFonts w:ascii="仿宋_GB2312" w:hAnsi="宋体" w:eastAsia="仿宋_GB2312" w:cs="仿宋_GB2312"/>
          <w:i w:val="0"/>
          <w:iCs w:val="0"/>
          <w:sz w:val="32"/>
          <w:szCs w:val="32"/>
        </w:rPr>
        <w:t>50</w:t>
      </w:r>
      <w:r>
        <w:rPr>
          <w:rFonts w:hint="eastAsia" w:ascii="仿宋_GB2312" w:hAnsi="宋体" w:eastAsia="仿宋_GB2312" w:cs="仿宋_GB2312"/>
          <w:i w:val="0"/>
          <w:iCs w:val="0"/>
          <w:sz w:val="32"/>
          <w:szCs w:val="32"/>
        </w:rPr>
        <w:t>万元以上通用设备</w:t>
      </w:r>
      <w:r>
        <w:rPr>
          <w:rFonts w:hint="eastAsia" w:ascii="仿宋_GB2312" w:hAnsi="宋体" w:eastAsia="仿宋_GB2312" w:cs="仿宋_GB2312"/>
          <w:i w:val="0"/>
          <w:iCs w:val="0"/>
          <w:sz w:val="32"/>
          <w:szCs w:val="32"/>
          <w:lang w:eastAsia="zh-CN"/>
        </w:rPr>
        <w:t>0</w:t>
      </w:r>
      <w:r>
        <w:rPr>
          <w:rFonts w:hint="eastAsia" w:ascii="仿宋_GB2312" w:hAnsi="宋体" w:eastAsia="仿宋_GB2312" w:cs="仿宋_GB2312"/>
          <w:i w:val="0"/>
          <w:iCs w:val="0"/>
          <w:sz w:val="32"/>
          <w:szCs w:val="32"/>
        </w:rPr>
        <w:t>台（套），单价</w:t>
      </w:r>
      <w:r>
        <w:rPr>
          <w:rFonts w:ascii="仿宋_GB2312" w:hAnsi="宋体" w:eastAsia="仿宋_GB2312" w:cs="仿宋_GB2312"/>
          <w:i w:val="0"/>
          <w:iCs w:val="0"/>
          <w:sz w:val="32"/>
          <w:szCs w:val="32"/>
        </w:rPr>
        <w:t>100</w:t>
      </w:r>
      <w:r>
        <w:rPr>
          <w:rFonts w:hint="eastAsia" w:ascii="仿宋_GB2312" w:hAnsi="宋体" w:eastAsia="仿宋_GB2312" w:cs="仿宋_GB2312"/>
          <w:i w:val="0"/>
          <w:iCs w:val="0"/>
          <w:sz w:val="32"/>
          <w:szCs w:val="32"/>
        </w:rPr>
        <w:t>万元以上专用设备</w:t>
      </w:r>
      <w:r>
        <w:rPr>
          <w:rFonts w:hint="eastAsia" w:ascii="仿宋_GB2312" w:hAnsi="宋体" w:eastAsia="仿宋_GB2312" w:cs="仿宋_GB2312"/>
          <w:i w:val="0"/>
          <w:iCs w:val="0"/>
          <w:sz w:val="32"/>
          <w:szCs w:val="32"/>
          <w:lang w:eastAsia="zh-CN"/>
        </w:rPr>
        <w:t>0</w:t>
      </w:r>
      <w:r>
        <w:rPr>
          <w:rFonts w:hint="eastAsia" w:ascii="仿宋_GB2312" w:hAnsi="宋体" w:eastAsia="仿宋_GB2312" w:cs="仿宋_GB2312"/>
          <w:i w:val="0"/>
          <w:iCs w:val="0"/>
          <w:sz w:val="32"/>
          <w:szCs w:val="32"/>
        </w:rPr>
        <w:t>台（套）。</w:t>
      </w:r>
    </w:p>
    <w:p>
      <w:pPr>
        <w:ind w:firstLine="321" w:firstLineChars="100"/>
        <w:rPr>
          <w:rFonts w:hint="eastAsia" w:ascii="仿宋_GB2312" w:hAnsi="宋体" w:eastAsia="仿宋_GB2312" w:cs="仿宋_GB2312"/>
          <w:b/>
          <w:bCs/>
          <w:i w:val="0"/>
          <w:iCs w:val="0"/>
          <w:sz w:val="32"/>
          <w:szCs w:val="32"/>
        </w:rPr>
      </w:pPr>
      <w:r>
        <w:rPr>
          <w:rFonts w:ascii="仿宋_GB2312" w:hAnsi="宋体" w:eastAsia="仿宋_GB2312" w:cs="仿宋_GB2312"/>
          <w:b/>
          <w:bCs/>
          <w:i w:val="0"/>
          <w:iCs w:val="0"/>
          <w:sz w:val="32"/>
          <w:szCs w:val="32"/>
        </w:rPr>
        <w:t>4</w:t>
      </w:r>
      <w:r>
        <w:rPr>
          <w:rFonts w:hint="eastAsia" w:ascii="仿宋_GB2312" w:hAnsi="宋体" w:eastAsia="仿宋_GB2312" w:cs="仿宋_GB2312"/>
          <w:b/>
          <w:bCs/>
          <w:i w:val="0"/>
          <w:iCs w:val="0"/>
          <w:sz w:val="32"/>
          <w:szCs w:val="32"/>
        </w:rPr>
        <w:t>．部门（单位）需要说明的其他特殊事项。</w:t>
      </w:r>
    </w:p>
    <w:p>
      <w:pPr>
        <w:ind w:firstLine="640" w:firstLineChars="200"/>
        <w:rPr>
          <w:rFonts w:hint="eastAsia" w:ascii="仿宋_GB2312" w:hAnsi="宋体" w:eastAsia="仿宋_GB2312" w:cs="仿宋_GB2312"/>
          <w:b/>
          <w:bCs/>
          <w:i w:val="0"/>
          <w:iCs w:val="0"/>
          <w:sz w:val="32"/>
          <w:szCs w:val="32"/>
        </w:rPr>
      </w:pPr>
      <w:r>
        <w:rPr>
          <w:rFonts w:hint="eastAsia" w:ascii="仿宋_GB2312" w:hAnsi="宋体" w:eastAsia="仿宋_GB2312" w:cs="仿宋_GB2312"/>
          <w:b w:val="0"/>
          <w:bCs w:val="0"/>
          <w:i w:val="0"/>
          <w:iCs w:val="0"/>
          <w:sz w:val="32"/>
          <w:szCs w:val="32"/>
          <w:lang w:val="en-US" w:eastAsia="zh-CN"/>
        </w:rPr>
        <w:t>无。</w:t>
      </w:r>
    </w:p>
    <w:p>
      <w:pPr>
        <w:widowControl/>
        <w:jc w:val="left"/>
        <w:rPr>
          <w:rFonts w:ascii="仿宋_GB2312" w:hAnsi="宋体" w:eastAsia="仿宋_GB2312" w:cs="仿宋_GB2312"/>
          <w:b/>
          <w:bCs/>
          <w:sz w:val="32"/>
          <w:szCs w:val="32"/>
        </w:rPr>
      </w:pPr>
      <w:r>
        <w:rPr>
          <w:rFonts w:ascii="仿宋_GB2312" w:hAnsi="宋体" w:eastAsia="仿宋_GB2312" w:cs="仿宋_GB2312"/>
          <w:b/>
          <w:bCs/>
          <w:sz w:val="32"/>
          <w:szCs w:val="32"/>
        </w:rPr>
        <w:br w:type="page"/>
      </w:r>
    </w:p>
    <w:p>
      <w:pPr>
        <w:pStyle w:val="2"/>
        <w:spacing w:before="0" w:after="0" w:line="360" w:lineRule="auto"/>
        <w:ind w:firstLine="562" w:firstLineChars="200"/>
        <w:rPr>
          <w:rFonts w:ascii="黑体" w:hAnsi="黑体" w:eastAsia="黑体" w:cs="黑体"/>
          <w:sz w:val="28"/>
          <w:szCs w:val="28"/>
        </w:rPr>
      </w:pPr>
      <w:r>
        <w:rPr>
          <w:rFonts w:hint="eastAsia" w:ascii="黑体" w:hAnsi="黑体" w:eastAsia="黑体" w:cs="黑体"/>
          <w:sz w:val="28"/>
          <w:szCs w:val="28"/>
        </w:rPr>
        <w:t>四、名词解释</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各部门应当按照部门预算管理要求进行专业名词解释，以财务会计制度规定、政府收支分类科目规定为准，在此基础上可适当细化。</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(一)财政拨款收入：指当年从市级财政取得的公共预算财政拨款。</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(二)事业收入：指事业单位开展专业业务活动及其辅助活动取得的收入。</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三</w:t>
      </w:r>
      <w:r>
        <w:rPr>
          <w:rFonts w:hint="eastAsia" w:ascii="仿宋_GB2312" w:hAnsi="黑体" w:eastAsia="仿宋_GB2312" w:cs="仿宋_GB2312"/>
          <w:sz w:val="32"/>
          <w:szCs w:val="32"/>
        </w:rPr>
        <w:t>)其他收入：指除上述在“财政拨款收入、事业收入、经营收入”等之外取得的收入。主要是以前年度部门预算政府采购结转资金、当年未列入部门预算从其他部门拨入的科研经费和国家、省林业部门拨入的专项经费等。</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四</w:t>
      </w:r>
      <w:r>
        <w:rPr>
          <w:rFonts w:hint="eastAsia" w:ascii="仿宋_GB2312" w:hAnsi="黑体" w:eastAsia="仿宋_GB2312" w:cs="仿宋_GB2312"/>
          <w:sz w:val="32"/>
          <w:szCs w:val="32"/>
        </w:rPr>
        <w:t>)上年结转和结余：指以前年度支出预算因客观条件变化未执行完毕、结转到本年度按规定继续使用的资金，既包括财政拨款的结转和结余，也包括事业收入、经营收入和其他收入的结转和结余。</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五</w:t>
      </w:r>
      <w:r>
        <w:rPr>
          <w:rFonts w:hint="eastAsia" w:ascii="仿宋_GB2312" w:hAnsi="黑体" w:eastAsia="仿宋_GB2312" w:cs="仿宋_GB2312"/>
          <w:sz w:val="32"/>
          <w:szCs w:val="32"/>
        </w:rPr>
        <w:t>)一般公共服务(类)支出：指政府提供一般公共服务的支出。主要为保障机构正常运转、开展城市管理活动所发生的基本支出和项目支出。</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六</w:t>
      </w:r>
      <w:r>
        <w:rPr>
          <w:rFonts w:hint="eastAsia" w:ascii="仿宋_GB2312" w:hAnsi="黑体" w:eastAsia="仿宋_GB2312" w:cs="仿宋_GB2312"/>
          <w:sz w:val="32"/>
          <w:szCs w:val="32"/>
        </w:rPr>
        <w:t>)社会保障和就业(类)支出：指政府在社会保障与就业方面的支出。包括社会保障与就业管理事务、民政管理事务、财政对社会保险基金补助、行政事业单位离退休、企业改革补助、就业补助、抚恤、退役安置、社会福利、残疾人事业、城市居民最低生活保障、自然灾害生活救助、红十字会事务等。如行政机关开支的离退休人员经费和离退休干部管理机构为离退休人员提供管理和服务所发生的工作支出。</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七</w:t>
      </w:r>
      <w:r>
        <w:rPr>
          <w:rFonts w:hint="eastAsia" w:ascii="仿宋_GB2312" w:hAnsi="黑体" w:eastAsia="仿宋_GB2312" w:cs="仿宋_GB2312"/>
          <w:sz w:val="32"/>
          <w:szCs w:val="32"/>
        </w:rPr>
        <w:t>)医疗卫生与计划生育（类）支出：主要反映政府医疗卫生方面的支出，我局主要是用于医保缴费等。</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八</w:t>
      </w:r>
      <w:r>
        <w:rPr>
          <w:rFonts w:hint="eastAsia" w:ascii="仿宋_GB2312" w:hAnsi="黑体" w:eastAsia="仿宋_GB2312" w:cs="仿宋_GB2312"/>
          <w:sz w:val="32"/>
          <w:szCs w:val="32"/>
        </w:rPr>
        <w:t>)城乡社区事务(类)支出：指城乡社区事务支出。包括城乡社区管理事务、城乡社区规划与管理、城乡社区公共设施、城乡社区住宅、城乡社区环境卫生、建设市场管理与监督支出等。如城市管理部门用于保障机构正常运行，开展城市管理事务的支出。</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九</w:t>
      </w:r>
      <w:r>
        <w:rPr>
          <w:rFonts w:hint="eastAsia" w:ascii="仿宋_GB2312" w:hAnsi="黑体" w:eastAsia="仿宋_GB2312" w:cs="仿宋_GB2312"/>
          <w:sz w:val="32"/>
          <w:szCs w:val="32"/>
        </w:rPr>
        <w:t>)农林水事务(类)支出：指农林水事务支出。主要用于森林资源培育、林业技术推广、森林资源管理、保护和监测、林业自然保护区管理和野生动植物保护、湿地保护、森林防火、林业有害生物防治、林业工程与项目管理、林业执法监督、林业对外合作交流、林业法规政策制定和宣传、林业资金审计稽查、林区公共事务管理等工作支出。</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(十)交通运输（类）支出：反映交通运输和邮政业方面的支出。</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(十</w:t>
      </w:r>
      <w:r>
        <w:rPr>
          <w:rFonts w:hint="eastAsia" w:ascii="仿宋_GB2312" w:hAnsi="黑体" w:eastAsia="仿宋_GB2312" w:cs="仿宋_GB2312"/>
          <w:sz w:val="32"/>
          <w:szCs w:val="32"/>
          <w:lang w:val="en-US" w:eastAsia="zh-CN"/>
        </w:rPr>
        <w:t>一</w:t>
      </w:r>
      <w:r>
        <w:rPr>
          <w:rFonts w:hint="eastAsia" w:ascii="仿宋_GB2312" w:hAnsi="黑体" w:eastAsia="仿宋_GB2312" w:cs="仿宋_GB2312"/>
          <w:sz w:val="32"/>
          <w:szCs w:val="32"/>
        </w:rPr>
        <w:t>)国土海洋气象（类）支出：反映政府用于国土资源、海洋、测绘、地震、气象等公益服务事业方面的支出。</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我局主要用于用于内伶仃岛整治与修复。</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(十</w:t>
      </w:r>
      <w:r>
        <w:rPr>
          <w:rFonts w:hint="eastAsia" w:ascii="仿宋_GB2312" w:hAnsi="黑体" w:eastAsia="仿宋_GB2312" w:cs="仿宋_GB2312"/>
          <w:sz w:val="32"/>
          <w:szCs w:val="32"/>
          <w:lang w:val="en-US" w:eastAsia="zh-CN"/>
        </w:rPr>
        <w:t>二</w:t>
      </w:r>
      <w:r>
        <w:rPr>
          <w:rFonts w:hint="eastAsia" w:ascii="仿宋_GB2312" w:hAnsi="黑体" w:eastAsia="仿宋_GB2312" w:cs="仿宋_GB2312"/>
          <w:sz w:val="32"/>
          <w:szCs w:val="32"/>
        </w:rPr>
        <w:t>)住房保障(类)支出：指政府用于住房方面的支出。包括保障性安居工程支出、住房改革支出、城乡社区住宅支出等。如行政事业单位按照国家政策规定向职工发放住房公积金、提租补贴、购房补贴等。</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(十</w:t>
      </w:r>
      <w:r>
        <w:rPr>
          <w:rFonts w:hint="eastAsia" w:ascii="仿宋_GB2312" w:hAnsi="黑体" w:eastAsia="仿宋_GB2312" w:cs="仿宋_GB2312"/>
          <w:sz w:val="32"/>
          <w:szCs w:val="32"/>
          <w:lang w:val="en-US" w:eastAsia="zh-CN"/>
        </w:rPr>
        <w:t>三</w:t>
      </w:r>
      <w:r>
        <w:rPr>
          <w:rFonts w:hint="eastAsia" w:ascii="仿宋_GB2312" w:hAnsi="黑体" w:eastAsia="仿宋_GB2312" w:cs="仿宋_GB2312"/>
          <w:sz w:val="32"/>
          <w:szCs w:val="32"/>
        </w:rPr>
        <w:t>)其他支出：指除以上支出(类)以外的其他政府支出。</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十四</w:t>
      </w:r>
      <w:r>
        <w:rPr>
          <w:rFonts w:hint="eastAsia" w:ascii="仿宋_GB2312" w:hAnsi="黑体" w:eastAsia="仿宋_GB2312" w:cs="仿宋_GB2312"/>
          <w:sz w:val="32"/>
          <w:szCs w:val="32"/>
        </w:rPr>
        <w:t>)年末结转和结余资金：是指本年度或以前年度预算安排、因客观条件发生变化无法按原计划实施，需要延迟到以后年度继续使用的资金，既包括财政拨款的结转和结余，也包括事业收入、经营收入和其他收入的结转和结余。</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十五</w:t>
      </w:r>
      <w:r>
        <w:rPr>
          <w:rFonts w:hint="eastAsia" w:ascii="仿宋_GB2312" w:hAnsi="黑体" w:eastAsia="仿宋_GB2312" w:cs="仿宋_GB2312"/>
          <w:sz w:val="32"/>
          <w:szCs w:val="32"/>
        </w:rPr>
        <w:t>)基本支出：是指为保障机构正常运转、完成日常工作任务而发生的人员支出和公用支出。</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十六</w:t>
      </w:r>
      <w:r>
        <w:rPr>
          <w:rFonts w:hint="eastAsia" w:ascii="仿宋_GB2312" w:hAnsi="黑体" w:eastAsia="仿宋_GB2312" w:cs="仿宋_GB2312"/>
          <w:sz w:val="32"/>
          <w:szCs w:val="32"/>
        </w:rPr>
        <w:t>)项目支出：是指在基本支出之外为完成特定的行政工作任务或事业发展目标所发生的支出。</w:t>
      </w:r>
    </w:p>
    <w:p>
      <w:pPr>
        <w:spacing w:line="60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十七</w:t>
      </w:r>
      <w:r>
        <w:rPr>
          <w:rFonts w:hint="eastAsia" w:ascii="仿宋_GB2312" w:hAnsi="黑体" w:eastAsia="仿宋_GB2312" w:cs="仿宋_GB2312"/>
          <w:sz w:val="32"/>
          <w:szCs w:val="32"/>
        </w:rPr>
        <w:t>)机关运行经费：为保障行政单位(含参照公务员法管理的事业单位）运行用于购买货物和服务的各项资金，包括办公及印刷费、邮电费、差旅费、会议费、福利费、日常维 修费、专用材料及一般设备购置费、办公用房水电费、办公用房物业管理费、公务用车运行维护费以及其他费用。</w:t>
      </w:r>
    </w:p>
    <w:p>
      <w:pPr>
        <w:spacing w:line="60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十八</w:t>
      </w:r>
      <w:r>
        <w:rPr>
          <w:rFonts w:hint="eastAsia" w:ascii="仿宋_GB2312" w:hAnsi="黑体" w:eastAsia="仿宋_GB2312" w:cs="仿宋_GB2312"/>
          <w:sz w:val="32"/>
          <w:szCs w:val="32"/>
        </w:rPr>
        <w:t>)“三公经费”：是指因公出国(境)费、公务用车购置及运行费和公务接待费。其中，因公出国(境)费指单位工作人员公务出国(境)的住宿费、旅费、伙食补助费、杂费、培训费等支出；公务用车购置及运行费指单位公务用车购置费、租用费、燃料费、维修费、过路过桥费、保险费费用等支出；公务接待费指单位按规定开支的各类公务接待(含外宾接待)支出。</w:t>
      </w:r>
    </w:p>
    <w:p>
      <w:pPr>
        <w:spacing w:line="600" w:lineRule="exact"/>
        <w:ind w:firstLine="640" w:firstLineChars="200"/>
        <w:rPr>
          <w:rFonts w:ascii="仿宋_GB2312" w:hAnsi="黑体" w:eastAsia="仿宋_GB2312" w:cs="仿宋_GB2312"/>
          <w:sz w:val="32"/>
          <w:szCs w:val="32"/>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cs="宋体"/>
        <w:sz w:val="28"/>
        <w:szCs w:val="28"/>
      </w:rPr>
    </w:pP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- 8 -</w:t>
    </w:r>
    <w:r>
      <w:rPr>
        <w:rStyle w:val="9"/>
        <w:rFonts w:ascii="宋体" w:hAnsi="宋体" w:cs="宋体"/>
        <w:sz w:val="28"/>
        <w:szCs w:val="28"/>
      </w:rPr>
      <w:fldChar w:fldCharType="end"/>
    </w:r>
  </w:p>
  <w:p>
    <w:pPr>
      <w:pStyle w:val="5"/>
      <w:tabs>
        <w:tab w:val="left" w:pos="1080"/>
        <w:tab w:val="clear" w:pos="4153"/>
        <w:tab w:val="clear" w:pos="8306"/>
      </w:tabs>
      <w:ind w:right="360" w:firstLine="360"/>
    </w:pP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0E3CB"/>
    <w:multiLevelType w:val="singleLevel"/>
    <w:tmpl w:val="8090E3CB"/>
    <w:lvl w:ilvl="0" w:tentative="0">
      <w:start w:val="4"/>
      <w:numFmt w:val="chineseCounting"/>
      <w:suff w:val="nothing"/>
      <w:lvlText w:val="（%1）"/>
      <w:lvlJc w:val="left"/>
      <w:pPr>
        <w:ind w:left="-560"/>
      </w:pPr>
      <w:rPr>
        <w:rFonts w:hint="eastAsia" w:ascii="黑体" w:hAnsi="黑体" w:eastAsia="黑体" w:cs="黑体"/>
        <w:sz w:val="28"/>
        <w:szCs w:val="28"/>
      </w:rPr>
    </w:lvl>
  </w:abstractNum>
  <w:abstractNum w:abstractNumId="1">
    <w:nsid w:val="AE646D88"/>
    <w:multiLevelType w:val="singleLevel"/>
    <w:tmpl w:val="AE646D8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C9F"/>
    <w:rsid w:val="00006D3D"/>
    <w:rsid w:val="000155F4"/>
    <w:rsid w:val="000159A8"/>
    <w:rsid w:val="00044510"/>
    <w:rsid w:val="00053A7D"/>
    <w:rsid w:val="00062FF9"/>
    <w:rsid w:val="00071F74"/>
    <w:rsid w:val="0008731E"/>
    <w:rsid w:val="00090EF1"/>
    <w:rsid w:val="00091F93"/>
    <w:rsid w:val="000A0123"/>
    <w:rsid w:val="000B290A"/>
    <w:rsid w:val="000C3401"/>
    <w:rsid w:val="000E0306"/>
    <w:rsid w:val="000F5EFF"/>
    <w:rsid w:val="000F7E64"/>
    <w:rsid w:val="001026D9"/>
    <w:rsid w:val="00116031"/>
    <w:rsid w:val="00151273"/>
    <w:rsid w:val="0016788E"/>
    <w:rsid w:val="00174D9C"/>
    <w:rsid w:val="00177CBB"/>
    <w:rsid w:val="00180C51"/>
    <w:rsid w:val="001A456C"/>
    <w:rsid w:val="001B2571"/>
    <w:rsid w:val="001B6B7B"/>
    <w:rsid w:val="001C25DE"/>
    <w:rsid w:val="001D369A"/>
    <w:rsid w:val="001D5705"/>
    <w:rsid w:val="001E38BE"/>
    <w:rsid w:val="001F2957"/>
    <w:rsid w:val="001F799B"/>
    <w:rsid w:val="00216E3E"/>
    <w:rsid w:val="00223483"/>
    <w:rsid w:val="00230BD7"/>
    <w:rsid w:val="00234797"/>
    <w:rsid w:val="00242DDC"/>
    <w:rsid w:val="0024386A"/>
    <w:rsid w:val="002473E2"/>
    <w:rsid w:val="00256893"/>
    <w:rsid w:val="00271105"/>
    <w:rsid w:val="002751B4"/>
    <w:rsid w:val="002873B1"/>
    <w:rsid w:val="0029763C"/>
    <w:rsid w:val="002B2B4B"/>
    <w:rsid w:val="002B6BF0"/>
    <w:rsid w:val="002B6F31"/>
    <w:rsid w:val="002C5F66"/>
    <w:rsid w:val="002C6976"/>
    <w:rsid w:val="002D2A2F"/>
    <w:rsid w:val="002D5837"/>
    <w:rsid w:val="002D6645"/>
    <w:rsid w:val="00303DB6"/>
    <w:rsid w:val="00310D23"/>
    <w:rsid w:val="00314DEC"/>
    <w:rsid w:val="00322A9C"/>
    <w:rsid w:val="00323815"/>
    <w:rsid w:val="00347E3E"/>
    <w:rsid w:val="00360F02"/>
    <w:rsid w:val="003742CD"/>
    <w:rsid w:val="003751E2"/>
    <w:rsid w:val="00393649"/>
    <w:rsid w:val="003A4637"/>
    <w:rsid w:val="003A49F0"/>
    <w:rsid w:val="003A744B"/>
    <w:rsid w:val="003B1A8F"/>
    <w:rsid w:val="003B4AA6"/>
    <w:rsid w:val="003C48E2"/>
    <w:rsid w:val="003D1EDD"/>
    <w:rsid w:val="003D48E3"/>
    <w:rsid w:val="003E232D"/>
    <w:rsid w:val="00407C6C"/>
    <w:rsid w:val="00414F30"/>
    <w:rsid w:val="00416ED2"/>
    <w:rsid w:val="004542BB"/>
    <w:rsid w:val="0046342F"/>
    <w:rsid w:val="004653E8"/>
    <w:rsid w:val="0046543D"/>
    <w:rsid w:val="00467C0D"/>
    <w:rsid w:val="0047226D"/>
    <w:rsid w:val="00473CEE"/>
    <w:rsid w:val="00481A15"/>
    <w:rsid w:val="00483CA2"/>
    <w:rsid w:val="004863C0"/>
    <w:rsid w:val="004931DB"/>
    <w:rsid w:val="004A02EA"/>
    <w:rsid w:val="004B0E41"/>
    <w:rsid w:val="004C5A32"/>
    <w:rsid w:val="004D1179"/>
    <w:rsid w:val="004D6504"/>
    <w:rsid w:val="004E04B5"/>
    <w:rsid w:val="004F07C1"/>
    <w:rsid w:val="00506C01"/>
    <w:rsid w:val="00510682"/>
    <w:rsid w:val="005278B1"/>
    <w:rsid w:val="00540090"/>
    <w:rsid w:val="005428A8"/>
    <w:rsid w:val="00542B97"/>
    <w:rsid w:val="00562DD0"/>
    <w:rsid w:val="005647A4"/>
    <w:rsid w:val="00583D12"/>
    <w:rsid w:val="005947F2"/>
    <w:rsid w:val="0059666E"/>
    <w:rsid w:val="005A1784"/>
    <w:rsid w:val="005A37BC"/>
    <w:rsid w:val="005B2565"/>
    <w:rsid w:val="005D648A"/>
    <w:rsid w:val="005F6795"/>
    <w:rsid w:val="0060059A"/>
    <w:rsid w:val="00604F97"/>
    <w:rsid w:val="0060525B"/>
    <w:rsid w:val="00611580"/>
    <w:rsid w:val="00612DA4"/>
    <w:rsid w:val="00614F6C"/>
    <w:rsid w:val="00642A9B"/>
    <w:rsid w:val="00645816"/>
    <w:rsid w:val="00676C1C"/>
    <w:rsid w:val="00676E56"/>
    <w:rsid w:val="0068085F"/>
    <w:rsid w:val="00691E6C"/>
    <w:rsid w:val="00693F69"/>
    <w:rsid w:val="00696C42"/>
    <w:rsid w:val="006A0183"/>
    <w:rsid w:val="006A7CC1"/>
    <w:rsid w:val="006B17C3"/>
    <w:rsid w:val="006B19A5"/>
    <w:rsid w:val="006B22DC"/>
    <w:rsid w:val="006B3B6B"/>
    <w:rsid w:val="006C15FC"/>
    <w:rsid w:val="006D71E5"/>
    <w:rsid w:val="006E10E6"/>
    <w:rsid w:val="007014C1"/>
    <w:rsid w:val="007203EE"/>
    <w:rsid w:val="00720CE4"/>
    <w:rsid w:val="007244D4"/>
    <w:rsid w:val="00731BDB"/>
    <w:rsid w:val="00733AC7"/>
    <w:rsid w:val="00740E5D"/>
    <w:rsid w:val="00742C17"/>
    <w:rsid w:val="00752CD1"/>
    <w:rsid w:val="007556D6"/>
    <w:rsid w:val="007612D1"/>
    <w:rsid w:val="0076496F"/>
    <w:rsid w:val="0076589E"/>
    <w:rsid w:val="00775C73"/>
    <w:rsid w:val="007760E4"/>
    <w:rsid w:val="007768BA"/>
    <w:rsid w:val="007901B2"/>
    <w:rsid w:val="007962BB"/>
    <w:rsid w:val="007C4BDC"/>
    <w:rsid w:val="007D0468"/>
    <w:rsid w:val="007E0796"/>
    <w:rsid w:val="007E07DF"/>
    <w:rsid w:val="007E1F51"/>
    <w:rsid w:val="007E3649"/>
    <w:rsid w:val="0081293A"/>
    <w:rsid w:val="0081662C"/>
    <w:rsid w:val="0082164B"/>
    <w:rsid w:val="008217EC"/>
    <w:rsid w:val="00821E4D"/>
    <w:rsid w:val="00832950"/>
    <w:rsid w:val="00835A5A"/>
    <w:rsid w:val="0085212B"/>
    <w:rsid w:val="00864143"/>
    <w:rsid w:val="00873830"/>
    <w:rsid w:val="008805B8"/>
    <w:rsid w:val="00883ADB"/>
    <w:rsid w:val="00897577"/>
    <w:rsid w:val="008A1E35"/>
    <w:rsid w:val="008D0217"/>
    <w:rsid w:val="008D3E1D"/>
    <w:rsid w:val="008D77F9"/>
    <w:rsid w:val="008E052D"/>
    <w:rsid w:val="009046D3"/>
    <w:rsid w:val="00916EE1"/>
    <w:rsid w:val="0091701C"/>
    <w:rsid w:val="009202B1"/>
    <w:rsid w:val="00932C20"/>
    <w:rsid w:val="00935026"/>
    <w:rsid w:val="00935F4C"/>
    <w:rsid w:val="00943197"/>
    <w:rsid w:val="00961993"/>
    <w:rsid w:val="00965321"/>
    <w:rsid w:val="009766D0"/>
    <w:rsid w:val="00980929"/>
    <w:rsid w:val="009C6AB0"/>
    <w:rsid w:val="009D6370"/>
    <w:rsid w:val="009D7849"/>
    <w:rsid w:val="009E76BD"/>
    <w:rsid w:val="009F20BA"/>
    <w:rsid w:val="009F79EB"/>
    <w:rsid w:val="00A00F74"/>
    <w:rsid w:val="00A26FD3"/>
    <w:rsid w:val="00A42DC6"/>
    <w:rsid w:val="00A461F3"/>
    <w:rsid w:val="00A4764B"/>
    <w:rsid w:val="00A8068D"/>
    <w:rsid w:val="00A85FD8"/>
    <w:rsid w:val="00A86970"/>
    <w:rsid w:val="00A92AEC"/>
    <w:rsid w:val="00A933AE"/>
    <w:rsid w:val="00A961CE"/>
    <w:rsid w:val="00AA2B63"/>
    <w:rsid w:val="00AE0798"/>
    <w:rsid w:val="00AE4CFC"/>
    <w:rsid w:val="00AF74D6"/>
    <w:rsid w:val="00AF7BFB"/>
    <w:rsid w:val="00B072C5"/>
    <w:rsid w:val="00B13D7B"/>
    <w:rsid w:val="00B15243"/>
    <w:rsid w:val="00B221AD"/>
    <w:rsid w:val="00B372FC"/>
    <w:rsid w:val="00B56C83"/>
    <w:rsid w:val="00B60381"/>
    <w:rsid w:val="00B904CF"/>
    <w:rsid w:val="00B90FFC"/>
    <w:rsid w:val="00BB0A6B"/>
    <w:rsid w:val="00BC548B"/>
    <w:rsid w:val="00BC56CA"/>
    <w:rsid w:val="00BD23B4"/>
    <w:rsid w:val="00BE5E0B"/>
    <w:rsid w:val="00BF77B3"/>
    <w:rsid w:val="00C03F49"/>
    <w:rsid w:val="00C057BD"/>
    <w:rsid w:val="00C236FA"/>
    <w:rsid w:val="00C26E63"/>
    <w:rsid w:val="00C303C7"/>
    <w:rsid w:val="00C32332"/>
    <w:rsid w:val="00C33919"/>
    <w:rsid w:val="00C407CD"/>
    <w:rsid w:val="00C4195E"/>
    <w:rsid w:val="00C42802"/>
    <w:rsid w:val="00C50CA8"/>
    <w:rsid w:val="00C52A03"/>
    <w:rsid w:val="00C61BE2"/>
    <w:rsid w:val="00C769B6"/>
    <w:rsid w:val="00CB0501"/>
    <w:rsid w:val="00CB4071"/>
    <w:rsid w:val="00CC58F3"/>
    <w:rsid w:val="00CC7E09"/>
    <w:rsid w:val="00CE63A9"/>
    <w:rsid w:val="00CF3B0A"/>
    <w:rsid w:val="00D2495A"/>
    <w:rsid w:val="00D2720E"/>
    <w:rsid w:val="00D31BEA"/>
    <w:rsid w:val="00D33EA9"/>
    <w:rsid w:val="00D40E2A"/>
    <w:rsid w:val="00D41B43"/>
    <w:rsid w:val="00D52C14"/>
    <w:rsid w:val="00D6044A"/>
    <w:rsid w:val="00D61314"/>
    <w:rsid w:val="00D70FD1"/>
    <w:rsid w:val="00D77963"/>
    <w:rsid w:val="00D80A38"/>
    <w:rsid w:val="00D8564F"/>
    <w:rsid w:val="00DA6F3D"/>
    <w:rsid w:val="00DB5FF0"/>
    <w:rsid w:val="00DB7540"/>
    <w:rsid w:val="00DC070F"/>
    <w:rsid w:val="00DC373F"/>
    <w:rsid w:val="00DC519D"/>
    <w:rsid w:val="00DC59BF"/>
    <w:rsid w:val="00DC5D37"/>
    <w:rsid w:val="00DD0733"/>
    <w:rsid w:val="00DE4062"/>
    <w:rsid w:val="00DE6669"/>
    <w:rsid w:val="00DF333B"/>
    <w:rsid w:val="00E0178B"/>
    <w:rsid w:val="00E0517B"/>
    <w:rsid w:val="00E10E32"/>
    <w:rsid w:val="00E12C9C"/>
    <w:rsid w:val="00E2269A"/>
    <w:rsid w:val="00E35491"/>
    <w:rsid w:val="00E4322E"/>
    <w:rsid w:val="00E51FFF"/>
    <w:rsid w:val="00E52292"/>
    <w:rsid w:val="00E65EC1"/>
    <w:rsid w:val="00E71989"/>
    <w:rsid w:val="00E86B8B"/>
    <w:rsid w:val="00E95584"/>
    <w:rsid w:val="00E962F0"/>
    <w:rsid w:val="00EA138A"/>
    <w:rsid w:val="00EB43C7"/>
    <w:rsid w:val="00EB5641"/>
    <w:rsid w:val="00EC04F7"/>
    <w:rsid w:val="00EC50CB"/>
    <w:rsid w:val="00ED1882"/>
    <w:rsid w:val="00ED1CDA"/>
    <w:rsid w:val="00EE78A0"/>
    <w:rsid w:val="00EF6761"/>
    <w:rsid w:val="00EF6EF0"/>
    <w:rsid w:val="00F0236E"/>
    <w:rsid w:val="00F06A87"/>
    <w:rsid w:val="00F162BC"/>
    <w:rsid w:val="00F23D19"/>
    <w:rsid w:val="00F27A1A"/>
    <w:rsid w:val="00F3172F"/>
    <w:rsid w:val="00F33992"/>
    <w:rsid w:val="00F55A4A"/>
    <w:rsid w:val="00F61EAE"/>
    <w:rsid w:val="00F71868"/>
    <w:rsid w:val="00F93F06"/>
    <w:rsid w:val="00F94EEC"/>
    <w:rsid w:val="00F9766B"/>
    <w:rsid w:val="00FB2160"/>
    <w:rsid w:val="00FC1030"/>
    <w:rsid w:val="00FC733F"/>
    <w:rsid w:val="00FD4B3E"/>
    <w:rsid w:val="00FE0684"/>
    <w:rsid w:val="00FE203F"/>
    <w:rsid w:val="00FF3C90"/>
    <w:rsid w:val="038510F6"/>
    <w:rsid w:val="0DD54B35"/>
    <w:rsid w:val="1655365B"/>
    <w:rsid w:val="22233488"/>
    <w:rsid w:val="24F76D55"/>
    <w:rsid w:val="25C01783"/>
    <w:rsid w:val="2C7B6D67"/>
    <w:rsid w:val="323227EB"/>
    <w:rsid w:val="33CC38CB"/>
    <w:rsid w:val="36FC6C4D"/>
    <w:rsid w:val="37252F03"/>
    <w:rsid w:val="43B91A66"/>
    <w:rsid w:val="4F8036B0"/>
    <w:rsid w:val="516F2CE9"/>
    <w:rsid w:val="5A7A1C48"/>
    <w:rsid w:val="5D931E37"/>
    <w:rsid w:val="5E163358"/>
    <w:rsid w:val="64FA1935"/>
    <w:rsid w:val="67976E27"/>
    <w:rsid w:val="69DE4EEC"/>
    <w:rsid w:val="764F1EDB"/>
    <w:rsid w:val="77A81FFA"/>
    <w:rsid w:val="780D5B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qFormat/>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character" w:customStyle="1" w:styleId="10">
    <w:name w:val="页眉 字符"/>
    <w:basedOn w:val="8"/>
    <w:link w:val="6"/>
    <w:semiHidden/>
    <w:qFormat/>
    <w:locked/>
    <w:uiPriority w:val="99"/>
    <w:rPr>
      <w:sz w:val="18"/>
      <w:szCs w:val="18"/>
    </w:rPr>
  </w:style>
  <w:style w:type="character" w:customStyle="1" w:styleId="11">
    <w:name w:val="页脚 字符"/>
    <w:basedOn w:val="8"/>
    <w:link w:val="5"/>
    <w:semiHidden/>
    <w:qFormat/>
    <w:locked/>
    <w:uiPriority w:val="99"/>
    <w:rPr>
      <w:sz w:val="18"/>
      <w:szCs w:val="18"/>
    </w:rPr>
  </w:style>
  <w:style w:type="character" w:customStyle="1" w:styleId="12">
    <w:name w:val="批注框文本 字符"/>
    <w:basedOn w:val="8"/>
    <w:link w:val="4"/>
    <w:semiHidden/>
    <w:qFormat/>
    <w:uiPriority w:val="99"/>
    <w:rPr>
      <w:rFonts w:ascii="Times New Roman" w:hAnsi="Times New Roman"/>
      <w:sz w:val="0"/>
      <w:szCs w:val="0"/>
    </w:rPr>
  </w:style>
  <w:style w:type="paragraph" w:customStyle="1" w:styleId="13">
    <w:name w:val="List Paragraph1"/>
    <w:basedOn w:val="1"/>
    <w:qFormat/>
    <w:uiPriority w:val="0"/>
    <w:pPr>
      <w:ind w:firstLine="420" w:firstLineChars="200"/>
    </w:pPr>
    <w:rPr>
      <w:rFonts w:ascii="Calibri" w:hAnsi="Calibri" w:cs="Calibri"/>
    </w:rPr>
  </w:style>
  <w:style w:type="paragraph" w:styleId="14">
    <w:name w:val="List Paragraph"/>
    <w:basedOn w:val="1"/>
    <w:qFormat/>
    <w:uiPriority w:val="99"/>
    <w:pPr>
      <w:ind w:firstLine="420" w:firstLineChars="200"/>
    </w:pPr>
  </w:style>
  <w:style w:type="character" w:customStyle="1" w:styleId="15">
    <w:name w:val="标题 1 字符"/>
    <w:basedOn w:val="8"/>
    <w:link w:val="2"/>
    <w:qFormat/>
    <w:uiPriority w:val="0"/>
    <w:rPr>
      <w:rFonts w:ascii="Times New Roman" w:hAnsi="Times New Roman"/>
      <w:b/>
      <w:bCs/>
      <w:kern w:val="44"/>
      <w:sz w:val="44"/>
      <w:szCs w:val="44"/>
    </w:rPr>
  </w:style>
  <w:style w:type="character" w:customStyle="1" w:styleId="16">
    <w:name w:val="标题 2 字符"/>
    <w:basedOn w:val="8"/>
    <w:link w:val="3"/>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9943</Words>
  <Characters>10909</Characters>
  <Lines>64</Lines>
  <Paragraphs>18</Paragraphs>
  <TotalTime>0</TotalTime>
  <ScaleCrop>false</ScaleCrop>
  <LinksUpToDate>false</LinksUpToDate>
  <CharactersWithSpaces>10958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2021-10-18T14:52:00Z</dcterms:created>
  <dc:creator>林靖</dc:creator>
  <cp:lastModifiedBy>Administrator</cp:lastModifiedBy>
  <cp:lastPrinted>2021-10-21T06:30:00Z</cp:lastPrinted>
  <dcterms:modified xsi:type="dcterms:W3CDTF">2022-04-19T03:49:31Z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14E32F7273F745EB9C88C984769CF10D</vt:lpwstr>
  </property>
</Properties>
</file>