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10" w:lineRule="exact"/>
        <w:ind w:firstLine="583"/>
        <w:rPr>
          <w:rFonts w:hint="default" w:eastAsia="汉仪书宋二简"/>
          <w:color w:val="000000" w:themeColor="text1"/>
          <w:u w:val="single"/>
          <w:lang w:val="en-US" w:eastAsia="zh-CN"/>
          <w14:textFill>
            <w14:solidFill>
              <w14:schemeClr w14:val="tx1"/>
            </w14:solidFill>
          </w14:textFill>
        </w:rPr>
      </w:pPr>
      <w:r>
        <w:rPr>
          <w:rFonts w:hAnsi="宋体"/>
          <w:color w:val="000000" w:themeColor="text1"/>
          <w:kern w:val="10"/>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宗地代码：</w:t>
      </w:r>
      <w:r>
        <w:rPr>
          <w:rFonts w:hint="eastAsia"/>
          <w:color w:val="000000" w:themeColor="text1"/>
          <w:highlight w:val="none"/>
          <w:u w:val="single"/>
          <w14:textFill>
            <w14:solidFill>
              <w14:schemeClr w14:val="tx1"/>
            </w14:solidFill>
          </w14:textFill>
        </w:rPr>
        <w:t>4403072010</w:t>
      </w:r>
      <w:r>
        <w:rPr>
          <w:rFonts w:hint="eastAsia"/>
          <w:color w:val="000000" w:themeColor="text1"/>
          <w:highlight w:val="none"/>
          <w:u w:val="single"/>
          <w:lang w:val="en-US" w:eastAsia="zh-CN"/>
          <w14:textFill>
            <w14:solidFill>
              <w14:schemeClr w14:val="tx1"/>
            </w14:solidFill>
          </w14:textFill>
        </w:rPr>
        <w:t>03</w:t>
      </w:r>
      <w:r>
        <w:rPr>
          <w:rFonts w:hint="eastAsia"/>
          <w:color w:val="000000" w:themeColor="text1"/>
          <w:highlight w:val="none"/>
          <w:u w:val="single"/>
          <w14:textFill>
            <w14:solidFill>
              <w14:schemeClr w14:val="tx1"/>
            </w14:solidFill>
          </w14:textFill>
        </w:rPr>
        <w:t>GB00</w:t>
      </w:r>
      <w:r>
        <w:rPr>
          <w:rFonts w:hint="eastAsia"/>
          <w:color w:val="000000" w:themeColor="text1"/>
          <w:highlight w:val="none"/>
          <w:u w:val="single"/>
          <w:lang w:val="en-US" w:eastAsia="zh-CN"/>
          <w14:textFill>
            <w14:solidFill>
              <w14:schemeClr w14:val="tx1"/>
            </w14:solidFill>
          </w14:textFill>
        </w:rPr>
        <w:t>328</w:t>
      </w:r>
    </w:p>
    <w:p>
      <w:pPr>
        <w:pStyle w:val="8"/>
        <w:spacing w:line="510" w:lineRule="exact"/>
        <w:ind w:firstLine="583"/>
        <w:jc w:val="right"/>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宗地编号：</w:t>
      </w:r>
      <w:r>
        <w:rPr>
          <w:rFonts w:hint="eastAsia"/>
          <w:color w:val="000000" w:themeColor="text1"/>
          <w:u w:val="single"/>
          <w14:textFill>
            <w14:solidFill>
              <w14:schemeClr w14:val="tx1"/>
            </w14:solidFill>
          </w14:textFill>
        </w:rPr>
        <w:t>G14312-0224</w:t>
      </w:r>
    </w:p>
    <w:p>
      <w:pPr>
        <w:spacing w:line="800" w:lineRule="exact"/>
        <w:ind w:firstLine="1440" w:firstLineChars="300"/>
        <w:rPr>
          <w:b/>
          <w:bCs/>
          <w:spacing w:val="40"/>
          <w:sz w:val="32"/>
        </w:rPr>
      </w:pPr>
      <w:r>
        <w:rPr>
          <w:rFonts w:hint="eastAsia" w:eastAsia="汉仪中黑简"/>
          <w:spacing w:val="40"/>
          <w:w w:val="100"/>
          <w:sz w:val="40"/>
        </w:rPr>
        <w:t>深圳市土地使用权出让合同书</w:t>
      </w:r>
    </w:p>
    <w:p>
      <w:pPr>
        <w:spacing w:after="800"/>
        <w:ind w:firstLine="0" w:firstLineChars="0"/>
        <w:jc w:val="center"/>
        <w:rPr>
          <w:rFonts w:ascii="汉仪书宋二简" w:hAnsi="宋体"/>
          <w:color w:val="000000" w:themeColor="text1"/>
          <w14:textFill>
            <w14:solidFill>
              <w14:schemeClr w14:val="tx1"/>
            </w14:solidFill>
          </w14:textFill>
        </w:rPr>
      </w:pPr>
      <w:r>
        <w:rPr>
          <w:rFonts w:hint="eastAsia" w:ascii="汉仪书宋二简" w:hAnsi="宋体"/>
          <w:color w:val="000000" w:themeColor="text1"/>
          <w14:textFill>
            <w14:solidFill>
              <w14:schemeClr w14:val="tx1"/>
            </w14:solidFill>
          </w14:textFill>
        </w:rPr>
        <w:t>深地合字</w:t>
      </w:r>
      <w:r>
        <w:rPr>
          <w:rFonts w:ascii="汉仪书宋二简" w:hAnsi="宋体"/>
          <w:color w:val="000000" w:themeColor="text1"/>
          <w14:textFill>
            <w14:solidFill>
              <w14:schemeClr w14:val="tx1"/>
            </w14:solidFill>
          </w14:textFill>
        </w:rPr>
        <w:t>20</w:t>
      </w:r>
      <w:r>
        <w:rPr>
          <w:rFonts w:hint="eastAsia" w:ascii="汉仪书宋二简" w:hAnsi="宋体"/>
          <w:color w:val="000000" w:themeColor="text1"/>
          <w14:textFill>
            <w14:solidFill>
              <w14:schemeClr w14:val="tx1"/>
            </w14:solidFill>
          </w14:textFill>
        </w:rPr>
        <w:t>2</w:t>
      </w:r>
      <w:r>
        <w:rPr>
          <w:rFonts w:hint="eastAsia" w:ascii="汉仪书宋二简" w:hAnsi="宋体"/>
          <w:color w:val="000000" w:themeColor="text1"/>
          <w:lang w:val="en-US" w:eastAsia="zh-CN"/>
          <w14:textFill>
            <w14:solidFill>
              <w14:schemeClr w14:val="tx1"/>
            </w14:solidFill>
          </w14:textFill>
        </w:rPr>
        <w:t>1</w:t>
      </w:r>
      <w:r>
        <w:rPr>
          <w:rFonts w:hint="eastAsia" w:ascii="汉仪书宋二简" w:hAnsi="宋体"/>
          <w:color w:val="000000" w:themeColor="text1"/>
          <w14:textFill>
            <w14:solidFill>
              <w14:schemeClr w14:val="tx1"/>
            </w14:solidFill>
          </w14:textFill>
        </w:rPr>
        <w:t>-90</w:t>
      </w:r>
      <w:r>
        <w:rPr>
          <w:rFonts w:hint="eastAsia" w:ascii="汉仪书宋二简" w:hAnsi="宋体"/>
          <w:color w:val="000000" w:themeColor="text1"/>
          <w:lang w:val="en-US" w:eastAsia="zh-CN"/>
          <w14:textFill>
            <w14:solidFill>
              <w14:schemeClr w14:val="tx1"/>
            </w14:solidFill>
          </w14:textFill>
        </w:rPr>
        <w:t>10</w:t>
      </w:r>
      <w:r>
        <w:rPr>
          <w:rFonts w:hint="eastAsia" w:ascii="汉仪书宋二简" w:hAnsi="宋体"/>
          <w:color w:val="000000" w:themeColor="text1"/>
          <w14:textFill>
            <w14:solidFill>
              <w14:schemeClr w14:val="tx1"/>
            </w14:solidFill>
          </w14:textFill>
        </w:rPr>
        <w:t>号</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一、本合同双方当事人</w:t>
      </w:r>
    </w:p>
    <w:p>
      <w:pPr>
        <w:pStyle w:val="8"/>
        <w:ind w:firstLine="583"/>
        <w:rPr>
          <w:color w:val="000000" w:themeColor="text1"/>
          <w:spacing w:val="6"/>
          <w:u w:val="single"/>
          <w14:textFill>
            <w14:solidFill>
              <w14:schemeClr w14:val="tx1"/>
            </w14:solidFill>
          </w14:textFill>
        </w:rPr>
      </w:pPr>
      <w:r>
        <w:rPr>
          <w:rFonts w:hint="eastAsia"/>
          <w:color w:val="000000" w:themeColor="text1"/>
          <w14:textFill>
            <w14:solidFill>
              <w14:schemeClr w14:val="tx1"/>
            </w14:solidFill>
          </w14:textFill>
        </w:rPr>
        <w:t>出</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rFonts w:hint="eastAsia"/>
          <w:color w:val="000000" w:themeColor="text1"/>
          <w:spacing w:val="6"/>
          <w:u w:val="single"/>
          <w14:textFill>
            <w14:solidFill>
              <w14:schemeClr w14:val="tx1"/>
            </w14:solidFill>
          </w14:textFill>
        </w:rPr>
        <w:t>深圳市规划和自然资源局坪山管理局</w:t>
      </w:r>
    </w:p>
    <w:p>
      <w:pPr>
        <w:pStyle w:val="8"/>
        <w:ind w:firstLine="527"/>
        <w:rPr>
          <w:color w:val="000000" w:themeColor="text1"/>
          <w14:textFill>
            <w14:solidFill>
              <w14:schemeClr w14:val="tx1"/>
            </w14:solidFill>
          </w14:textFill>
        </w:rPr>
      </w:pPr>
      <w:r>
        <w:rPr>
          <w:color w:val="000000" w:themeColor="text1"/>
          <w:spacing w:val="6"/>
          <w14:textFill>
            <w14:solidFill>
              <w14:schemeClr w14:val="tx1"/>
            </w14:solidFill>
          </w14:textFill>
        </w:rPr>
        <w:t xml:space="preserve">           </w:t>
      </w:r>
      <w:r>
        <w:rPr>
          <w:rFonts w:hint="eastAsia"/>
          <w:color w:val="000000" w:themeColor="text1"/>
          <w14:textFill>
            <w14:solidFill>
              <w14:schemeClr w14:val="tx1"/>
            </w14:solidFill>
          </w14:textFill>
        </w:rPr>
        <w:t>（以下简称甲方）</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u w:val="single"/>
          <w14:textFill>
            <w14:solidFill>
              <w14:schemeClr w14:val="tx1"/>
            </w14:solidFill>
          </w14:textFill>
        </w:rPr>
        <w:t>姚早兴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rFonts w:hint="eastAsia"/>
          <w:color w:val="000000" w:themeColor="text1"/>
          <w:u w:val="single"/>
          <w14:textFill>
            <w14:solidFill>
              <w14:schemeClr w14:val="tx1"/>
            </w14:solidFill>
          </w14:textFill>
        </w:rPr>
        <w:t>局长</w:t>
      </w:r>
    </w:p>
    <w:p>
      <w:pPr>
        <w:pStyle w:val="8"/>
        <w:tabs>
          <w:tab w:val="left" w:pos="5996"/>
          <w:tab w:val="clear" w:pos="5103"/>
        </w:tabs>
        <w:ind w:firstLine="583"/>
        <w:rPr>
          <w:rFonts w:hAnsi="汉仪书宋二简"/>
          <w:color w:val="000000" w:themeColor="text1"/>
          <w:spacing w:val="0"/>
          <w:szCs w:val="23"/>
          <w:u w:val="single"/>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rFonts w:hint="eastAsia" w:hAnsi="汉仪书宋二简"/>
          <w:color w:val="000000" w:themeColor="text1"/>
          <w:spacing w:val="0"/>
          <w:szCs w:val="23"/>
          <w:u w:val="single"/>
          <w14:textFill>
            <w14:solidFill>
              <w14:schemeClr w14:val="tx1"/>
            </w14:solidFill>
          </w14:textFill>
        </w:rPr>
        <w:t>深圳市坪山区龙坪路</w:t>
      </w:r>
      <w:r>
        <w:rPr>
          <w:rFonts w:hAnsi="汉仪书宋二简"/>
          <w:color w:val="000000" w:themeColor="text1"/>
          <w:spacing w:val="0"/>
          <w:szCs w:val="23"/>
          <w:u w:val="single"/>
          <w14:textFill>
            <w14:solidFill>
              <w14:schemeClr w14:val="tx1"/>
            </w14:solidFill>
          </w14:textFill>
        </w:rPr>
        <w:t>6号</w:t>
      </w:r>
    </w:p>
    <w:p>
      <w:pPr>
        <w:pStyle w:val="8"/>
        <w:tabs>
          <w:tab w:val="left" w:pos="5996"/>
          <w:tab w:val="clear" w:pos="5103"/>
        </w:tabs>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28297888</w:t>
      </w:r>
    </w:p>
    <w:p>
      <w:pPr>
        <w:pStyle w:val="8"/>
        <w:ind w:firstLine="583"/>
        <w:rPr>
          <w:color w:val="000000" w:themeColor="text1"/>
          <w14:textFill>
            <w14:solidFill>
              <w14:schemeClr w14:val="tx1"/>
            </w14:solidFill>
          </w14:textFill>
        </w:rPr>
      </w:pP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受</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p>
    <w:p>
      <w:pPr>
        <w:pStyle w:val="8"/>
        <w:ind w:firstLine="583"/>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（以下简称乙方）</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color w:val="000000" w:themeColor="text1"/>
          <w:u w:val="single"/>
          <w14:textFill>
            <w14:solidFill>
              <w14:schemeClr w14:val="tx1"/>
            </w14:solidFill>
          </w14:textFill>
        </w:rPr>
        <w:t xml:space="preserve">  /  </w:t>
      </w:r>
    </w:p>
    <w:p>
      <w:pPr>
        <w:pStyle w:val="8"/>
        <w:ind w:left="2165" w:leftChars="197" w:hanging="1588" w:hangingChars="542"/>
        <w:rPr>
          <w:color w:val="000000" w:themeColor="text1"/>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受</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（以下简称乙方）</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14:textFill>
            <w14:solidFill>
              <w14:schemeClr w14:val="tx1"/>
            </w14:solidFill>
          </w14:textFill>
        </w:rPr>
        <w:t xml:space="preserve">    /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                    </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 xml:space="preserve">        /            </w:t>
      </w:r>
    </w:p>
    <w:p>
      <w:pPr>
        <w:pStyle w:val="8"/>
        <w:ind w:firstLine="0" w:firstLineChars="0"/>
        <w:rPr>
          <w:color w:val="000000" w:themeColor="text1"/>
          <w:u w:val="single"/>
          <w14:textFill>
            <w14:solidFill>
              <w14:schemeClr w14:val="tx1"/>
            </w14:solidFill>
          </w14:textFill>
        </w:rPr>
      </w:pPr>
    </w:p>
    <w:p>
      <w:pPr>
        <w:pStyle w:val="8"/>
        <w:ind w:firstLine="0" w:firstLineChars="0"/>
        <w:rPr>
          <w:color w:val="000000" w:themeColor="text1"/>
          <w:u w:val="single"/>
          <w14:textFill>
            <w14:solidFill>
              <w14:schemeClr w14:val="tx1"/>
            </w14:solidFill>
          </w14:textFill>
        </w:rPr>
      </w:pPr>
    </w:p>
    <w:p>
      <w:pPr>
        <w:pStyle w:val="8"/>
        <w:ind w:firstLine="0" w:firstLineChars="0"/>
        <w:rPr>
          <w:color w:val="000000" w:themeColor="text1"/>
          <w:u w:val="single"/>
          <w14:textFill>
            <w14:solidFill>
              <w14:schemeClr w14:val="tx1"/>
            </w14:solidFill>
          </w14:textFill>
        </w:rPr>
      </w:pP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二、根据国家有关法律、法规及深圳市的有关规定，订立本合同。</w:t>
      </w:r>
    </w:p>
    <w:p>
      <w:pPr>
        <w:pStyle w:val="8"/>
        <w:spacing w:line="510" w:lineRule="exact"/>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三、甲方向乙方出让土地的使用权，土地所有权属于国家。地下自然资源、埋藏物均不在土地使用权出让范围。</w:t>
      </w:r>
    </w:p>
    <w:p>
      <w:pPr>
        <w:pStyle w:val="8"/>
        <w:spacing w:line="510" w:lineRule="exact"/>
        <w:ind w:right="0" w:firstLine="583"/>
        <w:rPr>
          <w:color w:val="000000" w:themeColor="text1"/>
          <w:u w:val="single"/>
          <w14:textFill>
            <w14:solidFill>
              <w14:schemeClr w14:val="tx1"/>
            </w14:solidFill>
          </w14:textFill>
        </w:rPr>
      </w:pPr>
      <w:r>
        <w:rPr>
          <w:rFonts w:hint="eastAsia"/>
          <w:color w:val="000000" w:themeColor="text1"/>
          <w:szCs w:val="23"/>
          <w14:textFill>
            <w14:solidFill>
              <w14:schemeClr w14:val="tx1"/>
            </w14:solidFill>
          </w14:textFill>
        </w:rPr>
        <w:t>四、本合同签订之日，甲方将</w:t>
      </w:r>
      <w:r>
        <w:rPr>
          <w:rFonts w:hint="eastAsia"/>
          <w:color w:val="000000" w:themeColor="text1"/>
          <w:u w:val="single"/>
          <w14:textFill>
            <w14:solidFill>
              <w14:schemeClr w14:val="tx1"/>
            </w14:solidFill>
          </w14:textFill>
        </w:rPr>
        <w:t>G14312-0224</w:t>
      </w:r>
      <w:r>
        <w:rPr>
          <w:rFonts w:hint="eastAsia"/>
          <w:color w:val="000000" w:themeColor="text1"/>
          <w:kern w:val="0"/>
          <w:szCs w:val="23"/>
          <w14:textFill>
            <w14:solidFill>
              <w14:schemeClr w14:val="tx1"/>
            </w14:solidFill>
          </w14:textFill>
        </w:rPr>
        <w:t>宗地的土地使用权出让给乙方，该宗地总用地面积为</w:t>
      </w:r>
      <w:r>
        <w:rPr>
          <w:rFonts w:hint="eastAsia"/>
          <w:color w:val="000000" w:themeColor="text1"/>
          <w:kern w:val="10"/>
          <w:szCs w:val="23"/>
          <w:u w:val="single"/>
          <w:lang w:val="en-US" w:eastAsia="zh-CN"/>
          <w14:textFill>
            <w14:solidFill>
              <w14:schemeClr w14:val="tx1"/>
            </w14:solidFill>
          </w14:textFill>
        </w:rPr>
        <w:t>20004.32</w:t>
      </w:r>
      <w:r>
        <w:rPr>
          <w:rFonts w:hint="eastAsia"/>
          <w:color w:val="000000" w:themeColor="text1"/>
          <w:kern w:val="10"/>
          <w:szCs w:val="23"/>
          <w14:textFill>
            <w14:solidFill>
              <w14:schemeClr w14:val="tx1"/>
            </w14:solidFill>
          </w14:textFill>
        </w:rPr>
        <w:t>平方米</w:t>
      </w:r>
      <w:r>
        <w:rPr>
          <w:rFonts w:hint="eastAsia"/>
          <w:color w:val="000000" w:themeColor="text1"/>
          <w:szCs w:val="23"/>
          <w14:textFill>
            <w14:solidFill>
              <w14:schemeClr w14:val="tx1"/>
            </w14:solidFill>
          </w14:textFill>
        </w:rPr>
        <w:t>（见宗地附图红线范围）</w:t>
      </w:r>
      <w:r>
        <w:rPr>
          <w:rFonts w:hint="eastAsia"/>
          <w:color w:val="000000" w:themeColor="text1"/>
          <w:kern w:val="0"/>
          <w:szCs w:val="23"/>
          <w14:textFill>
            <w14:solidFill>
              <w14:schemeClr w14:val="tx1"/>
            </w14:solidFill>
          </w14:textFill>
        </w:rPr>
        <w:t>。乙方对</w:t>
      </w:r>
      <w:r>
        <w:rPr>
          <w:rFonts w:hint="eastAsia"/>
          <w:color w:val="000000" w:themeColor="text1"/>
          <w14:textFill>
            <w14:solidFill>
              <w14:schemeClr w14:val="tx1"/>
            </w14:solidFill>
          </w14:textFill>
        </w:rPr>
        <w:t>上述宗地的现状无任何异议。本合同签订后，则视为甲方已向乙方交付土地。</w:t>
      </w:r>
    </w:p>
    <w:p>
      <w:pPr>
        <w:ind w:left="1025" w:leftChars="200" w:hanging="439" w:hangingChars="150"/>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五、上述宗地的使用年期为</w:t>
      </w:r>
      <w:r>
        <w:rPr>
          <w:rFonts w:hint="eastAsia" w:ascii="汉仪书宋二简"/>
          <w:color w:val="000000" w:themeColor="text1"/>
          <w:u w:val="single"/>
          <w14:textFill>
            <w14:solidFill>
              <w14:schemeClr w14:val="tx1"/>
            </w14:solidFill>
          </w14:textFill>
        </w:rPr>
        <w:t>贰拾</w:t>
      </w:r>
      <w:r>
        <w:rPr>
          <w:rFonts w:hint="eastAsia" w:ascii="汉仪书宋二简"/>
          <w:color w:val="000000" w:themeColor="text1"/>
          <w14:textFill>
            <w14:solidFill>
              <w14:schemeClr w14:val="tx1"/>
            </w14:solidFill>
          </w14:textFill>
        </w:rPr>
        <w:t>年，从</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日起至</w:t>
      </w:r>
      <w:r>
        <w:rPr>
          <w:rFonts w:ascii="汉仪书宋二简"/>
          <w:color w:val="000000" w:themeColor="text1"/>
          <w:u w:val="single"/>
          <w14:textFill>
            <w14:solidFill>
              <w14:schemeClr w14:val="tx1"/>
            </w14:solidFill>
          </w14:textFill>
        </w:rPr>
        <w:t xml:space="preserve">            </w:t>
      </w:r>
    </w:p>
    <w:p>
      <w:pPr>
        <w:ind w:firstLine="199" w:firstLineChars="68"/>
        <w:rPr>
          <w:rFonts w:ascii="汉仪书宋二简"/>
          <w:color w:val="000000" w:themeColor="text1"/>
          <w14:textFill>
            <w14:solidFill>
              <w14:schemeClr w14:val="tx1"/>
            </w14:solidFill>
          </w14:textFill>
        </w:rPr>
      </w:pP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日止。</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六、上述宗地土地使用权出让的总地价款为人民币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元）。其中，出让金为人民币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元）；土地开发金为人民币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元）；市政配套设施金为人民币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ind w:firstLine="583"/>
      </w:pPr>
      <w:r>
        <w:rPr>
          <w:rFonts w:hint="eastAsia" w:ascii="汉仪书宋二简"/>
          <w:color w:val="000000" w:themeColor="text1"/>
          <w14:textFill>
            <w14:solidFill>
              <w14:schemeClr w14:val="tx1"/>
            </w14:solidFill>
          </w14:textFill>
        </w:rPr>
        <w:t>七、土地用途为普通工业用地。</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八、土地性质为商品性。</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九、土地利用要求：</w:t>
      </w:r>
    </w:p>
    <w:p>
      <w:pPr>
        <w:tabs>
          <w:tab w:val="left" w:pos="540"/>
        </w:tabs>
        <w:spacing w:line="510" w:lineRule="exact"/>
        <w:ind w:firstLine="586" w:firstLineChars="200"/>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（一）主体建筑物的性质为：</w:t>
      </w:r>
      <w:r>
        <w:rPr>
          <w:rFonts w:hint="eastAsia" w:ascii="汉仪书宋二简"/>
          <w:color w:val="000000" w:themeColor="text1"/>
          <w:u w:val="single"/>
          <w14:textFill>
            <w14:solidFill>
              <w14:schemeClr w14:val="tx1"/>
            </w14:solidFill>
          </w14:textFill>
        </w:rPr>
        <w:t>厂房</w:t>
      </w:r>
    </w:p>
    <w:p>
      <w:pPr>
        <w:spacing w:line="510" w:lineRule="exact"/>
        <w:ind w:firstLine="586" w:firstLineChars="200"/>
        <w:rPr>
          <w:rFonts w:hint="eastAsia" w:ascii="汉仪书宋二简" w:eastAsia="宋体"/>
          <w:color w:val="000000" w:themeColor="text1"/>
          <w:u w:val="single"/>
          <w:lang w:eastAsia="zh-CN"/>
          <w14:textFill>
            <w14:solidFill>
              <w14:schemeClr w14:val="tx1"/>
            </w14:solidFill>
          </w14:textFill>
        </w:rPr>
      </w:pPr>
      <w:r>
        <w:rPr>
          <w:rFonts w:hint="eastAsia" w:ascii="汉仪书宋二简"/>
          <w:color w:val="000000" w:themeColor="text1"/>
          <w14:textFill>
            <w14:solidFill>
              <w14:schemeClr w14:val="tx1"/>
            </w14:solidFill>
          </w14:textFill>
        </w:rPr>
        <w:t>（二）建筑容积率：</w:t>
      </w:r>
      <w:r>
        <w:rPr>
          <w:rFonts w:hint="eastAsia" w:ascii="汉仪书宋二简" w:eastAsia="宋体"/>
          <w:color w:val="000000" w:themeColor="text1"/>
          <w:u w:val="single"/>
          <w14:textFill>
            <w14:solidFill>
              <w14:schemeClr w14:val="tx1"/>
            </w14:solidFill>
          </w14:textFill>
        </w:rPr>
        <w:t>≤4.</w:t>
      </w:r>
      <w:r>
        <w:rPr>
          <w:rFonts w:hint="eastAsia" w:ascii="汉仪书宋二简" w:eastAsia="宋体"/>
          <w:color w:val="000000" w:themeColor="text1"/>
          <w:u w:val="single"/>
          <w:lang w:val="en-US" w:eastAsia="zh-CN"/>
          <w14:textFill>
            <w14:solidFill>
              <w14:schemeClr w14:val="tx1"/>
            </w14:solidFill>
          </w14:textFill>
        </w:rPr>
        <w:t>0</w:t>
      </w:r>
    </w:p>
    <w:p>
      <w:pPr>
        <w:spacing w:line="510" w:lineRule="exact"/>
        <w:ind w:firstLine="586" w:firstLineChars="200"/>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（三）建筑覆盖率：</w:t>
      </w:r>
      <w:r>
        <w:rPr>
          <w:rFonts w:hint="eastAsia" w:ascii="汉仪书宋二简" w:eastAsia="宋体"/>
          <w:color w:val="000000" w:themeColor="text1"/>
          <w:u w:val="single"/>
          <w14:textFill>
            <w14:solidFill>
              <w14:schemeClr w14:val="tx1"/>
            </w14:solidFill>
          </w14:textFill>
        </w:rPr>
        <w:t>≤</w:t>
      </w:r>
      <w:r>
        <w:rPr>
          <w:rFonts w:hint="eastAsia" w:ascii="汉仪书宋二简"/>
          <w:color w:val="000000" w:themeColor="text1"/>
          <w:u w:val="single"/>
          <w:lang w:val="en-US" w:eastAsia="zh-CN"/>
          <w14:textFill>
            <w14:solidFill>
              <w14:schemeClr w14:val="tx1"/>
            </w14:solidFill>
          </w14:textFill>
        </w:rPr>
        <w:t>50</w:t>
      </w:r>
      <w:r>
        <w:rPr>
          <w:rFonts w:ascii="汉仪书宋二简"/>
          <w:color w:val="000000" w:themeColor="text1"/>
          <w:u w:val="single"/>
          <w14:textFill>
            <w14:solidFill>
              <w14:schemeClr w14:val="tx1"/>
            </w14:solidFill>
          </w14:textFill>
        </w:rPr>
        <w:t>%</w:t>
      </w:r>
    </w:p>
    <w:p>
      <w:pPr>
        <w:spacing w:line="510" w:lineRule="exact"/>
        <w:ind w:firstLine="586" w:firstLineChars="200"/>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（四）建筑间距：</w:t>
      </w:r>
      <w:r>
        <w:rPr>
          <w:rFonts w:hint="eastAsia" w:ascii="汉仪书宋二简"/>
          <w:color w:val="000000" w:themeColor="text1"/>
          <w:u w:val="single"/>
          <w14:textFill>
            <w14:solidFill>
              <w14:schemeClr w14:val="tx1"/>
            </w14:solidFill>
          </w14:textFill>
        </w:rPr>
        <w:t>满足《深标》及相关规范要求</w:t>
      </w:r>
    </w:p>
    <w:p>
      <w:pPr>
        <w:spacing w:line="510" w:lineRule="exact"/>
        <w:ind w:firstLine="586" w:firstLineChars="200"/>
        <w:rPr>
          <w:rFonts w:hint="eastAsia" w:ascii="汉仪书宋二简" w:eastAsia="汉仪书宋二简"/>
          <w:color w:val="000000" w:themeColor="text1"/>
          <w:u w:val="single"/>
          <w:lang w:val="en-US" w:eastAsia="zh-CN"/>
          <w14:textFill>
            <w14:solidFill>
              <w14:schemeClr w14:val="tx1"/>
            </w14:solidFill>
          </w14:textFill>
        </w:rPr>
      </w:pPr>
      <w:r>
        <w:rPr>
          <w:rFonts w:hint="eastAsia" w:ascii="汉仪书宋二简"/>
          <w:color w:val="000000" w:themeColor="text1"/>
          <w14:textFill>
            <w14:solidFill>
              <w14:schemeClr w14:val="tx1"/>
            </w14:solidFill>
          </w14:textFill>
        </w:rPr>
        <w:t>（五）建筑高度</w:t>
      </w:r>
      <w:r>
        <w:rPr>
          <w:rFonts w:hint="eastAsia" w:ascii="汉仪书宋二简"/>
          <w:color w:val="000000" w:themeColor="text1"/>
          <w:highlight w:val="none"/>
          <w14:textFill>
            <w14:solidFill>
              <w14:schemeClr w14:val="tx1"/>
            </w14:solidFill>
          </w14:textFill>
        </w:rPr>
        <w:t>或层数</w:t>
      </w:r>
      <w:r>
        <w:rPr>
          <w:rFonts w:hint="eastAsia" w:ascii="汉仪书宋二简"/>
          <w:color w:val="000000" w:themeColor="text1"/>
          <w14:textFill>
            <w14:solidFill>
              <w14:schemeClr w14:val="tx1"/>
            </w14:solidFill>
          </w14:textFill>
        </w:rPr>
        <w:t>：</w:t>
      </w:r>
      <w:r>
        <w:rPr>
          <w:rFonts w:hint="eastAsia" w:ascii="汉仪书宋二简"/>
          <w:color w:val="000000" w:themeColor="text1"/>
          <w:u w:val="single"/>
          <w:lang w:val="en-US" w:eastAsia="zh-CN"/>
          <w14:textFill>
            <w14:solidFill>
              <w14:schemeClr w14:val="tx1"/>
            </w14:solidFill>
          </w14:textFill>
        </w:rPr>
        <w:t>不限</w:t>
      </w:r>
    </w:p>
    <w:p>
      <w:pPr>
        <w:ind w:firstLine="583"/>
        <w:rPr>
          <w:rFonts w:hint="eastAsia" w:ascii="汉仪书宋二简"/>
          <w:color w:val="000000" w:themeColor="text1"/>
          <w:lang w:eastAsia="zh-CN"/>
          <w14:textFill>
            <w14:solidFill>
              <w14:schemeClr w14:val="tx1"/>
            </w14:solidFill>
          </w14:textFill>
        </w:rPr>
      </w:pPr>
      <w:r>
        <w:rPr>
          <w:rFonts w:hint="eastAsia" w:ascii="汉仪书宋二简"/>
          <w:color w:val="000000" w:themeColor="text1"/>
          <w14:textFill>
            <w14:solidFill>
              <w14:schemeClr w14:val="tx1"/>
            </w14:solidFill>
          </w14:textFill>
        </w:rPr>
        <w:t>（六）计入容积率的总建筑面积不超过</w:t>
      </w:r>
      <w:r>
        <w:rPr>
          <w:rFonts w:hint="eastAsia" w:ascii="汉仪书宋二简"/>
          <w:color w:val="000000" w:themeColor="text1"/>
          <w:lang w:val="en-US" w:eastAsia="zh-CN"/>
          <w14:textFill>
            <w14:solidFill>
              <w14:schemeClr w14:val="tx1"/>
            </w14:solidFill>
          </w14:textFill>
        </w:rPr>
        <w:t>80016</w:t>
      </w:r>
      <w:r>
        <w:rPr>
          <w:rFonts w:hint="eastAsia" w:ascii="汉仪书宋二简"/>
          <w:color w:val="000000" w:themeColor="text1"/>
          <w:lang w:eastAsia="zh-CN"/>
          <w14:textFill>
            <w14:solidFill>
              <w14:schemeClr w14:val="tx1"/>
            </w14:solidFill>
          </w14:textFill>
        </w:rPr>
        <w:t xml:space="preserve">平方米，其中：厂房≤56200平方米，宿舍≤21000平方米，食堂≤2400平方米，配套管理用房≤416平方米。                                                                                    </w:t>
      </w:r>
    </w:p>
    <w:p>
      <w:pPr>
        <w:spacing w:line="510" w:lineRule="exact"/>
        <w:ind w:firstLine="489" w:firstLineChars="167"/>
        <w:rPr>
          <w:rFonts w:ascii="汉仪书宋二简"/>
          <w:color w:val="000000" w:themeColor="text1"/>
          <w:highlight w:val="none"/>
          <w14:textFill>
            <w14:solidFill>
              <w14:schemeClr w14:val="tx1"/>
            </w14:solidFill>
          </w14:textFill>
        </w:rPr>
      </w:pPr>
      <w:r>
        <w:rPr>
          <w:rFonts w:hint="eastAsia" w:ascii="汉仪书宋二简"/>
          <w:color w:val="000000" w:themeColor="text1"/>
          <w:highlight w:val="none"/>
          <w14:textFill>
            <w14:solidFill>
              <w14:schemeClr w14:val="tx1"/>
            </w14:solidFill>
          </w14:textFill>
        </w:rPr>
        <w:t>地下车库、设备用房、民防设施、公众交通，不计容积率。</w:t>
      </w:r>
    </w:p>
    <w:p>
      <w:pPr>
        <w:spacing w:line="510" w:lineRule="exact"/>
        <w:ind w:firstLine="489" w:firstLineChars="167"/>
        <w:rPr>
          <w:rFonts w:ascii="汉仪书宋二简"/>
          <w:color w:val="000000" w:themeColor="text1"/>
          <w14:textFill>
            <w14:solidFill>
              <w14:schemeClr w14:val="tx1"/>
            </w14:solidFill>
          </w14:textFill>
        </w:rPr>
      </w:pPr>
      <w:r>
        <w:rPr>
          <w:rFonts w:hint="eastAsia" w:ascii="汉仪书宋二简"/>
          <w:color w:val="000000" w:themeColor="text1"/>
          <w:lang w:eastAsia="zh-CN"/>
          <w14:textFill>
            <w14:solidFill>
              <w14:schemeClr w14:val="tx1"/>
            </w14:solidFill>
          </w14:textFill>
        </w:rPr>
        <w:t>（</w:t>
      </w:r>
      <w:r>
        <w:rPr>
          <w:rFonts w:hint="eastAsia" w:ascii="汉仪书宋二简"/>
          <w:color w:val="000000" w:themeColor="text1"/>
          <w14:textFill>
            <w14:solidFill>
              <w14:schemeClr w14:val="tx1"/>
            </w14:solidFill>
          </w14:textFill>
        </w:rPr>
        <w:t>七</w:t>
      </w:r>
      <w:r>
        <w:rPr>
          <w:rFonts w:hint="eastAsia" w:ascii="汉仪书宋二简"/>
          <w:color w:val="000000" w:themeColor="text1"/>
          <w:lang w:eastAsia="zh-CN"/>
          <w14:textFill>
            <w14:solidFill>
              <w14:schemeClr w14:val="tx1"/>
            </w14:solidFill>
          </w14:textFill>
        </w:rPr>
        <w:t>）</w:t>
      </w:r>
      <w:r>
        <w:rPr>
          <w:rFonts w:hint="eastAsia" w:ascii="汉仪书宋二简"/>
          <w:color w:val="000000" w:themeColor="text1"/>
          <w14:textFill>
            <w14:solidFill>
              <w14:schemeClr w14:val="tx1"/>
            </w14:solidFill>
          </w14:textFill>
        </w:rPr>
        <w:t>总体布局及建筑退红线要求：</w:t>
      </w:r>
    </w:p>
    <w:p>
      <w:pPr>
        <w:ind w:left="583" w:firstLine="0" w:firstLineChars="0"/>
      </w:pPr>
      <w:r>
        <w:rPr>
          <w:rFonts w:hint="eastAsia"/>
        </w:rPr>
        <w:t>1、绿化覆盖率：</w:t>
      </w:r>
      <w:r>
        <w:rPr>
          <w:rFonts w:hint="eastAsia"/>
          <w:lang w:val="en-US" w:eastAsia="zh-CN"/>
        </w:rPr>
        <w:t>≥</w:t>
      </w:r>
      <w:r>
        <w:rPr>
          <w:rFonts w:hint="eastAsia"/>
        </w:rPr>
        <w:t>20%；</w:t>
      </w:r>
    </w:p>
    <w:p>
      <w:pPr>
        <w:ind w:left="0" w:firstLine="583" w:firstLineChars="0"/>
      </w:pPr>
      <w:r>
        <w:rPr>
          <w:rFonts w:hint="eastAsia"/>
        </w:rPr>
        <w:t>2、建筑退线：</w:t>
      </w:r>
      <w:r>
        <w:rPr>
          <w:rFonts w:hint="eastAsia"/>
          <w:lang w:val="en-US" w:eastAsia="zh-CN"/>
        </w:rPr>
        <w:t>一级≥6米，二级≥9米</w:t>
      </w:r>
      <w:r>
        <w:rPr>
          <w:rFonts w:hint="eastAsia"/>
        </w:rPr>
        <w:t>；</w:t>
      </w:r>
    </w:p>
    <w:p>
      <w:pPr>
        <w:ind w:left="583" w:firstLine="0" w:firstLineChars="0"/>
      </w:pPr>
      <w:r>
        <w:rPr>
          <w:rFonts w:hint="eastAsia"/>
        </w:rPr>
        <w:t>3、公共开放空间：</w:t>
      </w:r>
      <w:r>
        <w:rPr>
          <w:rFonts w:hint="eastAsia"/>
          <w:lang w:val="en-US" w:eastAsia="zh-CN"/>
        </w:rPr>
        <w:t>不少于1000平方米</w:t>
      </w:r>
      <w:r>
        <w:rPr>
          <w:rFonts w:hint="eastAsia"/>
        </w:rPr>
        <w:t>；</w:t>
      </w:r>
    </w:p>
    <w:p>
      <w:pPr>
        <w:spacing w:line="510" w:lineRule="exact"/>
        <w:ind w:firstLine="489" w:firstLineChars="167"/>
        <w:rPr>
          <w:rFonts w:ascii="汉仪书宋二简" w:hAnsi="宋体"/>
          <w:color w:val="000000" w:themeColor="text1"/>
          <w:szCs w:val="23"/>
          <w14:textFill>
            <w14:solidFill>
              <w14:schemeClr w14:val="tx1"/>
            </w14:solidFill>
          </w14:textFill>
        </w:rPr>
      </w:pPr>
      <w:r>
        <w:rPr>
          <w:rFonts w:hint="eastAsia" w:ascii="汉仪书宋二简"/>
          <w:color w:val="000000" w:themeColor="text1"/>
          <w14:textFill>
            <w14:solidFill>
              <w14:schemeClr w14:val="tx1"/>
            </w14:solidFill>
          </w14:textFill>
        </w:rPr>
        <w:t>（八）项目准入、建设及其它要</w:t>
      </w:r>
      <w:r>
        <w:rPr>
          <w:rFonts w:hint="eastAsia" w:ascii="汉仪书宋二简" w:hAnsi="宋体"/>
          <w:color w:val="000000" w:themeColor="text1"/>
          <w:szCs w:val="23"/>
          <w14:textFill>
            <w14:solidFill>
              <w14:schemeClr w14:val="tx1"/>
            </w14:solidFill>
          </w14:textFill>
        </w:rPr>
        <w:t>求</w:t>
      </w:r>
      <w:r>
        <w:rPr>
          <w:rFonts w:ascii="汉仪书宋二简" w:hAnsi="宋体"/>
          <w:color w:val="000000" w:themeColor="text1"/>
          <w:szCs w:val="23"/>
          <w14:textFill>
            <w14:solidFill>
              <w14:schemeClr w14:val="tx1"/>
            </w14:solidFill>
          </w14:textFill>
        </w:rPr>
        <w:t>:</w:t>
      </w:r>
    </w:p>
    <w:p>
      <w:pPr>
        <w:spacing w:line="510" w:lineRule="exact"/>
        <w:ind w:firstLine="583"/>
        <w:rPr>
          <w:rFonts w:hint="eastAsia"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1、乙方须与坪山区投资推广服务署签订《深圳市坪山区产业用地建设和使用监管协议书》（以下简称《监管协议》），乙方应按照《监管协议》的规定行使权利并承担义务。</w:t>
      </w:r>
    </w:p>
    <w:p>
      <w:pPr>
        <w:spacing w:line="510" w:lineRule="exact"/>
        <w:ind w:firstLine="583"/>
        <w:rPr>
          <w:rFonts w:hint="eastAsia" w:ascii="汉仪书宋二简" w:hAnsi="Times New Roman" w:eastAsia="汉仪书宋二简" w:cs="Times New Roman"/>
          <w:color w:val="000000" w:themeColor="text1"/>
          <w:sz w:val="23"/>
          <w:szCs w:val="24"/>
          <w:highlight w:val="none"/>
          <w:lang w:eastAsia="zh-CN"/>
          <w14:textFill>
            <w14:solidFill>
              <w14:schemeClr w14:val="tx1"/>
            </w14:solidFill>
          </w14:textFill>
        </w:rPr>
      </w:pPr>
      <w:r>
        <w:rPr>
          <w:rFonts w:hint="eastAsia" w:ascii="汉仪书宋二简" w:hAnsi="Times New Roman" w:eastAsia="汉仪书宋二简" w:cs="Times New Roman"/>
          <w:color w:val="000000" w:themeColor="text1"/>
          <w:sz w:val="23"/>
          <w:szCs w:val="24"/>
          <w:highlight w:val="none"/>
          <w:lang w:val="en-US" w:eastAsia="zh-CN"/>
          <w14:textFill>
            <w14:solidFill>
              <w14:schemeClr w14:val="tx1"/>
            </w14:solidFill>
          </w14:textFill>
        </w:rPr>
        <w:t>2</w:t>
      </w:r>
      <w:r>
        <w:rPr>
          <w:rFonts w:hint="eastAsia" w:ascii="汉仪书宋二简" w:hAnsi="Times New Roman" w:eastAsia="汉仪书宋二简" w:cs="Times New Roman"/>
          <w:color w:val="000000" w:themeColor="text1"/>
          <w:sz w:val="23"/>
          <w:szCs w:val="24"/>
          <w:highlight w:val="none"/>
          <w:lang w:eastAsia="zh-CN"/>
          <w14:textFill>
            <w14:solidFill>
              <w14:schemeClr w14:val="tx1"/>
            </w14:solidFill>
          </w14:textFill>
        </w:rPr>
        <w:t>、应满足深圳市绿色建筑、海绵城市建设、充电桩配置、装配式建筑以及政府相关部门的规定及要求。同时，充电桩配置应不少于地块内机动车泊位数的</w:t>
      </w:r>
      <w:r>
        <w:rPr>
          <w:rFonts w:hint="eastAsia" w:ascii="汉仪书宋二简" w:hAnsi="Times New Roman" w:eastAsia="汉仪书宋二简" w:cs="Times New Roman"/>
          <w:color w:val="000000" w:themeColor="text1"/>
          <w:sz w:val="23"/>
          <w:szCs w:val="24"/>
          <w:highlight w:val="none"/>
          <w:lang w:val="en-US" w:eastAsia="zh-CN"/>
          <w14:textFill>
            <w14:solidFill>
              <w14:schemeClr w14:val="tx1"/>
            </w14:solidFill>
          </w14:textFill>
        </w:rPr>
        <w:t>1</w:t>
      </w:r>
      <w:r>
        <w:rPr>
          <w:rFonts w:hint="eastAsia" w:ascii="汉仪书宋二简" w:hAnsi="Times New Roman" w:eastAsia="汉仪书宋二简" w:cs="Times New Roman"/>
          <w:color w:val="000000" w:themeColor="text1"/>
          <w:sz w:val="23"/>
          <w:szCs w:val="24"/>
          <w:highlight w:val="none"/>
          <w:lang w:eastAsia="zh-CN"/>
          <w14:textFill>
            <w14:solidFill>
              <w14:schemeClr w14:val="tx1"/>
            </w14:solidFill>
          </w14:textFill>
        </w:rPr>
        <w:t>0%，其余车位应预留设置充电桩的条件。</w:t>
      </w:r>
    </w:p>
    <w:p>
      <w:pPr>
        <w:spacing w:line="510" w:lineRule="exact"/>
        <w:ind w:firstLine="583"/>
        <w:rPr>
          <w:rFonts w:hint="eastAsia" w:ascii="汉仪书宋二简" w:hAnsi="Times New Roman" w:eastAsia="汉仪书宋二简" w:cs="Times New Roman"/>
          <w:color w:val="000000" w:themeColor="text1"/>
          <w:sz w:val="23"/>
          <w:szCs w:val="24"/>
          <w:highlight w:val="none"/>
          <w:lang w:eastAsia="zh-CN"/>
          <w14:textFill>
            <w14:solidFill>
              <w14:schemeClr w14:val="tx1"/>
            </w14:solidFill>
          </w14:textFill>
        </w:rPr>
      </w:pPr>
      <w:r>
        <w:rPr>
          <w:rFonts w:hint="eastAsia" w:ascii="汉仪书宋二简" w:hAnsi="Times New Roman" w:eastAsia="汉仪书宋二简" w:cs="Times New Roman"/>
          <w:color w:val="000000" w:themeColor="text1"/>
          <w:sz w:val="23"/>
          <w:szCs w:val="24"/>
          <w:highlight w:val="none"/>
          <w:lang w:val="en-US" w:eastAsia="zh-CN"/>
          <w14:textFill>
            <w14:solidFill>
              <w14:schemeClr w14:val="tx1"/>
            </w14:solidFill>
          </w14:textFill>
        </w:rPr>
        <w:t>3</w:t>
      </w:r>
      <w:r>
        <w:rPr>
          <w:rFonts w:hint="eastAsia" w:ascii="汉仪书宋二简" w:hAnsi="Times New Roman" w:eastAsia="汉仪书宋二简" w:cs="Times New Roman"/>
          <w:color w:val="000000" w:themeColor="text1"/>
          <w:sz w:val="23"/>
          <w:szCs w:val="24"/>
          <w:highlight w:val="none"/>
          <w:lang w:eastAsia="zh-CN"/>
          <w14:textFill>
            <w14:solidFill>
              <w14:schemeClr w14:val="tx1"/>
            </w14:solidFill>
          </w14:textFill>
        </w:rPr>
        <w:t>、本项目需开展地质灾害危险性评估，建设时应严格按照相关工程勘察规范执行。</w:t>
      </w:r>
    </w:p>
    <w:p>
      <w:pPr>
        <w:spacing w:line="510" w:lineRule="exact"/>
        <w:ind w:firstLine="583"/>
        <w:rPr>
          <w:rFonts w:hint="eastAsia" w:ascii="汉仪书宋二简"/>
          <w:color w:val="000000" w:themeColor="text1"/>
          <w:lang w:val="en-US" w:eastAsia="zh-CN"/>
          <w14:textFill>
            <w14:solidFill>
              <w14:schemeClr w14:val="tx1"/>
            </w14:solidFill>
          </w14:textFill>
        </w:rPr>
      </w:pPr>
      <w:r>
        <w:rPr>
          <w:rFonts w:hint="eastAsia" w:ascii="汉仪书宋二简"/>
          <w:color w:val="000000" w:themeColor="text1"/>
          <w:highlight w:val="none"/>
          <w:lang w:val="en-US" w:eastAsia="zh-CN"/>
          <w14:textFill>
            <w14:solidFill>
              <w14:schemeClr w14:val="tx1"/>
            </w14:solidFill>
          </w14:textFill>
        </w:rPr>
        <w:t>4</w:t>
      </w:r>
      <w:r>
        <w:rPr>
          <w:rFonts w:hint="eastAsia" w:ascii="汉仪书宋二简"/>
          <w:color w:val="000000" w:themeColor="text1"/>
          <w14:textFill>
            <w14:solidFill>
              <w14:schemeClr w14:val="tx1"/>
            </w14:solidFill>
          </w14:textFill>
        </w:rPr>
        <w:t>、</w:t>
      </w:r>
      <w:r>
        <w:rPr>
          <w:rFonts w:hint="eastAsia" w:ascii="汉仪书宋二简"/>
          <w:color w:val="000000" w:themeColor="text1"/>
          <w:lang w:val="en-US" w:eastAsia="zh-CN"/>
          <w14:textFill>
            <w14:solidFill>
              <w14:schemeClr w14:val="tx1"/>
            </w14:solidFill>
          </w14:textFill>
        </w:rPr>
        <w:t>厂房建筑因生产工艺需要有特殊层高需求的，经研究后可按实际层高需求进行审批并执行特殊层高厂房建筑面积计算规定。</w:t>
      </w:r>
    </w:p>
    <w:p>
      <w:pPr>
        <w:spacing w:line="510" w:lineRule="exact"/>
        <w:ind w:firstLine="583"/>
        <w:rPr>
          <w:rFonts w:hint="eastAsia" w:ascii="汉仪书宋二简"/>
          <w:color w:val="000000" w:themeColor="text1"/>
          <w:lang w:eastAsia="zh-CN"/>
          <w14:textFill>
            <w14:solidFill>
              <w14:schemeClr w14:val="tx1"/>
            </w14:solidFill>
          </w14:textFill>
        </w:rPr>
      </w:pPr>
      <w:r>
        <w:rPr>
          <w:rFonts w:hint="eastAsia" w:ascii="汉仪书宋二简"/>
          <w:color w:val="000000" w:themeColor="text1"/>
          <w:lang w:val="en-US" w:eastAsia="zh-CN"/>
          <w14:textFill>
            <w14:solidFill>
              <w14:schemeClr w14:val="tx1"/>
            </w14:solidFill>
          </w14:textFill>
        </w:rPr>
        <w:t>5、</w:t>
      </w:r>
      <w:r>
        <w:rPr>
          <w:rFonts w:hint="eastAsia"/>
          <w:szCs w:val="21"/>
          <w:highlight w:val="none"/>
          <w:lang w:val="en-US" w:eastAsia="zh-CN"/>
        </w:rPr>
        <w:t>在建设前须针对地块周边危险化学品场所开展安全评价工作。</w:t>
      </w:r>
    </w:p>
    <w:p>
      <w:pPr>
        <w:ind w:firstLine="583"/>
      </w:pPr>
      <w:r>
        <w:rPr>
          <w:rFonts w:hint="eastAsia"/>
        </w:rPr>
        <w:t>（九）权利限制:</w:t>
      </w:r>
    </w:p>
    <w:p>
      <w:pPr>
        <w:spacing w:line="510" w:lineRule="exact"/>
        <w:ind w:firstLine="638" w:firstLineChars="218"/>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建设用地使用权及建筑物限整体转让，初始登记后不得办理分证；允许抵押。</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十、乙方同意按下列第（一）方式支付土地总地价款：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（一）一次性付款。即自本合同签订之日起15个工作日内一次性付清全部地价款。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（二）分期付款。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1、自本合同签订之日起15个工作日内一次性支付总地价款的50%，计人民币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2、自本合同签订之日起1年内，即</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日前一次性不计利息付清剩余50%的地价款，计人民币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一、乙方未按出让合同规定的期限付清总地价款的，乙方同意甲方解除出让合同，无偿收回土地使用权。乙方已支付的履约保证金不予退还。已兴建的建筑物、附着物无偿收归甲方所有，甲方还可按总地价款的20%向乙方追索违约金。</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因甲方的过错致使乙方延迟使用土地的，甲方承担由此造成乙方的经济损失。</w:t>
      </w:r>
    </w:p>
    <w:p>
      <w:pPr>
        <w:spacing w:line="480" w:lineRule="exact"/>
        <w:ind w:firstLine="583"/>
        <w:rPr>
          <w:rFonts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十二、乙方除向甲方给付总地价款外，每年还必须按规定缴付土地使用</w:t>
      </w:r>
      <w:r>
        <w:rPr>
          <w:rFonts w:hint="eastAsia" w:ascii="汉仪书宋二简" w:eastAsia="宋体"/>
          <w:color w:val="000000" w:themeColor="text1"/>
          <w14:textFill>
            <w14:solidFill>
              <w14:schemeClr w14:val="tx1"/>
            </w14:solidFill>
          </w14:textFill>
        </w:rPr>
        <w:t>税</w:t>
      </w:r>
      <w:r>
        <w:rPr>
          <w:rFonts w:hint="eastAsia" w:ascii="汉仪书宋二简"/>
          <w:color w:val="000000" w:themeColor="text1"/>
          <w14:textFill>
            <w14:solidFill>
              <w14:schemeClr w14:val="tx1"/>
            </w14:solidFill>
          </w14:textFill>
        </w:rPr>
        <w:t>。</w:t>
      </w: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十三、乙方在使用土地期间，未按规定缴纳土地使用</w:t>
      </w:r>
      <w:r>
        <w:rPr>
          <w:rFonts w:hint="eastAsia" w:ascii="汉仪书宋二简" w:eastAsia="宋体"/>
          <w:color w:val="000000" w:themeColor="text1"/>
          <w14:textFill>
            <w14:solidFill>
              <w14:schemeClr w14:val="tx1"/>
            </w14:solidFill>
          </w14:textFill>
        </w:rPr>
        <w:t>税</w:t>
      </w:r>
      <w:r>
        <w:rPr>
          <w:rFonts w:hint="eastAsia" w:ascii="汉仪书宋二简"/>
          <w:color w:val="000000" w:themeColor="text1"/>
          <w14:textFill>
            <w14:solidFill>
              <w14:schemeClr w14:val="tx1"/>
            </w14:solidFill>
          </w14:textFill>
        </w:rPr>
        <w:t>的，甲方可不予办理与上述地块有关的房地产权登记、建筑许可及其他相关手续或采取其他限制性措施。</w:t>
      </w: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十四、乙方应当遵守法律、法规和本合同中关于土地用途的规定，严格按照土地用途使用，不得擅自转让、出租。</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乙方在土地使用年限内依照法律、法规、深圳市的有关规定以及本合同的规定转让、出租、抵押土地使用权或将土地使用权用于其他经济活动，其合法权益受法律保护。乙方开发、利用、经营受让的土地，不得损害社会公共利益。</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十五、乙方在未办理土地使用权登记并取得《不动产证》之前，不得以任何形式处分土地使用权。土地使用权按照法律法规和本合同规定依法转让的，只能整体转让，不得分割转让。</w:t>
      </w:r>
    </w:p>
    <w:p>
      <w:pPr>
        <w:spacing w:line="579"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六、人民法院强制执行拍卖或者变卖建设用地使用权，次受让人应当承接本合同及产业发展监管协议规定的受让人责任及义务，本合同约定的土地使用条件不变。人民法院强制执行又无符合条件的次受让人的，其建设用地使用权及地上建（构）筑物由政府回购。</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十七、本合同规定的土地出让年限届满，甲方无偿收回出让地块的土地使用权，上述地块上的建筑物及其他附着物也由甲方无偿取得。乙方承诺于</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 xml:space="preserve"> </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日前将土地及土地上建筑物、附着物无偿交给甲方，并在年期届满之日起十日内办理房地产权注销登记手续，否则由甲方移交房地产权登记部门迳行注销。</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乙方如需继续使用上述地块，可在期满前六个月内申请续期，经批准并在确定了新的土地使用权出让年限和出让金及其他条件后，与甲方重新签订土地使用权出让合同，支付地价款，并重新办理土地使用权登记手续。</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十八、在履行本合同过程中甲方需向乙方告知有关事宜的，乙方同意甲方通过挂号信函或媒体公告的形式送达至本合同所约定的乙方地址。</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十九、《土地使用规则》及本合同书所有附件、附表是本合同的组成部分，与本合同具有同等法律效力。甲、乙方须遵守《土地使用规则》及本合同书所有附件、附表。</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二十、本合同订立、效力、解释、履行及争议的解决均受中华人民共和国法律的管辖。</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二十一、因执行本合同发生争议，由争议双方协商解决，协商不成的，可依法向人民法院起诉。</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二十二、本合同从签订之日起生效。</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二十三、本合同一式六份，乙方三份，其余由甲方持有及分送有关单位。</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二十四、本合同未尽事宜，可由双方协商签订协议书明确。</w:t>
      </w:r>
    </w:p>
    <w:p>
      <w:pPr>
        <w:tabs>
          <w:tab w:val="right" w:pos="4140"/>
          <w:tab w:val="left" w:pos="4500"/>
          <w:tab w:val="left" w:pos="4680"/>
          <w:tab w:val="clear" w:pos="4820"/>
          <w:tab w:val="clear" w:pos="5103"/>
        </w:tabs>
        <w:spacing w:before="312" w:beforeLines="100" w:line="460" w:lineRule="atLeast"/>
        <w:ind w:firstLine="636" w:firstLineChars="0"/>
        <w:rPr>
          <w:rFonts w:hint="eastAsia" w:ascii="汉仪书宋二简"/>
          <w:color w:val="000000" w:themeColor="text1"/>
          <w:spacing w:val="16"/>
          <w:w w:val="105"/>
          <w:szCs w:val="23"/>
          <w14:textFill>
            <w14:solidFill>
              <w14:schemeClr w14:val="tx1"/>
            </w14:solidFill>
          </w14:textFill>
        </w:rPr>
      </w:pPr>
    </w:p>
    <w:p>
      <w:pPr>
        <w:tabs>
          <w:tab w:val="right" w:pos="4140"/>
          <w:tab w:val="left" w:pos="4500"/>
          <w:tab w:val="left" w:pos="4680"/>
          <w:tab w:val="clear" w:pos="4820"/>
          <w:tab w:val="clear" w:pos="5103"/>
        </w:tabs>
        <w:spacing w:before="312" w:beforeLines="100" w:line="460" w:lineRule="atLeast"/>
        <w:ind w:firstLine="636" w:firstLineChars="0"/>
        <w:rPr>
          <w:rFonts w:ascii="汉仪书宋二简" w:eastAsia="宋体"/>
          <w:color w:val="000000" w:themeColor="text1"/>
          <w:spacing w:val="16"/>
          <w:w w:val="105"/>
          <w:szCs w:val="23"/>
          <w14:textFill>
            <w14:solidFill>
              <w14:schemeClr w14:val="tx1"/>
            </w14:solidFill>
          </w14:textFill>
        </w:rPr>
      </w:pPr>
      <w:r>
        <w:rPr>
          <w:rFonts w:hint="eastAsia" w:ascii="汉仪书宋二简"/>
          <w:color w:val="000000" w:themeColor="text1"/>
          <w:spacing w:val="16"/>
          <w:w w:val="105"/>
          <w:szCs w:val="23"/>
          <w14:textFill>
            <w14:solidFill>
              <w14:schemeClr w14:val="tx1"/>
            </w14:solidFill>
          </w14:textFill>
        </w:rPr>
        <w:t>甲</w:t>
      </w:r>
      <w:r>
        <w:rPr>
          <w:rFonts w:ascii="汉仪书宋二简"/>
          <w:color w:val="000000" w:themeColor="text1"/>
          <w:spacing w:val="16"/>
          <w:w w:val="105"/>
          <w:szCs w:val="23"/>
          <w14:textFill>
            <w14:solidFill>
              <w14:schemeClr w14:val="tx1"/>
            </w14:solidFill>
          </w14:textFill>
        </w:rPr>
        <w:t xml:space="preserve">     </w:t>
      </w:r>
      <w:r>
        <w:rPr>
          <w:rFonts w:hint="eastAsia" w:ascii="汉仪书宋二简"/>
          <w:color w:val="000000" w:themeColor="text1"/>
          <w:spacing w:val="16"/>
          <w:w w:val="105"/>
          <w:szCs w:val="23"/>
          <w14:textFill>
            <w14:solidFill>
              <w14:schemeClr w14:val="tx1"/>
            </w14:solidFill>
          </w14:textFill>
        </w:rPr>
        <w:t>方：</w:t>
      </w:r>
      <w:r>
        <w:rPr>
          <w:rFonts w:hint="eastAsia" w:ascii="汉仪书宋二简"/>
          <w:color w:val="000000" w:themeColor="text1"/>
          <w:spacing w:val="6"/>
          <w:u w:val="single"/>
          <w14:textFill>
            <w14:solidFill>
              <w14:schemeClr w14:val="tx1"/>
            </w14:solidFill>
          </w14:textFill>
        </w:rPr>
        <w:t>深圳市规划和自然资源局坪山管理局</w:t>
      </w:r>
    </w:p>
    <w:p>
      <w:pPr>
        <w:tabs>
          <w:tab w:val="left" w:pos="4140"/>
        </w:tabs>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spacing w:line="480" w:lineRule="exact"/>
        <w:ind w:firstLine="0" w:firstLineChars="0"/>
        <w:rPr>
          <w:rFonts w:ascii="汉仪书宋二简"/>
          <w:color w:val="000000" w:themeColor="text1"/>
          <w14:textFill>
            <w14:solidFill>
              <w14:schemeClr w14:val="tx1"/>
            </w14:solidFill>
          </w14:textFill>
        </w:rPr>
      </w:pP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ascii="汉仪书宋二简"/>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ascii="汉仪书宋二简"/>
          <w:color w:val="000000" w:themeColor="text1"/>
          <w:u w:val="single"/>
          <w14:textFill>
            <w14:solidFill>
              <w14:schemeClr w14:val="tx1"/>
            </w14:solidFill>
          </w14:textFill>
        </w:rPr>
        <w:t xml:space="preserve">             </w:t>
      </w:r>
    </w:p>
    <w:p>
      <w:pPr>
        <w:tabs>
          <w:tab w:val="clear" w:pos="5103"/>
        </w:tabs>
        <w:spacing w:line="480" w:lineRule="exact"/>
        <w:ind w:firstLine="0" w:firstLineChars="0"/>
        <w:rPr>
          <w:rFonts w:ascii="汉仪书宋二简"/>
          <w:color w:val="000000" w:themeColor="text1"/>
          <w14:textFill>
            <w14:solidFill>
              <w14:schemeClr w14:val="tx1"/>
            </w14:solidFill>
          </w14:textFill>
        </w:rPr>
      </w:pPr>
    </w:p>
    <w:p>
      <w:pPr>
        <w:tabs>
          <w:tab w:val="clear" w:pos="5103"/>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ascii="汉仪书宋二简"/>
          <w:color w:val="000000" w:themeColor="text1"/>
          <w:u w:val="single"/>
          <w14:textFill>
            <w14:solidFill>
              <w14:schemeClr w14:val="tx1"/>
            </w14:solidFill>
          </w14:textFill>
        </w:rPr>
        <w:t xml:space="preserve">                           </w:t>
      </w:r>
    </w:p>
    <w:p>
      <w:pPr>
        <w:spacing w:before="624" w:beforeLines="200" w:line="480" w:lineRule="exact"/>
        <w:ind w:firstLine="0" w:firstLineChars="0"/>
        <w:rPr>
          <w:rFonts w:ascii="汉仪书宋二简"/>
          <w:color w:val="000000" w:themeColor="text1"/>
          <w14:textFill>
            <w14:solidFill>
              <w14:schemeClr w14:val="tx1"/>
            </w14:solidFill>
          </w14:textFill>
        </w:rPr>
      </w:pPr>
    </w:p>
    <w:p>
      <w:pPr>
        <w:spacing w:before="624" w:beforeLines="200" w:line="480" w:lineRule="exact"/>
        <w:ind w:firstLine="583"/>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乙</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方：</w:t>
      </w:r>
      <w:r>
        <w:rPr>
          <w:rFonts w:ascii="汉仪书宋二简"/>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tabs>
          <w:tab w:val="left" w:pos="4140"/>
        </w:tabs>
        <w:spacing w:before="200" w:line="340" w:lineRule="exact"/>
        <w:ind w:firstLine="0" w:firstLineChars="0"/>
        <w:rPr>
          <w:rFonts w:ascii="汉仪书宋二简"/>
          <w:color w:val="000000" w:themeColor="text1"/>
          <w14:textFill>
            <w14:solidFill>
              <w14:schemeClr w14:val="tx1"/>
            </w14:solidFill>
          </w14:textFill>
        </w:rPr>
      </w:pPr>
    </w:p>
    <w:p>
      <w:pPr>
        <w:tabs>
          <w:tab w:val="left" w:pos="4140"/>
        </w:tabs>
        <w:spacing w:before="200" w:line="340" w:lineRule="exact"/>
        <w:ind w:firstLine="583"/>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ascii="汉仪书宋二简"/>
          <w:color w:val="000000" w:themeColor="text1"/>
          <w:u w:val="single"/>
          <w14:textFill>
            <w14:solidFill>
              <w14:schemeClr w14:val="tx1"/>
            </w14:solidFill>
          </w14:textFill>
        </w:rPr>
        <w:t xml:space="preserve">                           </w:t>
      </w:r>
    </w:p>
    <w:p>
      <w:pPr>
        <w:tabs>
          <w:tab w:val="clear" w:pos="5103"/>
        </w:tabs>
        <w:spacing w:before="200" w:line="340" w:lineRule="exact"/>
        <w:ind w:firstLine="0" w:firstLineChars="0"/>
        <w:rPr>
          <w:rFonts w:ascii="汉仪书宋二简"/>
          <w:color w:val="000000" w:themeColor="text1"/>
          <w14:textFill>
            <w14:solidFill>
              <w14:schemeClr w14:val="tx1"/>
            </w14:solidFill>
          </w14:textFill>
        </w:rPr>
      </w:pPr>
    </w:p>
    <w:p>
      <w:pPr>
        <w:tabs>
          <w:tab w:val="clear" w:pos="5103"/>
        </w:tabs>
        <w:spacing w:before="200" w:line="340" w:lineRule="exact"/>
        <w:ind w:firstLine="583"/>
        <w:rPr>
          <w:rFonts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ascii="汉仪书宋二简"/>
          <w:color w:val="000000" w:themeColor="text1"/>
          <w:u w:val="single"/>
          <w14:textFill>
            <w14:solidFill>
              <w14:schemeClr w14:val="tx1"/>
            </w14:solidFill>
          </w14:textFill>
        </w:rPr>
        <w:t xml:space="preserve">                            </w:t>
      </w: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3065" w:firstLineChars="1087"/>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签订日期：    年  月  日</w:t>
      </w:r>
    </w:p>
    <w:p>
      <w:pPr>
        <w:spacing w:before="200" w:line="140" w:lineRule="exact"/>
        <w:ind w:firstLine="2961" w:firstLineChars="105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签订地点：</w:t>
      </w:r>
      <w:r>
        <w:rPr>
          <w:rFonts w:hint="eastAsia" w:ascii="宋体" w:hAnsi="宋体" w:eastAsia="宋体"/>
          <w:color w:val="000000" w:themeColor="text1"/>
          <w:sz w:val="22"/>
          <w:u w:val="single"/>
          <w14:textFill>
            <w14:solidFill>
              <w14:schemeClr w14:val="tx1"/>
            </w14:solidFill>
          </w14:textFill>
        </w:rPr>
        <w:t>深圳土地房产交易大厦</w:t>
      </w: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bookmarkStart w:id="0" w:name="_GoBack"/>
      <w:bookmarkEnd w:id="0"/>
    </w:p>
    <w:p>
      <w:pPr>
        <w:spacing w:before="200" w:line="140" w:lineRule="exact"/>
        <w:ind w:firstLine="0" w:firstLineChars="0"/>
        <w:jc w:val="left"/>
        <w:rPr>
          <w:rFonts w:eastAsia="黑体"/>
          <w:color w:val="000000" w:themeColor="text1"/>
          <w:w w:val="100"/>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200" w:line="400" w:lineRule="exact"/>
        <w:ind w:firstLine="0" w:firstLineChars="0"/>
        <w:jc w:val="left"/>
        <w:textAlignment w:val="auto"/>
        <w:rPr>
          <w:rFonts w:eastAsia="黑体"/>
          <w:color w:val="000000" w:themeColor="text1"/>
          <w14:textFill>
            <w14:solidFill>
              <w14:schemeClr w14:val="tx1"/>
            </w14:solidFill>
          </w14:textFill>
        </w:rPr>
      </w:pPr>
      <w:r>
        <w:rPr>
          <w:rFonts w:hint="eastAsia" w:eastAsia="黑体"/>
          <w:color w:val="000000" w:themeColor="text1"/>
          <w:w w:val="100"/>
          <w:sz w:val="28"/>
          <w14:textFill>
            <w14:solidFill>
              <w14:schemeClr w14:val="tx1"/>
            </w14:solidFill>
          </w14:textFill>
        </w:rPr>
        <w:t>附件：</w:t>
      </w:r>
    </w:p>
    <w:p>
      <w:pPr>
        <w:pStyle w:val="2"/>
        <w:spacing w:before="400" w:after="240" w:line="360" w:lineRule="auto"/>
        <w:ind w:firstLine="0" w:firstLineChars="0"/>
        <w:jc w:val="center"/>
        <w:rPr>
          <w:rFonts w:eastAsia="方正小标宋简体"/>
          <w:b w:val="0"/>
          <w:bCs w:val="0"/>
          <w:color w:val="000000" w:themeColor="text1"/>
          <w:w w:val="100"/>
          <w:sz w:val="48"/>
          <w14:textFill>
            <w14:solidFill>
              <w14:schemeClr w14:val="tx1"/>
            </w14:solidFill>
          </w14:textFill>
        </w:rPr>
      </w:pPr>
      <w:r>
        <w:rPr>
          <w:rFonts w:hint="eastAsia" w:eastAsia="方正小标宋简体"/>
          <w:b w:val="0"/>
          <w:bCs w:val="0"/>
          <w:color w:val="000000" w:themeColor="text1"/>
          <w:w w:val="100"/>
          <w:sz w:val="48"/>
          <w14:textFill>
            <w14:solidFill>
              <w14:schemeClr w14:val="tx1"/>
            </w14:solidFill>
          </w14:textFill>
        </w:rPr>
        <w:t>土地使用规则</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为了切实履行《深圳市土地使用权出让合同书》（以下简称“土地使用权出让合同”），保证深圳市城市规划的实施，合理利用土地，明确土地使用者的责任，订立此规则。</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释义</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、土地使用权出让合同涉及到的名词，以本规则解释为准。</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宗地图：</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指按一定比例尺制作的用以标示一宗地的用地位置、界线和面积的地形图。</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土地使用权：</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spacing w:val="0"/>
          <w14:textFill>
            <w14:solidFill>
              <w14:schemeClr w14:val="tx1"/>
            </w14:solidFill>
          </w14:textFill>
        </w:rPr>
        <w:t>土地使用权转让：</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土地使用权出让后，土地使用权受让人依法和依照土地使用权出让合同书将土地使用权再转移的行为。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无偿收回土地：</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因土地使用者不能履行土地使用权出让合同、违反土地使用规则进行开发建设，市规划和自然资源局因此解除土地使用权出让合同，或土地使用年期届满，市规划和自然资源局无偿收回土地使用权，土地使用者无偿将土地及地上建筑物、附着物交回并丧失土地出让合同书一切权利的行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土地使用年期：</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土地使用权受让人在受让的地块上享有土地使用权的总年期。</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坐标：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用测量学方法表示地面上一点位置的有序的一组数。本合同中的坐标除非特别指明外，均为深圳独立坐标系统，用直角坐标表示。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界桩定点：</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在实地确定验明宗地图上所标示的各界桩点的位置。</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spacing w:val="0"/>
          <w14:textFill>
            <w14:solidFill>
              <w14:schemeClr w14:val="tx1"/>
            </w14:solidFill>
          </w14:textFill>
        </w:rPr>
        <w:t>土地临时占用费：</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土地使用者经国土管理部门批准临时使用的土地，按规定向国土管理部门支付的租金。</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市政工程：</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城市的基础设施。具体包括：道路、给水、污水、雨水、电力、电讯、路灯、照明、煤气等管、厂、站、场、桥梁或人行天桥及其它工程。</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绿化覆盖率：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地块内全部绿化种植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地面绿化、屋顶绿化、架空绿化、垂直绿化</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的水平投影面积之和与地块总用地面积的比率。鼓励进行垂直绿化、架空绿化和屋顶绿化。</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建筑覆盖率：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用地范围内所有建筑物的基底面积总和与土地面积比。</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建筑容积率：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规定的地块上全部建筑物总面积与土地面积之比</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含附属建筑物计算在内</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，但注明不计算的附属建筑物面积除外。</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总建筑面积：</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各层建筑面积的总和。底层建筑面积按外墙勒脚以上的外围水平面积计算，二层及二层以上按外墙外围水平面积计算，其它具体计算方法按国家颁布的《建筑面积计算规则》进行。</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主体建筑物：</w:t>
      </w:r>
      <w:r>
        <w:rPr>
          <w:rFonts w:eastAsia="方正楷体简体"/>
          <w:color w:val="000000" w:themeColor="text1"/>
          <w14:textFill>
            <w14:solidFill>
              <w14:schemeClr w14:val="tx1"/>
            </w14:solidFill>
          </w14:textFill>
        </w:rPr>
        <w:tab/>
      </w:r>
      <w:r>
        <w:rPr>
          <w:rFonts w:hint="eastAsia"/>
          <w:color w:val="000000" w:themeColor="text1"/>
          <w14:textFill>
            <w14:solidFill>
              <w14:schemeClr w14:val="tx1"/>
            </w14:solidFill>
          </w14:textFill>
        </w:rPr>
        <w:t>由土地用途所限定的主要建筑物。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附属建筑物：</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主体建筑以外的其它建筑。</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办公楼：</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供机关、企事业单位从事行政事务使用的建筑物。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单身公寓：</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供单身职工起居和具备居住用的小型厨、厕的建筑物。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住宅：</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供居民家庭生活居住的单元式建筑物。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别墅：</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供居民家庭生活居住的独立式建筑物。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宿舍：</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供学生、职工等集体性居住的建筑物。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综合楼：</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多种用途组合一体的多、高层民用建筑。</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厂房：</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可供工业生产使用的建筑物。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商业用房：</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指为居民提供生活消费及进行商务活动的商铺、饮食、酒店、娱乐、金融、保险、银行、证券等建筑物。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房地产证：</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房地产权利人依法管理、经营、使用和处分房地产的凭证。</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界桩定点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三</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附属工程</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、土地使用者同意在宗地图红线范围内一并建造附表一、附表二所列附属工程，并保证在</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年</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月</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日前或与主体工程竣工时间同时竣工。并同意附表二所列公益工程免费提供使用，产权归政府所有。</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土地使用者表示同意附表三所列市政工程可在其宗地图范围内的规划位置建造或通过，而无须作任何赔偿。</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、因规划需要，有关部门在用地范围内布置公益配套项目及市政管线施工时，土地使用者同意提供用地及通过。</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四</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设计、开工、竣工及违约责任</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、土地使用者必须在签订《土地使用权出让合同》之日起六个月内，向有关部门提交设计方案图纸及市计划部门批准的投资计划，有关部门应在接到齐备的图纸和计划后按规定审批。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ind w:left="1318" w:leftChars="200" w:hanging="732" w:hangingChars="250"/>
        <w:rPr>
          <w:rFonts w:ascii="汉仪书宋二简"/>
          <w:color w:val="000000"/>
        </w:rPr>
      </w:pPr>
      <w:r>
        <w:rPr>
          <w:rFonts w:hint="eastAsia" w:ascii="汉仪书宋二简"/>
        </w:rPr>
        <w:t>7、</w:t>
      </w:r>
      <w:r>
        <w:rPr>
          <w:rFonts w:hint="eastAsia" w:ascii="汉仪书宋二简"/>
          <w:color w:val="000000"/>
        </w:rPr>
        <w:t>土地使用者应在</w:t>
      </w:r>
      <w:r>
        <w:rPr>
          <w:rFonts w:hint="eastAsia" w:ascii="汉仪书宋二简"/>
          <w:color w:val="000000"/>
          <w:u w:val="single"/>
        </w:rPr>
        <w:t xml:space="preserve">     </w:t>
      </w:r>
      <w:r>
        <w:rPr>
          <w:rFonts w:hint="eastAsia" w:ascii="汉仪书宋二简"/>
          <w:color w:val="000000"/>
        </w:rPr>
        <w:t>年</w:t>
      </w:r>
      <w:r>
        <w:rPr>
          <w:rFonts w:hint="eastAsia" w:ascii="汉仪书宋二简"/>
          <w:color w:val="000000"/>
          <w:u w:val="single"/>
        </w:rPr>
        <w:t xml:space="preserve">  </w:t>
      </w:r>
      <w:r>
        <w:rPr>
          <w:rFonts w:hint="eastAsia" w:ascii="汉仪书宋二简"/>
          <w:color w:val="000000"/>
        </w:rPr>
        <w:t>月</w:t>
      </w:r>
      <w:r>
        <w:rPr>
          <w:rFonts w:hint="eastAsia" w:ascii="汉仪书宋二简"/>
          <w:color w:val="000000"/>
          <w:u w:val="single"/>
        </w:rPr>
        <w:t xml:space="preserve">  </w:t>
      </w:r>
      <w:r>
        <w:rPr>
          <w:rFonts w:hint="eastAsia" w:ascii="汉仪书宋二简"/>
          <w:color w:val="000000"/>
        </w:rPr>
        <w:t>日之前开工，</w:t>
      </w:r>
    </w:p>
    <w:p>
      <w:pPr>
        <w:ind w:firstLine="0" w:firstLineChars="0"/>
        <w:rPr>
          <w:rFonts w:ascii="汉仪书宋二简"/>
          <w:color w:val="000000"/>
        </w:rPr>
      </w:pPr>
      <w:r>
        <w:rPr>
          <w:rFonts w:hint="eastAsia" w:ascii="汉仪书宋二简"/>
          <w:color w:val="000000"/>
          <w:u w:val="single"/>
        </w:rPr>
        <w:t xml:space="preserve">     </w:t>
      </w:r>
      <w:r>
        <w:rPr>
          <w:rFonts w:hint="eastAsia" w:ascii="汉仪书宋二简"/>
          <w:color w:val="000000"/>
        </w:rPr>
        <w:t>年</w:t>
      </w:r>
      <w:r>
        <w:rPr>
          <w:rFonts w:hint="eastAsia" w:ascii="汉仪书宋二简"/>
          <w:color w:val="000000"/>
          <w:u w:val="single"/>
        </w:rPr>
        <w:t xml:space="preserve">  </w:t>
      </w:r>
      <w:r>
        <w:rPr>
          <w:rFonts w:hint="eastAsia" w:ascii="汉仪书宋二简"/>
          <w:color w:val="000000"/>
        </w:rPr>
        <w:t>月</w:t>
      </w:r>
      <w:r>
        <w:rPr>
          <w:rFonts w:hint="eastAsia" w:ascii="汉仪书宋二简"/>
          <w:color w:val="000000"/>
          <w:u w:val="single"/>
        </w:rPr>
        <w:t xml:space="preserve">  </w:t>
      </w:r>
      <w:r>
        <w:rPr>
          <w:rFonts w:hint="eastAsia" w:ascii="汉仪书宋二简"/>
          <w:color w:val="000000"/>
        </w:rPr>
        <w:t xml:space="preserve">日之前竣工。   </w:t>
      </w:r>
    </w:p>
    <w:p>
      <w:pPr>
        <w:ind w:firstLine="583"/>
        <w:rPr>
          <w:rFonts w:ascii="汉仪书宋二简"/>
          <w:color w:val="000000"/>
        </w:rPr>
      </w:pPr>
      <w:r>
        <w:rPr>
          <w:rFonts w:hint="eastAsia" w:ascii="汉仪书宋二简"/>
          <w:color w:val="000000"/>
        </w:rPr>
        <w:t>土地使用者未按土地出让合同规定的用途和条件开发利用土地，市规划和自然资源局可处以土地使用权出让金总额20%的罚款。拒不纠正的，市规划和自然资源局无偿收回土地使用权，没收地上建筑物、附着物。</w:t>
      </w:r>
    </w:p>
    <w:p>
      <w:pPr>
        <w:ind w:firstLine="583"/>
        <w:rPr>
          <w:rFonts w:ascii="汉仪书宋二简"/>
        </w:rPr>
      </w:pPr>
      <w:r>
        <w:rPr>
          <w:rFonts w:hint="eastAsia" w:ascii="汉仪书宋二简"/>
        </w:rPr>
        <w:t>8、土地使用者应当在本合同约定期限内按期开工，超过约定开工期限未动工开发造成土地闲置的，按闲置土地相关规定处理。</w:t>
      </w:r>
    </w:p>
    <w:p>
      <w:pPr>
        <w:ind w:firstLine="583"/>
        <w:rPr>
          <w:rFonts w:ascii="汉仪书宋二简"/>
        </w:rPr>
      </w:pPr>
      <w:r>
        <w:rPr>
          <w:rFonts w:hint="eastAsia" w:ascii="汉仪书宋二简"/>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缴纳违约金后，竣工期限相应顺延。</w:t>
      </w:r>
    </w:p>
    <w:p>
      <w:pPr>
        <w:ind w:firstLine="583"/>
        <w:rPr>
          <w:rFonts w:ascii="汉仪书宋二简"/>
        </w:rPr>
      </w:pPr>
      <w:r>
        <w:rPr>
          <w:rFonts w:hint="eastAsia" w:ascii="汉仪书宋二简"/>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、工程竣工提请市政府有关部门质量验收前，土地使用者应向有关部门提请对建筑物进行规划验收，验收合格的，发给《规划验收合格证》，不合格的，限期整改。</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五</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建筑维修活动</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、土地使用者在用地范围内进行建设及维修活动时，对周围环境及设施应承担下列责任：</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）所属建筑物品或废弃物（如泥土、碎石、建筑垃圾等）不得侵占或破坏宗地图以外的土地及设施。如需临时占用市政道路，应报请有关部门批准。</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如需临时占用宗地图以外土地，应与该地块土地使用者协商；若属市政府未批出土地，应报市规划和自然资源局批准，并按规定交纳土地临时占用费。</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）土地使用者必须做好土地使用范围内及周围土地的绿化及水土保护，采取一切措施防止水土流失。否则，引起的一切经济损失及法律责任由土地使用者承担。</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）未获有关部门批准，不得在公共用地上倾倒、储存任何材料或进行任何工程活动。</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）土地使用者必须确保土地使用范围内的污水、污物、恶臭物或影响环境的排泄物均有可靠的排除方法，不得破坏周围的环境。</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）土地使用期限内，土地使用者对该地段内的城市市政设施均应妥善保护、避免损坏，否则，应承担修复工程的一切费用。</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、土地使用者不得开辟、铲除或挖掘毗邻地段的土地。</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12</w:t>
      </w:r>
      <w:r>
        <w:rPr>
          <w:rFonts w:hint="eastAsia"/>
          <w:color w:val="000000" w:themeColor="text1"/>
          <w14:textFill>
            <w14:solidFill>
              <w14:schemeClr w14:val="tx1"/>
            </w14:solidFill>
          </w14:textFill>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14:textFill>
            <w14:solidFill>
              <w14:schemeClr w14:val="tx1"/>
            </w14:solidFill>
          </w14:textFill>
        </w:rPr>
        <w:t>、土地使用者应在本合同期内按规定自行负责或委托管理人负责建成区内所有建筑物和公共设施及绿地的使用和管理，并应符合物业管理部门和城市管理部门的规定和要求。</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14</w:t>
      </w:r>
      <w:r>
        <w:rPr>
          <w:rFonts w:hint="eastAsia"/>
          <w:color w:val="000000" w:themeColor="text1"/>
          <w14:textFill>
            <w14:solidFill>
              <w14:schemeClr w14:val="tx1"/>
            </w14:solidFill>
          </w14:textFill>
        </w:rPr>
        <w:t>、土地使用者应按设计总平面指定地点开设车辆出入口。</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六</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土地使用权转让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、土地使用权的转让包括土地使用权连同地上建筑物的转让。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16</w:t>
      </w:r>
      <w:r>
        <w:rPr>
          <w:rFonts w:hint="eastAsia"/>
          <w:color w:val="000000" w:themeColor="text1"/>
          <w14:textFill>
            <w14:solidFill>
              <w14:schemeClr w14:val="tx1"/>
            </w14:solidFill>
          </w14:textFill>
        </w:rPr>
        <w:t>、土地使用者转让土地使用权须符合《深圳经济特区房地产转让条例》、《深圳市土地交易市场管理规定》、《深圳市工业及其他产业用地使用权出让若干规定》和项目所在园区的有关规定。</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17</w:t>
      </w:r>
      <w:r>
        <w:rPr>
          <w:rFonts w:hint="eastAsia"/>
          <w:color w:val="000000" w:themeColor="text1"/>
          <w14:textFill>
            <w14:solidFill>
              <w14:schemeClr w14:val="tx1"/>
            </w14:solidFill>
          </w14:textFill>
        </w:rPr>
        <w:t>、建筑物必须连同土地使用权一起转让、转让双方签订转让合同并到市产权登记部门办理转移登记手续，按市政府有关规定缴纳税费。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18</w:t>
      </w:r>
      <w:r>
        <w:rPr>
          <w:rFonts w:hint="eastAsia"/>
          <w:color w:val="000000" w:themeColor="text1"/>
          <w14:textFill>
            <w14:solidFill>
              <w14:schemeClr w14:val="tx1"/>
            </w14:solidFill>
          </w14:textFill>
        </w:rPr>
        <w:t>、建筑物连同土地使用权转让后，新的土地使用者仍应遵守本规则。</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七</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给排水、供电</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19</w:t>
      </w:r>
      <w:r>
        <w:rPr>
          <w:rFonts w:hint="eastAsia"/>
          <w:color w:val="000000" w:themeColor="text1"/>
          <w14:textFill>
            <w14:solidFill>
              <w14:schemeClr w14:val="tx1"/>
            </w14:solidFill>
          </w14:textFill>
        </w:rPr>
        <w:t>、土地使用者所需的给排水、供电、供气及电讯等应与市给排水、供电、供气及电讯等部门签订协议书。埋设相应管线设计图应报有关部门审批，经批准后实施。上述所需费用均由土地使用者自行负责。</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八</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接受检查监督</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、在土地使用期间，市规划和自然资源局有权对土地使用者地界范围内的土地使用情况进行检查监督，土地使用者不得拒绝阻挠。</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14:textFill>
            <w14:solidFill>
              <w14:schemeClr w14:val="tx1"/>
            </w14:solidFill>
          </w14:textFill>
        </w:rPr>
        <w:t>、土地使用者不得以任何理由占用地界范围以外的土地（包括堆放物品、器材等），否则，按违法占地处理。</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22</w:t>
      </w:r>
      <w:r>
        <w:rPr>
          <w:rFonts w:hint="eastAsia"/>
          <w:color w:val="000000" w:themeColor="text1"/>
          <w14:textFill>
            <w14:solidFill>
              <w14:schemeClr w14:val="tx1"/>
            </w14:solidFill>
          </w14:textFill>
        </w:rPr>
        <w:t>、土地使用者在用地范围内，应按规定的土地用途和经市政府有关部门批准的施工设计图纸进行建设。</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23</w:t>
      </w:r>
      <w:r>
        <w:rPr>
          <w:rFonts w:hint="eastAsia"/>
          <w:color w:val="000000" w:themeColor="text1"/>
          <w14:textFill>
            <w14:solidFill>
              <w14:schemeClr w14:val="tx1"/>
            </w14:solidFill>
          </w14:textFill>
        </w:rPr>
        <w:t>、土地使用者对用地范围内的建筑物，未经市规划和自然资源局批准，不得任意拆除或改建、重建。否则，市规划和自然资源局有权责令其恢复原状或者拆除，拒不执行的，市规划和自然资源局可依法强制执行，所需费用由土地使用者负责支付。</w:t>
      </w: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附属建筑工程配套项目表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（附表一）</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399"/>
        <w:gridCol w:w="1720"/>
        <w:gridCol w:w="172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24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以下空白</w:t>
            </w:r>
          </w:p>
        </w:tc>
        <w:tc>
          <w:tcPr>
            <w:tcW w:w="17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bl>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附属公益工程配套项目表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（附表二）</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399"/>
        <w:gridCol w:w="1720"/>
        <w:gridCol w:w="172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24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sz w:val="28"/>
                <w14:textFill>
                  <w14:solidFill>
                    <w14:schemeClr w14:val="tx1"/>
                  </w14:solidFill>
                </w14:textFill>
              </w:rPr>
            </w:pPr>
            <w:r>
              <w:rPr>
                <w:rFonts w:hint="eastAsia"/>
                <w:color w:val="000000" w:themeColor="text1"/>
                <w14:textFill>
                  <w14:solidFill>
                    <w14:schemeClr w14:val="tx1"/>
                  </w14:solidFill>
                </w14:textFill>
              </w:rPr>
              <w:t>以下空白</w:t>
            </w: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bl>
    <w:p>
      <w:pPr>
        <w:ind w:firstLine="693"/>
        <w:rPr>
          <w:color w:val="000000" w:themeColor="text1"/>
          <w:sz w:val="28"/>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附属市政工程配套项目表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（附表三）</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80"/>
        <w:gridCol w:w="144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w:t>
            </w:r>
            <w:r>
              <w:rPr>
                <w:b/>
                <w:bCs/>
                <w:color w:val="000000" w:themeColor="text1"/>
                <w:sz w:val="24"/>
                <w14:textFill>
                  <w14:solidFill>
                    <w14:schemeClr w14:val="tx1"/>
                  </w14:solidFill>
                </w14:textFill>
              </w:rPr>
              <w:t>m</w:t>
            </w:r>
            <w:r>
              <w:rPr>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27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以下空白</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000000" w:themeColor="text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jc w:val="center"/>
              <w:rPr>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color w:val="000000" w:themeColor="text1"/>
                <w:sz w:val="28"/>
                <w14:textFill>
                  <w14:solidFill>
                    <w14:schemeClr w14:val="tx1"/>
                  </w14:solidFill>
                </w14:textFill>
              </w:rPr>
            </w:pPr>
          </w:p>
        </w:tc>
      </w:tr>
    </w:tbl>
    <w:p>
      <w:pPr>
        <w:spacing w:before="200" w:line="140" w:lineRule="exact"/>
        <w:ind w:firstLine="0" w:firstLineChars="0"/>
        <w:jc w:val="left"/>
        <w:rPr>
          <w:color w:val="000000" w:themeColor="text1"/>
          <w14:textFill>
            <w14:solidFill>
              <w14:schemeClr w14:val="tx1"/>
            </w14:solidFill>
          </w14:textFill>
        </w:rPr>
      </w:pPr>
    </w:p>
    <w:p>
      <w:pPr>
        <w:ind w:firstLine="583"/>
        <w:jc w:val="center"/>
        <w:rPr>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782"/>
      <w:docPartObj>
        <w:docPartGallery w:val="autotext"/>
      </w:docPartObj>
    </w:sdtPr>
    <w:sdtContent>
      <w:p>
        <w:pPr>
          <w:pStyle w:val="6"/>
          <w:ind w:firstLine="50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F6"/>
    <w:rsid w:val="000035B4"/>
    <w:rsid w:val="00005F71"/>
    <w:rsid w:val="00012B37"/>
    <w:rsid w:val="00017375"/>
    <w:rsid w:val="00020AA7"/>
    <w:rsid w:val="0002369A"/>
    <w:rsid w:val="000248B2"/>
    <w:rsid w:val="00027DC6"/>
    <w:rsid w:val="00033192"/>
    <w:rsid w:val="00033BEF"/>
    <w:rsid w:val="000438D1"/>
    <w:rsid w:val="00045ADE"/>
    <w:rsid w:val="0004662A"/>
    <w:rsid w:val="000503E4"/>
    <w:rsid w:val="00066288"/>
    <w:rsid w:val="00070EAE"/>
    <w:rsid w:val="0007208D"/>
    <w:rsid w:val="0007544B"/>
    <w:rsid w:val="00076EDB"/>
    <w:rsid w:val="00080365"/>
    <w:rsid w:val="000827DE"/>
    <w:rsid w:val="00087777"/>
    <w:rsid w:val="000A402A"/>
    <w:rsid w:val="000A7FBE"/>
    <w:rsid w:val="000B17CB"/>
    <w:rsid w:val="000B1B36"/>
    <w:rsid w:val="000C07AC"/>
    <w:rsid w:val="000C60EE"/>
    <w:rsid w:val="000D5546"/>
    <w:rsid w:val="000D58CA"/>
    <w:rsid w:val="000E1EF6"/>
    <w:rsid w:val="000E514B"/>
    <w:rsid w:val="000E6240"/>
    <w:rsid w:val="00103BFF"/>
    <w:rsid w:val="001248DA"/>
    <w:rsid w:val="001262A7"/>
    <w:rsid w:val="00126E8E"/>
    <w:rsid w:val="00142903"/>
    <w:rsid w:val="001508AB"/>
    <w:rsid w:val="00157948"/>
    <w:rsid w:val="00170499"/>
    <w:rsid w:val="0017672C"/>
    <w:rsid w:val="00177D5F"/>
    <w:rsid w:val="00182C01"/>
    <w:rsid w:val="00185F76"/>
    <w:rsid w:val="00191896"/>
    <w:rsid w:val="00193185"/>
    <w:rsid w:val="00195BE5"/>
    <w:rsid w:val="001A2E01"/>
    <w:rsid w:val="001A357B"/>
    <w:rsid w:val="001A459C"/>
    <w:rsid w:val="001B45E4"/>
    <w:rsid w:val="001C00EB"/>
    <w:rsid w:val="001C36B0"/>
    <w:rsid w:val="001D690F"/>
    <w:rsid w:val="001E3CF2"/>
    <w:rsid w:val="001E6B7A"/>
    <w:rsid w:val="00211CFF"/>
    <w:rsid w:val="0021353D"/>
    <w:rsid w:val="0021601B"/>
    <w:rsid w:val="002302E2"/>
    <w:rsid w:val="002319C6"/>
    <w:rsid w:val="002362E4"/>
    <w:rsid w:val="0024252C"/>
    <w:rsid w:val="0028476D"/>
    <w:rsid w:val="002905D5"/>
    <w:rsid w:val="00294698"/>
    <w:rsid w:val="0029539C"/>
    <w:rsid w:val="002A5BE8"/>
    <w:rsid w:val="002A5DD5"/>
    <w:rsid w:val="002B0F2E"/>
    <w:rsid w:val="002B1B50"/>
    <w:rsid w:val="002B318D"/>
    <w:rsid w:val="002B448C"/>
    <w:rsid w:val="002B6355"/>
    <w:rsid w:val="002C1FB6"/>
    <w:rsid w:val="002C3163"/>
    <w:rsid w:val="002C5CF8"/>
    <w:rsid w:val="002D7E23"/>
    <w:rsid w:val="002F02CA"/>
    <w:rsid w:val="002F3EBC"/>
    <w:rsid w:val="00314397"/>
    <w:rsid w:val="0032100B"/>
    <w:rsid w:val="003237E5"/>
    <w:rsid w:val="00324BB1"/>
    <w:rsid w:val="003547F2"/>
    <w:rsid w:val="00354A45"/>
    <w:rsid w:val="00357816"/>
    <w:rsid w:val="00362032"/>
    <w:rsid w:val="00365F82"/>
    <w:rsid w:val="00377EE0"/>
    <w:rsid w:val="0038111F"/>
    <w:rsid w:val="00386E11"/>
    <w:rsid w:val="00386EED"/>
    <w:rsid w:val="00390FDF"/>
    <w:rsid w:val="00394816"/>
    <w:rsid w:val="003A10A8"/>
    <w:rsid w:val="003D0D37"/>
    <w:rsid w:val="003D3632"/>
    <w:rsid w:val="003D4115"/>
    <w:rsid w:val="003D6B22"/>
    <w:rsid w:val="003F13EF"/>
    <w:rsid w:val="003F359E"/>
    <w:rsid w:val="003F4569"/>
    <w:rsid w:val="003F6471"/>
    <w:rsid w:val="003F69B9"/>
    <w:rsid w:val="004001C0"/>
    <w:rsid w:val="00415888"/>
    <w:rsid w:val="00420489"/>
    <w:rsid w:val="00420E7F"/>
    <w:rsid w:val="00425F0D"/>
    <w:rsid w:val="00452FD2"/>
    <w:rsid w:val="004569FB"/>
    <w:rsid w:val="004579DF"/>
    <w:rsid w:val="00461877"/>
    <w:rsid w:val="00461AED"/>
    <w:rsid w:val="00461BA1"/>
    <w:rsid w:val="00461F32"/>
    <w:rsid w:val="0046229E"/>
    <w:rsid w:val="00465817"/>
    <w:rsid w:val="00466F53"/>
    <w:rsid w:val="00473522"/>
    <w:rsid w:val="00480473"/>
    <w:rsid w:val="00481FD5"/>
    <w:rsid w:val="00486C15"/>
    <w:rsid w:val="004907F3"/>
    <w:rsid w:val="00490F43"/>
    <w:rsid w:val="0049302D"/>
    <w:rsid w:val="00497B7E"/>
    <w:rsid w:val="004A0FAF"/>
    <w:rsid w:val="004A76EE"/>
    <w:rsid w:val="004B35A2"/>
    <w:rsid w:val="004B5284"/>
    <w:rsid w:val="004C1BFF"/>
    <w:rsid w:val="004C2B80"/>
    <w:rsid w:val="004F0B59"/>
    <w:rsid w:val="004F10E9"/>
    <w:rsid w:val="00500A46"/>
    <w:rsid w:val="005014C2"/>
    <w:rsid w:val="005045EB"/>
    <w:rsid w:val="005117BF"/>
    <w:rsid w:val="0051639F"/>
    <w:rsid w:val="00520244"/>
    <w:rsid w:val="005269B0"/>
    <w:rsid w:val="00533731"/>
    <w:rsid w:val="00553038"/>
    <w:rsid w:val="00571600"/>
    <w:rsid w:val="00577F09"/>
    <w:rsid w:val="00582E6B"/>
    <w:rsid w:val="00590914"/>
    <w:rsid w:val="005931AA"/>
    <w:rsid w:val="00595E68"/>
    <w:rsid w:val="005B0BEC"/>
    <w:rsid w:val="005B2C64"/>
    <w:rsid w:val="005B5A29"/>
    <w:rsid w:val="005C467E"/>
    <w:rsid w:val="005C48CF"/>
    <w:rsid w:val="005C5641"/>
    <w:rsid w:val="005C72C3"/>
    <w:rsid w:val="005D501F"/>
    <w:rsid w:val="005D5DAA"/>
    <w:rsid w:val="005D6ECB"/>
    <w:rsid w:val="005D7074"/>
    <w:rsid w:val="005F4D26"/>
    <w:rsid w:val="00614511"/>
    <w:rsid w:val="00621150"/>
    <w:rsid w:val="00624191"/>
    <w:rsid w:val="006243B5"/>
    <w:rsid w:val="00627C2E"/>
    <w:rsid w:val="00630941"/>
    <w:rsid w:val="00636552"/>
    <w:rsid w:val="006433A3"/>
    <w:rsid w:val="006609F1"/>
    <w:rsid w:val="006744D9"/>
    <w:rsid w:val="006B1053"/>
    <w:rsid w:val="006B160E"/>
    <w:rsid w:val="006B1728"/>
    <w:rsid w:val="006B4903"/>
    <w:rsid w:val="006B6881"/>
    <w:rsid w:val="006C24E5"/>
    <w:rsid w:val="006C7098"/>
    <w:rsid w:val="006F0475"/>
    <w:rsid w:val="006F37EC"/>
    <w:rsid w:val="006F6FDD"/>
    <w:rsid w:val="00705BD6"/>
    <w:rsid w:val="00713B14"/>
    <w:rsid w:val="00713F5E"/>
    <w:rsid w:val="007157CF"/>
    <w:rsid w:val="00724931"/>
    <w:rsid w:val="00725C5E"/>
    <w:rsid w:val="00727387"/>
    <w:rsid w:val="00733FAB"/>
    <w:rsid w:val="00734D0D"/>
    <w:rsid w:val="00747EE2"/>
    <w:rsid w:val="00750B6B"/>
    <w:rsid w:val="00753C59"/>
    <w:rsid w:val="00761900"/>
    <w:rsid w:val="007657B3"/>
    <w:rsid w:val="00767193"/>
    <w:rsid w:val="00781E1E"/>
    <w:rsid w:val="00786477"/>
    <w:rsid w:val="00790227"/>
    <w:rsid w:val="007903A7"/>
    <w:rsid w:val="00796AEB"/>
    <w:rsid w:val="007B3F31"/>
    <w:rsid w:val="007B6271"/>
    <w:rsid w:val="007C0DF4"/>
    <w:rsid w:val="007C4C32"/>
    <w:rsid w:val="007D46B3"/>
    <w:rsid w:val="007D654B"/>
    <w:rsid w:val="007E00F9"/>
    <w:rsid w:val="007E145C"/>
    <w:rsid w:val="007E2AD1"/>
    <w:rsid w:val="007E7468"/>
    <w:rsid w:val="00813941"/>
    <w:rsid w:val="0082473B"/>
    <w:rsid w:val="00830F1C"/>
    <w:rsid w:val="0084085E"/>
    <w:rsid w:val="008622AD"/>
    <w:rsid w:val="008627AB"/>
    <w:rsid w:val="00874DBE"/>
    <w:rsid w:val="00876401"/>
    <w:rsid w:val="00884F45"/>
    <w:rsid w:val="00887E9F"/>
    <w:rsid w:val="008922DF"/>
    <w:rsid w:val="008B0604"/>
    <w:rsid w:val="008C2A61"/>
    <w:rsid w:val="008C5C26"/>
    <w:rsid w:val="008D1445"/>
    <w:rsid w:val="008D37F6"/>
    <w:rsid w:val="008E0527"/>
    <w:rsid w:val="008E0852"/>
    <w:rsid w:val="008F3C65"/>
    <w:rsid w:val="00916EEC"/>
    <w:rsid w:val="00917583"/>
    <w:rsid w:val="00917F23"/>
    <w:rsid w:val="00937635"/>
    <w:rsid w:val="00952F5F"/>
    <w:rsid w:val="00956FE2"/>
    <w:rsid w:val="009643BC"/>
    <w:rsid w:val="00976D87"/>
    <w:rsid w:val="00977B7C"/>
    <w:rsid w:val="00992D42"/>
    <w:rsid w:val="009942D5"/>
    <w:rsid w:val="00997C52"/>
    <w:rsid w:val="009B3A07"/>
    <w:rsid w:val="009B5D02"/>
    <w:rsid w:val="009B68B5"/>
    <w:rsid w:val="009C3D49"/>
    <w:rsid w:val="009D22A9"/>
    <w:rsid w:val="009E1E36"/>
    <w:rsid w:val="009E21A5"/>
    <w:rsid w:val="009E2F44"/>
    <w:rsid w:val="009E5239"/>
    <w:rsid w:val="009E6D01"/>
    <w:rsid w:val="00A042F8"/>
    <w:rsid w:val="00A119E5"/>
    <w:rsid w:val="00A12680"/>
    <w:rsid w:val="00A13CAC"/>
    <w:rsid w:val="00A21205"/>
    <w:rsid w:val="00A33346"/>
    <w:rsid w:val="00A33582"/>
    <w:rsid w:val="00A47708"/>
    <w:rsid w:val="00A47C40"/>
    <w:rsid w:val="00A51D2A"/>
    <w:rsid w:val="00A520A6"/>
    <w:rsid w:val="00A6008D"/>
    <w:rsid w:val="00A66569"/>
    <w:rsid w:val="00A66EC8"/>
    <w:rsid w:val="00A770D6"/>
    <w:rsid w:val="00A84017"/>
    <w:rsid w:val="00A84BA6"/>
    <w:rsid w:val="00AB3A6F"/>
    <w:rsid w:val="00AC1691"/>
    <w:rsid w:val="00AC2AEE"/>
    <w:rsid w:val="00AC4662"/>
    <w:rsid w:val="00AC5BD1"/>
    <w:rsid w:val="00AD38BF"/>
    <w:rsid w:val="00AE203B"/>
    <w:rsid w:val="00AE2A98"/>
    <w:rsid w:val="00AE405E"/>
    <w:rsid w:val="00AF3A5E"/>
    <w:rsid w:val="00B16012"/>
    <w:rsid w:val="00B26D6A"/>
    <w:rsid w:val="00B40B80"/>
    <w:rsid w:val="00B53DE6"/>
    <w:rsid w:val="00B5509F"/>
    <w:rsid w:val="00B651F5"/>
    <w:rsid w:val="00B65423"/>
    <w:rsid w:val="00B8161A"/>
    <w:rsid w:val="00B90A77"/>
    <w:rsid w:val="00B94602"/>
    <w:rsid w:val="00B964BB"/>
    <w:rsid w:val="00BA186C"/>
    <w:rsid w:val="00BA3EA3"/>
    <w:rsid w:val="00BA6D75"/>
    <w:rsid w:val="00BE63CB"/>
    <w:rsid w:val="00BF3500"/>
    <w:rsid w:val="00C150BB"/>
    <w:rsid w:val="00C22348"/>
    <w:rsid w:val="00C27944"/>
    <w:rsid w:val="00C47180"/>
    <w:rsid w:val="00C649E2"/>
    <w:rsid w:val="00C64E3D"/>
    <w:rsid w:val="00C917A4"/>
    <w:rsid w:val="00C95825"/>
    <w:rsid w:val="00C95F44"/>
    <w:rsid w:val="00C96D90"/>
    <w:rsid w:val="00CC0E3A"/>
    <w:rsid w:val="00CD2E1E"/>
    <w:rsid w:val="00CD3A22"/>
    <w:rsid w:val="00CD5091"/>
    <w:rsid w:val="00CE3259"/>
    <w:rsid w:val="00CF15F9"/>
    <w:rsid w:val="00CF7719"/>
    <w:rsid w:val="00D00136"/>
    <w:rsid w:val="00D01E07"/>
    <w:rsid w:val="00D1742A"/>
    <w:rsid w:val="00D27111"/>
    <w:rsid w:val="00D4477F"/>
    <w:rsid w:val="00D47B9A"/>
    <w:rsid w:val="00D577BC"/>
    <w:rsid w:val="00D62EA3"/>
    <w:rsid w:val="00D72B48"/>
    <w:rsid w:val="00D74819"/>
    <w:rsid w:val="00D81196"/>
    <w:rsid w:val="00D8387C"/>
    <w:rsid w:val="00D86018"/>
    <w:rsid w:val="00D86388"/>
    <w:rsid w:val="00D91A79"/>
    <w:rsid w:val="00D937D5"/>
    <w:rsid w:val="00D968AE"/>
    <w:rsid w:val="00DA466C"/>
    <w:rsid w:val="00DB0671"/>
    <w:rsid w:val="00DB1053"/>
    <w:rsid w:val="00DB3A39"/>
    <w:rsid w:val="00DB6D9C"/>
    <w:rsid w:val="00DC3536"/>
    <w:rsid w:val="00DE7B29"/>
    <w:rsid w:val="00DF2955"/>
    <w:rsid w:val="00DF4D9F"/>
    <w:rsid w:val="00E124B6"/>
    <w:rsid w:val="00E23278"/>
    <w:rsid w:val="00E25039"/>
    <w:rsid w:val="00E31E3B"/>
    <w:rsid w:val="00E32CFF"/>
    <w:rsid w:val="00E34AAA"/>
    <w:rsid w:val="00E37048"/>
    <w:rsid w:val="00E445EA"/>
    <w:rsid w:val="00E455D8"/>
    <w:rsid w:val="00E46591"/>
    <w:rsid w:val="00E51969"/>
    <w:rsid w:val="00E81055"/>
    <w:rsid w:val="00E8609D"/>
    <w:rsid w:val="00E90404"/>
    <w:rsid w:val="00E9231F"/>
    <w:rsid w:val="00EB3603"/>
    <w:rsid w:val="00EC3D2A"/>
    <w:rsid w:val="00ED5B2D"/>
    <w:rsid w:val="00EE0557"/>
    <w:rsid w:val="00EF11D8"/>
    <w:rsid w:val="00EF5C7D"/>
    <w:rsid w:val="00F02DA6"/>
    <w:rsid w:val="00F22265"/>
    <w:rsid w:val="00F31F14"/>
    <w:rsid w:val="00F336FE"/>
    <w:rsid w:val="00F359D0"/>
    <w:rsid w:val="00F40717"/>
    <w:rsid w:val="00F432DD"/>
    <w:rsid w:val="00F46A29"/>
    <w:rsid w:val="00F52E36"/>
    <w:rsid w:val="00F53AC5"/>
    <w:rsid w:val="00F544C0"/>
    <w:rsid w:val="00F606CC"/>
    <w:rsid w:val="00F666B7"/>
    <w:rsid w:val="00F70A5D"/>
    <w:rsid w:val="00F87D37"/>
    <w:rsid w:val="00FA3581"/>
    <w:rsid w:val="00FB06ED"/>
    <w:rsid w:val="00FB2907"/>
    <w:rsid w:val="00FC4ACB"/>
    <w:rsid w:val="00FC799A"/>
    <w:rsid w:val="00FD7D3D"/>
    <w:rsid w:val="00FE0BC5"/>
    <w:rsid w:val="00FE1379"/>
    <w:rsid w:val="00FE259D"/>
    <w:rsid w:val="00FE2FB6"/>
    <w:rsid w:val="0624178A"/>
    <w:rsid w:val="076B7A04"/>
    <w:rsid w:val="0B995E81"/>
    <w:rsid w:val="0C372FD3"/>
    <w:rsid w:val="181E1A91"/>
    <w:rsid w:val="1D956C71"/>
    <w:rsid w:val="1E8654DD"/>
    <w:rsid w:val="244E56C0"/>
    <w:rsid w:val="25DC15F8"/>
    <w:rsid w:val="2C61152A"/>
    <w:rsid w:val="2E174B6F"/>
    <w:rsid w:val="37C72EB9"/>
    <w:rsid w:val="39E56A66"/>
    <w:rsid w:val="3B295A17"/>
    <w:rsid w:val="47B21BF1"/>
    <w:rsid w:val="4A7A2086"/>
    <w:rsid w:val="4AD65AE0"/>
    <w:rsid w:val="4FAC6F14"/>
    <w:rsid w:val="54013519"/>
    <w:rsid w:val="540C54AA"/>
    <w:rsid w:val="56772B9E"/>
    <w:rsid w:val="56904F2E"/>
    <w:rsid w:val="5C2B22B9"/>
    <w:rsid w:val="5C577273"/>
    <w:rsid w:val="5FC078B6"/>
    <w:rsid w:val="6E4B4B88"/>
    <w:rsid w:val="751524E0"/>
    <w:rsid w:val="78415272"/>
    <w:rsid w:val="78B91709"/>
    <w:rsid w:val="7E0137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link w:val="14"/>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15"/>
    <w:semiHidden/>
    <w:unhideWhenUsed/>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6"/>
    <w:unhideWhenUsed/>
    <w:qFormat/>
    <w:uiPriority w:val="0"/>
    <w:pPr>
      <w:ind w:firstLine="542"/>
    </w:pPr>
  </w:style>
  <w:style w:type="paragraph" w:styleId="5">
    <w:name w:val="Balloon Text"/>
    <w:basedOn w:val="1"/>
    <w:link w:val="18"/>
    <w:semiHidden/>
    <w:unhideWhenUsed/>
    <w:qFormat/>
    <w:uiPriority w:val="99"/>
    <w:pPr>
      <w:spacing w:line="240" w:lineRule="auto"/>
    </w:pPr>
    <w:rPr>
      <w:sz w:val="18"/>
      <w:szCs w:val="18"/>
    </w:rPr>
  </w:style>
  <w:style w:type="paragraph" w:styleId="6">
    <w:name w:val="footer"/>
    <w:basedOn w:val="1"/>
    <w:link w:val="13"/>
    <w:unhideWhenUsed/>
    <w:qFormat/>
    <w:uiPriority w:val="99"/>
    <w:pPr>
      <w:tabs>
        <w:tab w:val="center" w:pos="4153"/>
        <w:tab w:val="right" w:pos="8306"/>
        <w:tab w:val="clear" w:pos="4820"/>
        <w:tab w:val="clear" w:pos="5103"/>
        <w:tab w:val="clear" w:pos="8505"/>
      </w:tabs>
      <w:snapToGrid w:val="0"/>
      <w:spacing w:line="240" w:lineRule="auto"/>
      <w:ind w:firstLine="0" w:firstLineChars="0"/>
      <w:jc w:val="left"/>
    </w:pPr>
    <w:rPr>
      <w:rFonts w:asciiTheme="minorHAnsi" w:hAnsiTheme="minorHAnsi" w:eastAsiaTheme="minorEastAsia" w:cstheme="minorBidi"/>
      <w:spacing w:val="0"/>
      <w:w w:val="100"/>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 w:val="clear" w:pos="4820"/>
        <w:tab w:val="clear" w:pos="5103"/>
        <w:tab w:val="clear" w:pos="8505"/>
      </w:tabs>
      <w:snapToGrid w:val="0"/>
      <w:spacing w:line="240" w:lineRule="auto"/>
      <w:ind w:firstLine="0" w:firstLineChars="0"/>
      <w:jc w:val="center"/>
    </w:pPr>
    <w:rPr>
      <w:rFonts w:asciiTheme="minorHAnsi" w:hAnsiTheme="minorHAnsi" w:eastAsiaTheme="minorEastAsia" w:cstheme="minorBidi"/>
      <w:spacing w:val="0"/>
      <w:w w:val="100"/>
      <w:sz w:val="18"/>
      <w:szCs w:val="18"/>
    </w:rPr>
  </w:style>
  <w:style w:type="paragraph" w:styleId="8">
    <w:name w:val="Body Text Indent 3"/>
    <w:basedOn w:val="1"/>
    <w:link w:val="17"/>
    <w:unhideWhenUsed/>
    <w:qFormat/>
    <w:uiPriority w:val="0"/>
    <w:pPr>
      <w:ind w:firstLine="586"/>
    </w:pPr>
    <w:rPr>
      <w:rFonts w:ascii="汉仪书宋二简"/>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标题 1 Char"/>
    <w:basedOn w:val="11"/>
    <w:link w:val="2"/>
    <w:qFormat/>
    <w:uiPriority w:val="0"/>
    <w:rPr>
      <w:rFonts w:ascii="Arial" w:hAnsi="Arial" w:eastAsia="汉仪书宋二简" w:cs="Arial"/>
      <w:b/>
      <w:bCs/>
      <w:spacing w:val="20"/>
      <w:w w:val="110"/>
      <w:kern w:val="32"/>
      <w:sz w:val="32"/>
      <w:szCs w:val="32"/>
    </w:rPr>
  </w:style>
  <w:style w:type="character" w:customStyle="1" w:styleId="15">
    <w:name w:val="标题 3 Char"/>
    <w:basedOn w:val="11"/>
    <w:link w:val="3"/>
    <w:semiHidden/>
    <w:qFormat/>
    <w:uiPriority w:val="0"/>
    <w:rPr>
      <w:rFonts w:ascii="Arial" w:hAnsi="Arial" w:eastAsia="汉仪中黑简" w:cs="Arial"/>
      <w:bCs/>
      <w:spacing w:val="20"/>
      <w:sz w:val="26"/>
      <w:szCs w:val="26"/>
    </w:rPr>
  </w:style>
  <w:style w:type="character" w:customStyle="1" w:styleId="16">
    <w:name w:val="正文文本缩进 2 Char"/>
    <w:basedOn w:val="11"/>
    <w:link w:val="4"/>
    <w:qFormat/>
    <w:uiPriority w:val="0"/>
    <w:rPr>
      <w:rFonts w:ascii="Times New Roman" w:hAnsi="Times New Roman" w:eastAsia="汉仪书宋二简" w:cs="Times New Roman"/>
      <w:spacing w:val="20"/>
      <w:w w:val="110"/>
      <w:sz w:val="23"/>
      <w:szCs w:val="24"/>
    </w:rPr>
  </w:style>
  <w:style w:type="character" w:customStyle="1" w:styleId="17">
    <w:name w:val="正文文本缩进 3 Char"/>
    <w:basedOn w:val="11"/>
    <w:link w:val="8"/>
    <w:qFormat/>
    <w:uiPriority w:val="0"/>
    <w:rPr>
      <w:rFonts w:ascii="汉仪书宋二简" w:hAnsi="Times New Roman" w:eastAsia="汉仪书宋二简" w:cs="Times New Roman"/>
      <w:spacing w:val="20"/>
      <w:w w:val="110"/>
      <w:sz w:val="23"/>
      <w:szCs w:val="24"/>
    </w:rPr>
  </w:style>
  <w:style w:type="character" w:customStyle="1" w:styleId="18">
    <w:name w:val="批注框文本 Char"/>
    <w:basedOn w:val="11"/>
    <w:link w:val="5"/>
    <w:semiHidden/>
    <w:qFormat/>
    <w:uiPriority w:val="99"/>
    <w:rPr>
      <w:rFonts w:ascii="Times New Roman" w:hAnsi="Times New Roman" w:eastAsia="汉仪书宋二简" w:cs="Times New Roman"/>
      <w:spacing w:val="20"/>
      <w:w w:val="110"/>
      <w:sz w:val="18"/>
      <w:szCs w:val="18"/>
    </w:rPr>
  </w:style>
  <w:style w:type="paragraph" w:styleId="1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02E84-7DDA-4ABE-A5C2-6CB256F8D4CD}">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1120</Words>
  <Characters>6390</Characters>
  <Lines>53</Lines>
  <Paragraphs>14</Paragraphs>
  <TotalTime>2</TotalTime>
  <ScaleCrop>false</ScaleCrop>
  <LinksUpToDate>false</LinksUpToDate>
  <CharactersWithSpaces>7496</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2020-09-27T07:24:00Z</dcterms:created>
  <dc:creator>JPC474</dc:creator>
  <cp:lastModifiedBy>郑浩楠</cp:lastModifiedBy>
  <cp:lastPrinted>2021-11-03T07:09:00Z</cp:lastPrinted>
  <dcterms:modified xsi:type="dcterms:W3CDTF">2021-11-08T03:40:28Z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