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  <w:r>
        <w:rPr>
          <w:rFonts w:hint="eastAsia" w:ascii="仿宋_GB2312" w:hAnsi="Times New Roman" w:eastAsia="仿宋_GB2312" w:cs="Calibri"/>
          <w:b/>
          <w:sz w:val="32"/>
          <w:szCs w:val="32"/>
        </w:rPr>
        <w:t>关于[沙头角地区]法定图则32-05地块规划调整的通告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80" w:firstLineChars="150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依据《深圳市城市规划条例》，经深圳市城市规划委员会授权，法定图则委员会20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年第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Calibri"/>
          <w:sz w:val="32"/>
          <w:szCs w:val="32"/>
        </w:rPr>
        <w:t>次会议审批通过[沙头角地区]法定图则32-05地块规划调整事项，现予以公布：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4752975" cy="3794760"/>
            <wp:effectExtent l="0" t="0" r="9525" b="1524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760" t="1538" r="887" b="69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06" w:tblpY="284"/>
        <w:tblOverlap w:val="never"/>
        <w:tblW w:w="960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35"/>
        <w:gridCol w:w="1320"/>
        <w:gridCol w:w="1170"/>
        <w:gridCol w:w="990"/>
        <w:gridCol w:w="1620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6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sz w:val="22"/>
                <w:szCs w:val="22"/>
              </w:rPr>
              <w:t>32-05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R2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sz w:val="22"/>
                <w:szCs w:val="22"/>
              </w:rPr>
              <w:t>二类居住用地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sz w:val="22"/>
                <w:szCs w:val="22"/>
              </w:rPr>
              <w:t>2582.95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  <w:bCs/>
                <w:kern w:val="24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4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left"/>
              <w:textAlignment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dark1"/>
                <w:kern w:val="24"/>
                <w:sz w:val="22"/>
                <w:szCs w:val="22"/>
                <w14:textFill>
                  <w14:solidFill>
                    <w14:schemeClr w14:val="dk1"/>
                  </w14:solidFill>
                </w14:textFill>
              </w:rPr>
              <w:t>规划，在城市更新单元规划中该地块对应的容积率不得超过4.5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ascii="仿宋_GB2312" w:hAnsi="Times New Roman" w:eastAsia="仿宋_GB2312" w:cs="Calibri"/>
          <w:sz w:val="32"/>
          <w:szCs w:val="32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仿宋_GB2312" w:hAnsi="Times New Roman" w:eastAsia="仿宋_GB2312" w:cs="Calibri"/>
          <w:sz w:val="32"/>
          <w:szCs w:val="32"/>
        </w:rPr>
        <w:t>深圳市城市规划委员会</w:t>
      </w:r>
    </w:p>
    <w:p>
      <w:pPr>
        <w:spacing w:before="120" w:after="120"/>
        <w:ind w:firstLine="48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深圳市规划和自然资源局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盐田管理局</w:t>
      </w:r>
    </w:p>
    <w:p>
      <w:pPr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Calibri"/>
          <w:sz w:val="32"/>
          <w:szCs w:val="32"/>
        </w:rPr>
        <w:t>20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Calibri"/>
          <w:sz w:val="32"/>
          <w:szCs w:val="32"/>
        </w:rPr>
        <w:t>年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Calibri"/>
          <w:sz w:val="32"/>
          <w:szCs w:val="32"/>
        </w:rPr>
        <w:t>月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Times New Roman" w:eastAsia="仿宋_GB2312" w:cs="Calibri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FFD48E3"/>
    <w:rsid w:val="19E2711E"/>
    <w:rsid w:val="1AFD3A90"/>
    <w:rsid w:val="35A51CB5"/>
    <w:rsid w:val="65734E65"/>
    <w:rsid w:val="735826DF"/>
    <w:rsid w:val="7A9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2019-08-07T01:31:00Z</dcterms:created>
  <dc:creator>谭权</dc:creator>
  <cp:lastModifiedBy>周慧慧</cp:lastModifiedBy>
  <cp:lastPrinted>2021-11-09T03:45:00Z</cp:lastPrinted>
  <dcterms:modified xsi:type="dcterms:W3CDTF">2021-11-09T09:00:03Z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