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jc w:val="center"/>
        <w:rPr>
          <w:rFonts w:ascii="汉仪书宋二简"/>
          <w:u w:val="single"/>
        </w:rPr>
      </w:pPr>
      <w:r>
        <w:rPr>
          <w:rFonts w:hint="eastAsia" w:eastAsia="汉仪中黑简"/>
          <w:spacing w:val="40"/>
          <w:w w:val="100"/>
          <w:sz w:val="40"/>
        </w:rPr>
        <w:t xml:space="preserve">       </w:t>
      </w:r>
      <w:r>
        <w:rPr>
          <w:rFonts w:hint="eastAsia" w:ascii="宋体" w:hAnsi="宋体" w:eastAsia="宋体"/>
          <w:w w:val="105"/>
          <w:szCs w:val="23"/>
        </w:rPr>
        <w:t>宗地代码：</w:t>
      </w:r>
      <w:r>
        <w:rPr>
          <w:rFonts w:hint="eastAsia" w:ascii="汉仪书宋二简"/>
        </w:rPr>
        <w:t>440306603002GA00367</w:t>
      </w:r>
    </w:p>
    <w:p>
      <w:pPr>
        <w:spacing w:line="360" w:lineRule="auto"/>
        <w:ind w:firstLine="583"/>
        <w:jc w:val="center"/>
        <w:rPr>
          <w:rFonts w:ascii="汉仪书宋二简"/>
          <w:u w:val="single"/>
        </w:rPr>
      </w:pPr>
      <w:r>
        <w:rPr>
          <w:rFonts w:hint="eastAsia" w:ascii="汉仪书宋二简"/>
        </w:rPr>
        <w:t xml:space="preserve">                宗地号：A407-1020</w:t>
      </w:r>
    </w:p>
    <w:p>
      <w:pPr>
        <w:spacing w:line="240" w:lineRule="auto"/>
        <w:ind w:firstLine="394"/>
        <w:jc w:val="center"/>
        <w:rPr>
          <w:rFonts w:ascii="宋体" w:hAnsi="宋体" w:eastAsia="宋体"/>
          <w:w w:val="105"/>
          <w:sz w:val="15"/>
          <w:szCs w:val="15"/>
        </w:rPr>
      </w:pPr>
    </w:p>
    <w:p>
      <w:pPr>
        <w:spacing w:line="800" w:lineRule="exact"/>
        <w:ind w:firstLine="960"/>
        <w:jc w:val="center"/>
        <w:rPr>
          <w:b/>
          <w:bCs/>
          <w:spacing w:val="40"/>
          <w:sz w:val="32"/>
        </w:rPr>
      </w:pPr>
      <w:r>
        <w:rPr>
          <w:rFonts w:hint="eastAsia" w:eastAsia="汉仪中黑简"/>
          <w:spacing w:val="40"/>
          <w:w w:val="100"/>
          <w:sz w:val="40"/>
        </w:rPr>
        <w:t>深圳市土地使用权出让合同书</w:t>
      </w:r>
    </w:p>
    <w:p>
      <w:pPr>
        <w:spacing w:after="800"/>
        <w:ind w:firstLine="0" w:firstLineChars="0"/>
        <w:jc w:val="center"/>
        <w:rPr>
          <w:rFonts w:ascii="汉仪书宋二简" w:hAnsi="宋体"/>
        </w:rPr>
      </w:pPr>
      <w:r>
        <w:rPr>
          <w:rFonts w:hint="eastAsia" w:ascii="汉仪书宋二简" w:hAnsi="宋体"/>
        </w:rPr>
        <w:t>深地合字（2021）号</w:t>
      </w:r>
    </w:p>
    <w:p>
      <w:pPr>
        <w:spacing w:line="620" w:lineRule="exact"/>
        <w:ind w:firstLine="583"/>
        <w:rPr>
          <w:rFonts w:ascii="汉仪书宋二简"/>
        </w:rPr>
      </w:pPr>
      <w:r>
        <w:rPr>
          <w:rFonts w:hint="eastAsia" w:ascii="汉仪书宋二简"/>
        </w:rPr>
        <w:t>一、本合同双方当事人</w:t>
      </w:r>
    </w:p>
    <w:p>
      <w:pPr>
        <w:tabs>
          <w:tab w:val="clear" w:pos="5103"/>
        </w:tabs>
        <w:spacing w:line="620" w:lineRule="exact"/>
        <w:ind w:firstLine="583"/>
        <w:rPr>
          <w:rFonts w:ascii="汉仪书宋二简"/>
          <w:u w:val="single"/>
        </w:rPr>
      </w:pPr>
      <w:r>
        <w:rPr>
          <w:rFonts w:hint="eastAsia" w:ascii="汉仪书宋二简"/>
        </w:rPr>
        <w:t>出让方：</w:t>
      </w:r>
      <w:r>
        <w:rPr>
          <w:rFonts w:hint="eastAsia" w:ascii="汉仪书宋二简"/>
          <w:u w:val="single"/>
        </w:rPr>
        <w:t>深圳市规划和自然资源局宝安管理局</w:t>
      </w:r>
    </w:p>
    <w:p>
      <w:pPr>
        <w:tabs>
          <w:tab w:val="clear" w:pos="5103"/>
        </w:tabs>
        <w:spacing w:line="620" w:lineRule="exact"/>
        <w:ind w:firstLine="583"/>
        <w:rPr>
          <w:rFonts w:ascii="汉仪书宋二简"/>
          <w:u w:val="single"/>
        </w:rPr>
      </w:pPr>
      <w:r>
        <w:rPr>
          <w:rFonts w:hint="eastAsia" w:ascii="汉仪书宋二简"/>
        </w:rPr>
        <w:t>（以下简称甲方）</w:t>
      </w:r>
    </w:p>
    <w:p>
      <w:pPr>
        <w:tabs>
          <w:tab w:val="right" w:pos="5220"/>
          <w:tab w:val="left" w:pos="5760"/>
          <w:tab w:val="clear" w:pos="4820"/>
          <w:tab w:val="clear" w:pos="5103"/>
        </w:tabs>
        <w:spacing w:line="620" w:lineRule="exact"/>
        <w:ind w:firstLine="511"/>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刘义刚</w:t>
      </w:r>
      <w:r>
        <w:rPr>
          <w:rFonts w:hint="eastAsia" w:ascii="汉仪书宋二简"/>
          <w:spacing w:val="2"/>
          <w:szCs w:val="23"/>
        </w:rPr>
        <w:t xml:space="preserve">     </w:t>
      </w:r>
      <w:r>
        <w:rPr>
          <w:rFonts w:hint="eastAsia" w:ascii="汉仪书宋二简" w:eastAsia="宋体"/>
          <w:spacing w:val="2"/>
          <w:szCs w:val="23"/>
        </w:rPr>
        <w:t xml:space="preserve">                </w:t>
      </w:r>
      <w:r>
        <w:rPr>
          <w:rFonts w:hint="eastAsia" w:ascii="汉仪书宋二简"/>
          <w:spacing w:val="2"/>
          <w:szCs w:val="23"/>
        </w:rPr>
        <w:t>职务：</w:t>
      </w:r>
      <w:r>
        <w:rPr>
          <w:rFonts w:hint="eastAsia" w:ascii="汉仪书宋二简"/>
          <w:spacing w:val="2"/>
          <w:szCs w:val="23"/>
          <w:u w:val="single"/>
        </w:rPr>
        <w:t xml:space="preserve">局长  </w:t>
      </w:r>
      <w:r>
        <w:rPr>
          <w:rFonts w:ascii="汉仪书宋二简"/>
          <w:spacing w:val="2"/>
          <w:szCs w:val="23"/>
          <w:u w:val="single"/>
        </w:rPr>
        <w:t xml:space="preserve"> </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1"/>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深圳市宝安区前进一路293号</w:t>
      </w:r>
      <w:r>
        <w:rPr>
          <w:rFonts w:hint="eastAsia" w:ascii="汉仪书宋二简"/>
          <w:spacing w:val="2"/>
          <w:szCs w:val="23"/>
        </w:rPr>
        <w:t xml:space="preserve">   电话：</w:t>
      </w:r>
      <w:r>
        <w:rPr>
          <w:rFonts w:hint="eastAsia" w:ascii="汉仪书宋二简"/>
          <w:spacing w:val="2"/>
          <w:szCs w:val="23"/>
          <w:u w:val="single"/>
        </w:rPr>
        <w:t>27820114</w:t>
      </w:r>
    </w:p>
    <w:p>
      <w:pPr>
        <w:tabs>
          <w:tab w:val="right" w:pos="5220"/>
          <w:tab w:val="left" w:pos="5760"/>
          <w:tab w:val="clear" w:pos="4820"/>
          <w:tab w:val="clear" w:pos="5103"/>
        </w:tabs>
        <w:spacing w:line="620" w:lineRule="exact"/>
        <w:ind w:firstLine="583"/>
        <w:rPr>
          <w:rFonts w:ascii="汉仪书宋二简"/>
          <w:u w:val="single"/>
        </w:rPr>
      </w:pPr>
    </w:p>
    <w:p>
      <w:pPr>
        <w:tabs>
          <w:tab w:val="clear" w:pos="5103"/>
        </w:tabs>
        <w:spacing w:line="620" w:lineRule="exact"/>
        <w:ind w:firstLine="583"/>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3"/>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1"/>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1"/>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1"/>
        <w:rPr>
          <w:rFonts w:ascii="汉仪书宋二简"/>
          <w:spacing w:val="2"/>
          <w:szCs w:val="23"/>
          <w:u w:val="single"/>
        </w:rPr>
      </w:pPr>
    </w:p>
    <w:p>
      <w:pPr>
        <w:tabs>
          <w:tab w:val="clear" w:pos="5103"/>
        </w:tabs>
        <w:spacing w:line="620" w:lineRule="exact"/>
        <w:ind w:firstLine="583"/>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3"/>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1"/>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1"/>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1"/>
        <w:rPr>
          <w:rFonts w:ascii="汉仪书宋二简"/>
          <w:spacing w:val="2"/>
          <w:szCs w:val="23"/>
          <w:u w:val="single"/>
        </w:rPr>
      </w:pPr>
    </w:p>
    <w:p>
      <w:pPr>
        <w:spacing w:line="510" w:lineRule="exact"/>
        <w:ind w:firstLine="583"/>
        <w:rPr>
          <w:rFonts w:ascii="汉仪书宋二简"/>
        </w:rPr>
      </w:pPr>
      <w:r>
        <w:rPr>
          <w:rFonts w:hint="eastAsia" w:ascii="汉仪书宋二简"/>
        </w:rPr>
        <w:t>二、根据国家有关法律、法规及深圳市的有关规定，订立本合同。</w:t>
      </w:r>
    </w:p>
    <w:p>
      <w:pPr>
        <w:pStyle w:val="8"/>
        <w:spacing w:line="510" w:lineRule="exact"/>
        <w:ind w:firstLine="583"/>
      </w:pPr>
      <w:r>
        <w:rPr>
          <w:rFonts w:hint="eastAsia"/>
        </w:rPr>
        <w:t>三、甲方向乙方出让土地的使用权，土地所有权属于国家。地下自然资源、埋藏物均不在土地使用权出让范围。</w:t>
      </w:r>
    </w:p>
    <w:p>
      <w:pPr>
        <w:ind w:firstLine="583"/>
        <w:rPr>
          <w:rFonts w:ascii="汉仪书宋二简"/>
        </w:rPr>
      </w:pPr>
      <w:r>
        <w:rPr>
          <w:rFonts w:hint="eastAsia" w:ascii="汉仪书宋二简"/>
        </w:rPr>
        <w:t>四、</w:t>
      </w:r>
      <w:r>
        <w:rPr>
          <w:rFonts w:hint="eastAsia" w:ascii="汉仪书宋二简"/>
          <w:szCs w:val="23"/>
        </w:rPr>
        <w:t>本合同签订之日，甲方将宗地代码为</w:t>
      </w:r>
      <w:r>
        <w:rPr>
          <w:rFonts w:hint="eastAsia" w:ascii="汉仪书宋二简"/>
          <w:u w:val="single"/>
        </w:rPr>
        <w:t>440306603002GA00367</w:t>
      </w:r>
      <w:r>
        <w:rPr>
          <w:rFonts w:hint="eastAsia" w:ascii="汉仪书宋二简"/>
          <w:szCs w:val="23"/>
        </w:rPr>
        <w:t>（宗地号为</w:t>
      </w:r>
      <w:r>
        <w:rPr>
          <w:rFonts w:hint="eastAsia"/>
        </w:rPr>
        <w:t>A407-1020</w:t>
      </w:r>
      <w:r>
        <w:rPr>
          <w:rFonts w:hint="eastAsia" w:ascii="汉仪书宋二简"/>
        </w:rPr>
        <w:t>）</w:t>
      </w:r>
      <w:r>
        <w:rPr>
          <w:rFonts w:hint="eastAsia" w:ascii="汉仪书宋二简"/>
          <w:szCs w:val="23"/>
        </w:rPr>
        <w:t>，土地面积为</w:t>
      </w:r>
      <w:r>
        <w:rPr>
          <w:rFonts w:hint="eastAsia" w:ascii="汉仪书宋二简"/>
          <w:szCs w:val="23"/>
          <w:u w:val="single"/>
        </w:rPr>
        <w:t>25541.93</w:t>
      </w:r>
      <w:r>
        <w:rPr>
          <w:rFonts w:hint="eastAsia" w:ascii="汉仪书宋二简"/>
          <w:kern w:val="10"/>
          <w:szCs w:val="23"/>
        </w:rPr>
        <w:t>平方米</w:t>
      </w:r>
      <w:r>
        <w:rPr>
          <w:rFonts w:hint="eastAsia" w:ascii="汉仪书宋二简"/>
          <w:szCs w:val="23"/>
        </w:rPr>
        <w:t>（见宗地图红线范围）的土地使用权出让给</w:t>
      </w:r>
      <w:r>
        <w:rPr>
          <w:rFonts w:hint="eastAsia" w:ascii="汉仪书宋二简"/>
        </w:rPr>
        <w:t>乙方，乙方对上述宗地的现状无任何异议。本合同签订后，则视为甲方已向乙方交付土地。</w:t>
      </w:r>
    </w:p>
    <w:p>
      <w:pPr>
        <w:ind w:firstLine="583"/>
        <w:rPr>
          <w:rFonts w:ascii="汉仪书宋二简"/>
        </w:rPr>
      </w:pPr>
      <w:r>
        <w:rPr>
          <w:rFonts w:hint="eastAsia" w:ascii="汉仪书宋二简"/>
        </w:rPr>
        <w:t>五、本宗地的商业用地使用年期为</w:t>
      </w:r>
      <w:r>
        <w:rPr>
          <w:rFonts w:hint="eastAsia" w:ascii="汉仪书宋二简"/>
          <w:u w:val="single"/>
        </w:rPr>
        <w:t>肆拾</w:t>
      </w:r>
      <w:r>
        <w:rPr>
          <w:rFonts w:hint="eastAsia" w:ascii="汉仪书宋二简"/>
        </w:rPr>
        <w:t>年，从</w:t>
      </w:r>
      <w:r>
        <w:rPr>
          <w:rFonts w:ascii="汉仪书宋二简"/>
          <w:u w:val="single"/>
        </w:rPr>
        <w:t>20</w:t>
      </w:r>
      <w:r>
        <w:rPr>
          <w:rFonts w:hint="eastAsia" w:ascii="汉仪书宋二简"/>
          <w:u w:val="single"/>
        </w:rPr>
        <w:t>21</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日起至</w:t>
      </w:r>
      <w:r>
        <w:rPr>
          <w:rFonts w:ascii="汉仪书宋二简"/>
          <w:u w:val="single"/>
        </w:rPr>
        <w:t>20</w:t>
      </w:r>
      <w:r>
        <w:rPr>
          <w:rFonts w:hint="eastAsia" w:ascii="汉仪书宋二简"/>
          <w:u w:val="single"/>
        </w:rPr>
        <w:t>61</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日止（二类居住用地使用年期为</w:t>
      </w:r>
      <w:r>
        <w:rPr>
          <w:rFonts w:hint="eastAsia" w:ascii="汉仪书宋二简"/>
          <w:u w:val="single"/>
        </w:rPr>
        <w:t>柒拾</w:t>
      </w:r>
      <w:r>
        <w:rPr>
          <w:rFonts w:hint="eastAsia" w:ascii="汉仪书宋二简"/>
        </w:rPr>
        <w:t>年，从</w:t>
      </w:r>
      <w:r>
        <w:rPr>
          <w:rFonts w:ascii="汉仪书宋二简"/>
          <w:u w:val="single"/>
        </w:rPr>
        <w:t>20</w:t>
      </w:r>
      <w:r>
        <w:rPr>
          <w:rFonts w:hint="eastAsia" w:ascii="汉仪书宋二简"/>
          <w:u w:val="single"/>
        </w:rPr>
        <w:t>21</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日起至</w:t>
      </w:r>
      <w:r>
        <w:rPr>
          <w:rFonts w:ascii="汉仪书宋二简"/>
          <w:u w:val="single"/>
        </w:rPr>
        <w:t>20</w:t>
      </w:r>
      <w:r>
        <w:rPr>
          <w:rFonts w:hint="eastAsia" w:ascii="汉仪书宋二简"/>
          <w:u w:val="single"/>
        </w:rPr>
        <w:t>91</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日止）。</w:t>
      </w:r>
    </w:p>
    <w:p>
      <w:pPr>
        <w:ind w:firstLine="583"/>
        <w:rPr>
          <w:rFonts w:ascii="汉仪书宋二简"/>
        </w:rPr>
      </w:pPr>
      <w:r>
        <w:rPr>
          <w:rFonts w:hint="eastAsia" w:ascii="汉仪书宋二简"/>
        </w:rPr>
        <w:t>六、土地用途为商业用地（C1）+二类居住用地（R2）。</w:t>
      </w:r>
    </w:p>
    <w:p>
      <w:pPr>
        <w:ind w:firstLine="583"/>
        <w:rPr>
          <w:rFonts w:ascii="汉仪书宋二简"/>
        </w:rPr>
      </w:pPr>
      <w:r>
        <w:rPr>
          <w:rFonts w:hint="eastAsia" w:ascii="汉仪书宋二简"/>
        </w:rPr>
        <w:t>七、土地性质为商品性，但普通</w:t>
      </w:r>
      <w:r>
        <w:rPr>
          <w:rFonts w:hint="eastAsia" w:ascii="汉仪书宋二简" w:hAnsi="汉仪书宋二简"/>
          <w:kern w:val="0"/>
        </w:rPr>
        <w:t>商品住房自取得套房不动产权证之日起3年内不得转让。</w:t>
      </w:r>
    </w:p>
    <w:p>
      <w:pPr>
        <w:spacing w:line="510" w:lineRule="exact"/>
        <w:ind w:firstLine="583"/>
        <w:rPr>
          <w:rFonts w:ascii="汉仪书宋二简"/>
        </w:rPr>
      </w:pPr>
      <w:r>
        <w:rPr>
          <w:rFonts w:hint="eastAsia" w:ascii="汉仪书宋二简"/>
        </w:rPr>
        <w:t>八、上述宗地土地使用权出让的总地价款为人民币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元）。其中，出让金为人民币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元）；土地开发金为人民币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元）；市政配套设施金为人民币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w:t>
      </w:r>
    </w:p>
    <w:p>
      <w:pPr>
        <w:spacing w:line="500" w:lineRule="exact"/>
        <w:ind w:firstLine="583"/>
        <w:rPr>
          <w:rFonts w:ascii="汉仪书宋二简"/>
        </w:rPr>
      </w:pPr>
      <w:r>
        <w:rPr>
          <w:rFonts w:hint="eastAsia" w:ascii="汉仪书宋二简"/>
        </w:rPr>
        <w:t>九、土地利用要求：</w:t>
      </w:r>
    </w:p>
    <w:p>
      <w:pPr>
        <w:spacing w:line="510" w:lineRule="exact"/>
        <w:ind w:firstLine="583"/>
        <w:rPr>
          <w:rFonts w:ascii="汉仪书宋二简"/>
          <w:u w:val="single"/>
        </w:rPr>
      </w:pPr>
      <w:r>
        <w:rPr>
          <w:rFonts w:hint="eastAsia" w:ascii="汉仪书宋二简"/>
        </w:rPr>
        <w:t>（一）建筑间距：</w:t>
      </w:r>
      <w:r>
        <w:rPr>
          <w:rFonts w:hint="eastAsia" w:ascii="汉仪书宋二简"/>
          <w:u w:val="single"/>
        </w:rPr>
        <w:t>满足《深圳市城市规划标准与准则》及消防规范要求</w:t>
      </w:r>
    </w:p>
    <w:p>
      <w:pPr>
        <w:spacing w:line="510" w:lineRule="exact"/>
        <w:ind w:firstLine="583"/>
        <w:rPr>
          <w:rFonts w:ascii="汉仪书宋二简"/>
        </w:rPr>
      </w:pPr>
      <w:r>
        <w:rPr>
          <w:rFonts w:hint="eastAsia" w:ascii="汉仪书宋二简"/>
        </w:rPr>
        <w:t>（二）建筑容积率：</w:t>
      </w:r>
      <w:r>
        <w:rPr>
          <w:rFonts w:hint="eastAsia" w:ascii="汉仪书宋二简"/>
          <w:u w:val="single"/>
        </w:rPr>
        <w:t>≤6.75</w:t>
      </w:r>
    </w:p>
    <w:p>
      <w:pPr>
        <w:spacing w:line="510" w:lineRule="exact"/>
        <w:ind w:firstLine="583"/>
        <w:rPr>
          <w:rFonts w:ascii="汉仪书宋二简"/>
        </w:rPr>
      </w:pPr>
      <w:r>
        <w:rPr>
          <w:rFonts w:hint="eastAsia" w:ascii="汉仪书宋二简"/>
        </w:rPr>
        <w:t>（三）建筑高度或层数：</w:t>
      </w:r>
      <w:r>
        <w:rPr>
          <w:rFonts w:hint="eastAsia" w:ascii="汉仪书宋二简"/>
          <w:u w:val="single"/>
        </w:rPr>
        <w:t>满足航空限高要求</w:t>
      </w:r>
    </w:p>
    <w:p>
      <w:pPr>
        <w:spacing w:line="510" w:lineRule="exact"/>
        <w:ind w:firstLine="583"/>
        <w:rPr>
          <w:rFonts w:ascii="汉仪书宋二简"/>
        </w:rPr>
      </w:pPr>
      <w:r>
        <w:rPr>
          <w:rFonts w:hint="eastAsia" w:ascii="汉仪书宋二简"/>
        </w:rPr>
        <w:t>（四）计入容积率的总建筑面积不超过172317平方米，其中办公56000平方米，商业6528平方米，酒店45000平方米，住宅59559平方米（其中普通商品住房面积</w:t>
      </w:r>
      <w:r>
        <w:rPr>
          <w:rFonts w:hint="eastAsia" w:ascii="汉仪书宋二简"/>
          <w:u w:val="single"/>
        </w:rPr>
        <w:t xml:space="preserve">   </w:t>
      </w:r>
      <w:r>
        <w:rPr>
          <w:rFonts w:hint="eastAsia" w:ascii="汉仪书宋二简"/>
        </w:rPr>
        <w:t>平方米、安居型商品住房</w:t>
      </w:r>
      <w:r>
        <w:rPr>
          <w:rFonts w:hint="eastAsia" w:ascii="汉仪书宋二简"/>
          <w:u w:val="single"/>
        </w:rPr>
        <w:t xml:space="preserve">   </w:t>
      </w:r>
      <w:r>
        <w:rPr>
          <w:rFonts w:hint="eastAsia" w:ascii="汉仪书宋二简"/>
        </w:rPr>
        <w:t>平方米），物业服务用房350平方米，公交首末站2500平方米，6班幼儿园1980平方米，社区管理用房300平方米，社区警务室100平方米。</w:t>
      </w:r>
    </w:p>
    <w:p>
      <w:pPr>
        <w:spacing w:line="510" w:lineRule="exact"/>
        <w:ind w:firstLine="583"/>
        <w:rPr>
          <w:rFonts w:ascii="汉仪书宋二简"/>
        </w:rPr>
      </w:pPr>
      <w:r>
        <w:rPr>
          <w:rFonts w:hint="eastAsia" w:ascii="汉仪书宋二简"/>
        </w:rPr>
        <w:t xml:space="preserve">（五）该项目酒店部分限整体转让，商业、办公可分割转让，普通商品住房、安居型商品房可分割转让。 </w:t>
      </w:r>
    </w:p>
    <w:p>
      <w:pPr>
        <w:spacing w:line="510" w:lineRule="exact"/>
        <w:ind w:firstLine="583"/>
        <w:rPr>
          <w:rFonts w:ascii="汉仪书宋二简"/>
        </w:rPr>
      </w:pPr>
      <w:r>
        <w:rPr>
          <w:rFonts w:hint="eastAsia" w:ascii="汉仪书宋二简"/>
        </w:rPr>
        <w:t>（六）总体布局及相关建设要求</w:t>
      </w:r>
    </w:p>
    <w:p>
      <w:pPr>
        <w:spacing w:line="510" w:lineRule="exact"/>
        <w:ind w:firstLine="583"/>
        <w:rPr>
          <w:rFonts w:ascii="汉仪书宋二简"/>
        </w:rPr>
      </w:pPr>
      <w:r>
        <w:rPr>
          <w:rFonts w:hint="eastAsia" w:ascii="汉仪书宋二简"/>
        </w:rPr>
        <w:t>1、本项目建筑退线应满足《深圳市城市规划标准与准则》及相关规范要求；</w:t>
      </w:r>
    </w:p>
    <w:p>
      <w:pPr>
        <w:spacing w:line="510" w:lineRule="exact"/>
        <w:ind w:firstLine="583"/>
        <w:rPr>
          <w:rFonts w:ascii="汉仪书宋二简"/>
        </w:rPr>
      </w:pPr>
      <w:r>
        <w:rPr>
          <w:rFonts w:hint="eastAsia" w:ascii="汉仪书宋二简"/>
        </w:rPr>
        <w:t>2、建筑覆盖率分两级控制，一级建筑覆盖率≤50%，二级建筑覆盖率≤25%；</w:t>
      </w:r>
    </w:p>
    <w:p>
      <w:pPr>
        <w:spacing w:line="510" w:lineRule="exact"/>
        <w:ind w:firstLine="583"/>
        <w:rPr>
          <w:rFonts w:ascii="汉仪书宋二简"/>
        </w:rPr>
      </w:pPr>
      <w:r>
        <w:rPr>
          <w:rFonts w:hint="eastAsia" w:ascii="汉仪书宋二简"/>
        </w:rPr>
        <w:t>3、本项目酒店建筑高度不得低于260米；</w:t>
      </w:r>
    </w:p>
    <w:p>
      <w:pPr>
        <w:spacing w:line="510" w:lineRule="exact"/>
        <w:ind w:firstLine="583"/>
        <w:rPr>
          <w:rFonts w:ascii="汉仪书宋二简"/>
        </w:rPr>
      </w:pPr>
      <w:r>
        <w:rPr>
          <w:rFonts w:hint="eastAsia" w:ascii="汉仪书宋二简"/>
        </w:rPr>
        <w:t>4、总体布局：以甲方审定的总平面图为准；</w:t>
      </w:r>
    </w:p>
    <w:p>
      <w:pPr>
        <w:spacing w:line="510" w:lineRule="exact"/>
        <w:ind w:firstLine="583"/>
        <w:rPr>
          <w:rFonts w:ascii="汉仪书宋二简"/>
        </w:rPr>
      </w:pPr>
      <w:r>
        <w:rPr>
          <w:rFonts w:hint="eastAsia" w:ascii="汉仪书宋二简"/>
        </w:rPr>
        <w:t>5、地块内应落实社区体育活动场地一处，</w:t>
      </w:r>
      <w:r>
        <w:rPr>
          <w:rFonts w:hint="eastAsia" w:ascii="汉仪书宋二简"/>
          <w:lang w:val="en-US" w:eastAsia="zh-CN"/>
        </w:rPr>
        <w:t>场</w:t>
      </w:r>
      <w:r>
        <w:rPr>
          <w:rFonts w:hint="eastAsia" w:ascii="汉仪书宋二简"/>
        </w:rPr>
        <w:t>地面积600平方米；含3人制篮球场、儿童活动场所及户外健身场地；</w:t>
      </w:r>
    </w:p>
    <w:p>
      <w:pPr>
        <w:spacing w:line="510" w:lineRule="exact"/>
        <w:ind w:firstLine="583"/>
        <w:rPr>
          <w:rFonts w:ascii="汉仪书宋二简"/>
        </w:rPr>
      </w:pPr>
      <w:r>
        <w:rPr>
          <w:rFonts w:hint="eastAsia" w:ascii="汉仪书宋二简"/>
        </w:rPr>
        <w:t>6、6班幼儿园独立占地面积不少于1810平方米，有独立院落和出入口；</w:t>
      </w:r>
    </w:p>
    <w:p>
      <w:pPr>
        <w:spacing w:line="510" w:lineRule="exact"/>
        <w:ind w:firstLine="583"/>
        <w:rPr>
          <w:rFonts w:ascii="汉仪书宋二简"/>
        </w:rPr>
      </w:pPr>
      <w:r>
        <w:rPr>
          <w:rFonts w:hint="eastAsia" w:ascii="汉仪书宋二简"/>
          <w:lang w:val="en-US" w:eastAsia="zh-CN"/>
        </w:rPr>
        <w:t>7</w:t>
      </w:r>
      <w:r>
        <w:rPr>
          <w:rFonts w:hint="eastAsia" w:ascii="汉仪书宋二简"/>
        </w:rPr>
        <w:t>、本项目住宅部分的户型比例按国家及深圳市有关政策执行。本次出让宗地的住宅部分建设普通商品住房</w:t>
      </w:r>
      <w:r>
        <w:rPr>
          <w:rFonts w:hint="eastAsia"/>
        </w:rPr>
        <w:t>+安居型商品房</w:t>
      </w:r>
      <w:r>
        <w:rPr>
          <w:rFonts w:hint="eastAsia" w:ascii="汉仪书宋二简"/>
        </w:rPr>
        <w:t>，竞</w:t>
      </w:r>
      <w:r>
        <w:rPr>
          <w:rFonts w:hint="eastAsia" w:ascii="汉仪书宋二简"/>
          <w:lang w:val="en-US" w:eastAsia="zh-CN"/>
        </w:rPr>
        <w:t>安居型商品房</w:t>
      </w:r>
      <w:r>
        <w:rPr>
          <w:rFonts w:hint="eastAsia" w:ascii="汉仪书宋二简"/>
        </w:rPr>
        <w:t>。</w:t>
      </w:r>
    </w:p>
    <w:p>
      <w:pPr>
        <w:spacing w:line="510" w:lineRule="exact"/>
        <w:ind w:firstLine="583"/>
        <w:rPr>
          <w:rFonts w:ascii="汉仪书宋二简"/>
        </w:rPr>
      </w:pPr>
      <w:r>
        <w:rPr>
          <w:rFonts w:hint="eastAsia" w:ascii="汉仪书宋二简"/>
          <w:lang w:val="en-US" w:eastAsia="zh-CN"/>
        </w:rPr>
        <w:t>8</w:t>
      </w:r>
      <w:r>
        <w:rPr>
          <w:rFonts w:hint="eastAsia" w:ascii="汉仪书宋二简"/>
        </w:rPr>
        <w:t>、乙方需无偿建设A407-1021宗地内的教育设施（18班小学），该教育设施总建筑面积大于等于13676平方米，建筑方案应征求教育主管部门意见，建成后无偿移交政府，产权归政府。教育设施用地范围详见附表四。</w:t>
      </w:r>
    </w:p>
    <w:p>
      <w:pPr>
        <w:spacing w:line="510" w:lineRule="exact"/>
        <w:ind w:firstLine="583"/>
        <w:rPr>
          <w:rFonts w:ascii="汉仪书宋二简"/>
        </w:rPr>
      </w:pPr>
      <w:r>
        <w:rPr>
          <w:rFonts w:hint="eastAsia" w:ascii="汉仪书宋二简"/>
          <w:lang w:val="en-US" w:eastAsia="zh-CN"/>
        </w:rPr>
        <w:t>9</w:t>
      </w:r>
      <w:r>
        <w:rPr>
          <w:rFonts w:hint="eastAsia" w:ascii="汉仪书宋二简"/>
        </w:rPr>
        <w:t>、乙方应保证本项目幼儿园及A407-1021宗地内的教育设施为首期建设内容。</w:t>
      </w:r>
    </w:p>
    <w:p>
      <w:pPr>
        <w:spacing w:line="510" w:lineRule="exact"/>
        <w:ind w:firstLine="583"/>
        <w:rPr>
          <w:rFonts w:ascii="汉仪书宋二简"/>
        </w:rPr>
      </w:pPr>
      <w:r>
        <w:rPr>
          <w:rFonts w:hint="eastAsia" w:ascii="汉仪书宋二简"/>
        </w:rPr>
        <w:t>1</w:t>
      </w:r>
      <w:r>
        <w:rPr>
          <w:rFonts w:hint="eastAsia" w:ascii="汉仪书宋二简"/>
          <w:lang w:val="en-US" w:eastAsia="zh-CN"/>
        </w:rPr>
        <w:t>0</w:t>
      </w:r>
      <w:r>
        <w:rPr>
          <w:rFonts w:hint="eastAsia" w:ascii="汉仪书宋二简"/>
        </w:rPr>
        <w:t>、公共配套设施建筑面积可根据主管部门意见适当增加，增加部分不占用住宅及商业建筑指标，不视为突破法定图则。</w:t>
      </w:r>
    </w:p>
    <w:p>
      <w:pPr>
        <w:spacing w:line="510" w:lineRule="exact"/>
        <w:ind w:firstLine="583"/>
        <w:rPr>
          <w:rFonts w:ascii="汉仪书宋二简"/>
        </w:rPr>
      </w:pPr>
      <w:r>
        <w:rPr>
          <w:rFonts w:hint="eastAsia" w:ascii="汉仪书宋二简"/>
        </w:rPr>
        <w:t>1</w:t>
      </w:r>
      <w:r>
        <w:rPr>
          <w:rFonts w:hint="eastAsia" w:ascii="汉仪书宋二简"/>
          <w:lang w:val="en-US" w:eastAsia="zh-CN"/>
        </w:rPr>
        <w:t>1</w:t>
      </w:r>
      <w:r>
        <w:rPr>
          <w:rFonts w:hint="eastAsia" w:ascii="汉仪书宋二简"/>
        </w:rPr>
        <w:t>、该宗地涉及规划缆线型管廊建设区，乙方应充分考虑落实缆线型管廊相关建设。</w:t>
      </w:r>
    </w:p>
    <w:p>
      <w:pPr>
        <w:spacing w:line="510" w:lineRule="exact"/>
        <w:ind w:firstLine="583"/>
        <w:rPr>
          <w:rFonts w:ascii="汉仪书宋二简"/>
        </w:rPr>
      </w:pPr>
      <w:r>
        <w:rPr>
          <w:rFonts w:hint="eastAsia" w:ascii="汉仪书宋二简"/>
        </w:rPr>
        <w:t>1</w:t>
      </w:r>
      <w:r>
        <w:rPr>
          <w:rFonts w:hint="eastAsia" w:ascii="汉仪书宋二简"/>
          <w:lang w:val="en-US" w:eastAsia="zh-CN"/>
        </w:rPr>
        <w:t>2</w:t>
      </w:r>
      <w:r>
        <w:rPr>
          <w:rFonts w:hint="eastAsia" w:ascii="汉仪书宋二简"/>
        </w:rPr>
        <w:t>、该宗地与深圳市城市轨道交通12号线二期工程——松岗站重叠113.61平方米，乙方需与相关单位做好工程衔接工作。</w:t>
      </w:r>
    </w:p>
    <w:p>
      <w:pPr>
        <w:spacing w:line="510" w:lineRule="exact"/>
        <w:ind w:firstLine="583"/>
        <w:rPr>
          <w:rFonts w:ascii="汉仪书宋二简"/>
        </w:rPr>
      </w:pPr>
      <w:r>
        <w:rPr>
          <w:rFonts w:hint="eastAsia" w:ascii="汉仪书宋二简"/>
        </w:rPr>
        <w:t>1</w:t>
      </w:r>
      <w:r>
        <w:rPr>
          <w:rFonts w:hint="eastAsia" w:ascii="汉仪书宋二简"/>
          <w:lang w:val="en-US" w:eastAsia="zh-CN"/>
        </w:rPr>
        <w:t>3</w:t>
      </w:r>
      <w:r>
        <w:rPr>
          <w:rFonts w:hint="eastAsia" w:ascii="汉仪书宋二简"/>
        </w:rPr>
        <w:t>、经核查《轨道线路控制保护区》，该宗地进入6号线一期轨道安全保护区96.26平方米，用地单位建设方案需事先征得地铁（铁路）建设运营单位书面意见同意后，方可办理该用地的《建设工程规划许可证》；该宗地进入12号线北延线规划控制预警区1984.79平方米，该用地围护结构锚索禁止侵入12号线北延线规划控制区。</w:t>
      </w:r>
    </w:p>
    <w:p>
      <w:pPr>
        <w:spacing w:line="510" w:lineRule="exact"/>
        <w:ind w:firstLine="583"/>
        <w:rPr>
          <w:rFonts w:ascii="汉仪书宋二简"/>
        </w:rPr>
      </w:pPr>
      <w:r>
        <w:rPr>
          <w:rFonts w:hint="eastAsia" w:ascii="汉仪书宋二简"/>
        </w:rPr>
        <w:t>1</w:t>
      </w:r>
      <w:r>
        <w:rPr>
          <w:rFonts w:hint="eastAsia" w:ascii="汉仪书宋二简"/>
          <w:lang w:val="en-US" w:eastAsia="zh-CN"/>
        </w:rPr>
        <w:t>4</w:t>
      </w:r>
      <w:r>
        <w:rPr>
          <w:rFonts w:hint="eastAsia" w:ascii="汉仪书宋二简"/>
        </w:rPr>
        <w:t>、停车位数量按《深圳市城市规划标准与准则》配置，</w:t>
      </w:r>
      <w:r>
        <w:rPr>
          <w:rFonts w:ascii="汉仪书宋二简"/>
        </w:rPr>
        <w:t>须按机动车停车位数量30%以上标准配建充电桩，剩余机动车停车位须预留充电设施建设安装条件。</w:t>
      </w:r>
    </w:p>
    <w:p>
      <w:pPr>
        <w:spacing w:line="510" w:lineRule="exact"/>
        <w:ind w:firstLine="583"/>
        <w:rPr>
          <w:rFonts w:ascii="汉仪书宋二简"/>
        </w:rPr>
      </w:pPr>
      <w:r>
        <w:rPr>
          <w:rFonts w:hint="eastAsia" w:ascii="汉仪书宋二简"/>
        </w:rPr>
        <w:t>1</w:t>
      </w:r>
      <w:r>
        <w:rPr>
          <w:rFonts w:hint="eastAsia" w:ascii="汉仪书宋二简"/>
          <w:lang w:val="en-US" w:eastAsia="zh-CN"/>
        </w:rPr>
        <w:t>5</w:t>
      </w:r>
      <w:r>
        <w:rPr>
          <w:rFonts w:hint="eastAsia" w:ascii="汉仪书宋二简"/>
        </w:rPr>
        <w:t>、本项目总体布局及建筑设计以甲方最终审定为准。</w:t>
      </w:r>
    </w:p>
    <w:p>
      <w:pPr>
        <w:spacing w:line="510" w:lineRule="exact"/>
        <w:ind w:firstLine="583"/>
        <w:rPr>
          <w:rFonts w:ascii="汉仪书宋二简"/>
        </w:rPr>
      </w:pPr>
      <w:r>
        <w:rPr>
          <w:rFonts w:hint="eastAsia" w:ascii="汉仪书宋二简"/>
        </w:rPr>
        <w:t>1</w:t>
      </w:r>
      <w:r>
        <w:rPr>
          <w:rFonts w:hint="eastAsia" w:ascii="汉仪书宋二简"/>
          <w:lang w:val="en-US" w:eastAsia="zh-CN"/>
        </w:rPr>
        <w:t>6</w:t>
      </w:r>
      <w:r>
        <w:rPr>
          <w:rFonts w:hint="eastAsia" w:ascii="汉仪书宋二简"/>
        </w:rPr>
        <w:t>、</w:t>
      </w:r>
      <w:r>
        <w:rPr>
          <w:rFonts w:ascii="汉仪书宋二简"/>
        </w:rPr>
        <w:t>本项目</w:t>
      </w:r>
      <w:r>
        <w:rPr>
          <w:rFonts w:hint="eastAsia" w:ascii="汉仪书宋二简"/>
        </w:rPr>
        <w:t>建筑方案应落实</w:t>
      </w:r>
      <w:r>
        <w:rPr>
          <w:rFonts w:ascii="汉仪书宋二简"/>
        </w:rPr>
        <w:t>《深圳市绿色建筑促进办法》的相关要求。</w:t>
      </w:r>
    </w:p>
    <w:p>
      <w:pPr>
        <w:spacing w:line="510" w:lineRule="exact"/>
        <w:ind w:firstLine="583"/>
        <w:rPr>
          <w:rFonts w:ascii="汉仪书宋二简"/>
        </w:rPr>
      </w:pPr>
      <w:r>
        <w:rPr>
          <w:rFonts w:hint="eastAsia" w:ascii="汉仪书宋二简"/>
        </w:rPr>
        <w:t>1</w:t>
      </w:r>
      <w:r>
        <w:rPr>
          <w:rFonts w:hint="eastAsia" w:ascii="汉仪书宋二简"/>
          <w:lang w:val="en-US" w:eastAsia="zh-CN"/>
        </w:rPr>
        <w:t>7</w:t>
      </w:r>
      <w:r>
        <w:rPr>
          <w:rFonts w:hint="eastAsia" w:ascii="汉仪书宋二简"/>
        </w:rPr>
        <w:t>、</w:t>
      </w:r>
      <w:r>
        <w:rPr>
          <w:rFonts w:ascii="汉仪书宋二简"/>
        </w:rPr>
        <w:t>项目应当按照《深圳市装配式建筑发展专项规划（2018-2020）》的要求实施装配式建筑，满足《深圳市装配式建筑评分规则》。</w:t>
      </w:r>
    </w:p>
    <w:p>
      <w:pPr>
        <w:spacing w:line="510" w:lineRule="exact"/>
        <w:ind w:firstLine="583"/>
        <w:rPr>
          <w:rFonts w:ascii="汉仪书宋二简"/>
        </w:rPr>
      </w:pPr>
      <w:r>
        <w:rPr>
          <w:rFonts w:hint="eastAsia" w:ascii="汉仪书宋二简"/>
        </w:rPr>
        <w:t>1</w:t>
      </w:r>
      <w:r>
        <w:rPr>
          <w:rFonts w:hint="eastAsia" w:ascii="汉仪书宋二简"/>
          <w:lang w:val="en-US" w:eastAsia="zh-CN"/>
        </w:rPr>
        <w:t>8</w:t>
      </w:r>
      <w:r>
        <w:rPr>
          <w:rFonts w:hint="eastAsia" w:ascii="汉仪书宋二简"/>
        </w:rPr>
        <w:t>、根据深圳市海绵城市规划相关要求，本项目雨水年径流总量控制率不应低于64%。</w:t>
      </w:r>
    </w:p>
    <w:p>
      <w:pPr>
        <w:spacing w:line="510" w:lineRule="exact"/>
        <w:ind w:firstLine="583"/>
        <w:rPr>
          <w:rFonts w:ascii="汉仪书宋二简"/>
        </w:rPr>
      </w:pPr>
      <w:r>
        <w:rPr>
          <w:rFonts w:hint="eastAsia" w:ascii="汉仪书宋二简"/>
          <w:lang w:val="en-US" w:eastAsia="zh-CN"/>
        </w:rPr>
        <w:t>19</w:t>
      </w:r>
      <w:r>
        <w:rPr>
          <w:rFonts w:hint="eastAsia" w:ascii="汉仪书宋二简"/>
        </w:rPr>
        <w:t>、用地单位须落实海绵城市建设、绿色建筑、装配式建筑、建筑信息模型（BIM）技术应用的相关规定。</w:t>
      </w:r>
    </w:p>
    <w:p>
      <w:pPr>
        <w:spacing w:line="510" w:lineRule="exact"/>
        <w:ind w:firstLine="583"/>
        <w:rPr>
          <w:rFonts w:ascii="汉仪书宋二简"/>
        </w:rPr>
      </w:pPr>
      <w:r>
        <w:rPr>
          <w:rFonts w:hint="eastAsia" w:ascii="汉仪书宋二简"/>
        </w:rPr>
        <w:t>2</w:t>
      </w:r>
      <w:r>
        <w:rPr>
          <w:rFonts w:hint="eastAsia" w:ascii="汉仪书宋二简"/>
          <w:lang w:val="en-US" w:eastAsia="zh-CN"/>
        </w:rPr>
        <w:t>0</w:t>
      </w:r>
      <w:r>
        <w:rPr>
          <w:rFonts w:hint="eastAsia" w:ascii="汉仪书宋二简"/>
        </w:rPr>
        <w:t>、其他未列明事项应符合《深圳市城市规划标准与准则》的相关技术规范。</w:t>
      </w:r>
    </w:p>
    <w:p>
      <w:pPr>
        <w:spacing w:line="510" w:lineRule="exact"/>
        <w:ind w:firstLine="583"/>
        <w:rPr>
          <w:rFonts w:ascii="汉仪书宋二简" w:hAnsi="汉仪书宋二简"/>
          <w:kern w:val="0"/>
        </w:rPr>
      </w:pPr>
      <w:r>
        <w:rPr>
          <w:rFonts w:hint="eastAsia" w:ascii="汉仪书宋二简" w:hAnsi="汉仪书宋二简"/>
          <w:kern w:val="0"/>
        </w:rPr>
        <w:t>（八）其他要求</w:t>
      </w:r>
      <w:bookmarkStart w:id="0" w:name="_GoBack"/>
      <w:bookmarkEnd w:id="0"/>
    </w:p>
    <w:p>
      <w:pPr>
        <w:spacing w:line="510" w:lineRule="exact"/>
        <w:ind w:firstLine="583"/>
        <w:rPr>
          <w:rFonts w:ascii="汉仪书宋二简" w:hAnsi="汉仪书宋二简"/>
          <w:kern w:val="0"/>
        </w:rPr>
      </w:pPr>
      <w:r>
        <w:rPr>
          <w:rFonts w:hint="eastAsia" w:ascii="汉仪书宋二简" w:hAnsi="汉仪书宋二简"/>
          <w:kern w:val="0"/>
          <w:lang w:val="en-US" w:eastAsia="zh-CN"/>
        </w:rPr>
        <w:t>1</w:t>
      </w:r>
      <w:r>
        <w:rPr>
          <w:rFonts w:hint="eastAsia" w:ascii="汉仪书宋二简" w:hAnsi="汉仪书宋二简"/>
          <w:kern w:val="0"/>
        </w:rPr>
        <w:t>、乙方在竞得土地后须与深圳市住房保障署签订《安居型商品房建设和管理任务书》，并按照上述任务书的相关要求执行。</w:t>
      </w:r>
    </w:p>
    <w:p>
      <w:pPr>
        <w:spacing w:line="560" w:lineRule="exact"/>
        <w:ind w:firstLine="583"/>
        <w:rPr>
          <w:rFonts w:ascii="汉仪书宋二简" w:hAnsi="汉仪书宋二简"/>
          <w:kern w:val="0"/>
        </w:rPr>
      </w:pPr>
      <w:r>
        <w:rPr>
          <w:rFonts w:hint="eastAsia" w:ascii="汉仪书宋二简" w:hAnsi="汉仪书宋二简"/>
          <w:kern w:val="0"/>
          <w:lang w:val="en-US" w:eastAsia="zh-CN"/>
        </w:rPr>
        <w:t>2</w:t>
      </w:r>
      <w:r>
        <w:rPr>
          <w:rFonts w:hint="eastAsia" w:ascii="汉仪书宋二简" w:hAnsi="汉仪书宋二简"/>
          <w:kern w:val="0"/>
        </w:rPr>
        <w:t>、本宗地项目建成后：</w:t>
      </w:r>
    </w:p>
    <w:p>
      <w:pPr>
        <w:spacing w:line="510" w:lineRule="exact"/>
        <w:ind w:firstLine="583"/>
        <w:rPr>
          <w:rFonts w:ascii="汉仪书宋二简"/>
        </w:rPr>
      </w:pPr>
      <w:r>
        <w:rPr>
          <w:rFonts w:hint="eastAsia" w:ascii="汉仪书宋二简"/>
        </w:rPr>
        <w:t>（1）本次出让宗地中出售型安居型商品房建成后由深圳市住房保障署负责配售和管理。</w:t>
      </w:r>
    </w:p>
    <w:p>
      <w:pPr>
        <w:spacing w:line="510" w:lineRule="exact"/>
        <w:ind w:firstLine="583"/>
        <w:rPr>
          <w:rFonts w:ascii="汉仪书宋二简"/>
        </w:rPr>
      </w:pPr>
      <w:r>
        <w:rPr>
          <w:rFonts w:hint="eastAsia" w:ascii="汉仪书宋二简"/>
        </w:rPr>
        <w:t>（</w:t>
      </w:r>
      <w:r>
        <w:rPr>
          <w:rFonts w:ascii="汉仪书宋二简"/>
        </w:rPr>
        <w:t>2</w:t>
      </w:r>
      <w:r>
        <w:rPr>
          <w:rFonts w:hint="eastAsia" w:ascii="汉仪书宋二简"/>
        </w:rPr>
        <w:t>）普通商品住房销售均价不得高于</w:t>
      </w:r>
      <w:r>
        <w:rPr>
          <w:rFonts w:ascii="汉仪书宋二简"/>
          <w:u w:val="single"/>
        </w:rPr>
        <w:t xml:space="preserve">   </w:t>
      </w:r>
      <w:r>
        <w:rPr>
          <w:rFonts w:hint="eastAsia" w:ascii="汉仪书宋二简"/>
        </w:rPr>
        <w:t>元</w:t>
      </w:r>
      <w:r>
        <w:rPr>
          <w:rFonts w:ascii="汉仪书宋二简"/>
        </w:rPr>
        <w:t>/</w:t>
      </w:r>
      <w:r>
        <w:rPr>
          <w:rFonts w:hint="eastAsia" w:ascii="汉仪书宋二简"/>
        </w:rPr>
        <w:t>平方米；安居型商品房销售均价不得高于</w:t>
      </w:r>
      <w:r>
        <w:rPr>
          <w:rFonts w:ascii="汉仪书宋二简"/>
          <w:u w:val="single"/>
        </w:rPr>
        <w:t xml:space="preserve">   </w:t>
      </w:r>
      <w:r>
        <w:rPr>
          <w:rFonts w:hint="eastAsia" w:ascii="汉仪书宋二简"/>
        </w:rPr>
        <w:t>元</w:t>
      </w:r>
      <w:r>
        <w:rPr>
          <w:rFonts w:ascii="汉仪书宋二简"/>
        </w:rPr>
        <w:t>/</w:t>
      </w:r>
      <w:r>
        <w:rPr>
          <w:rFonts w:hint="eastAsia" w:ascii="汉仪书宋二简"/>
        </w:rPr>
        <w:t>平方米，最高售价不得高于</w:t>
      </w:r>
      <w:r>
        <w:rPr>
          <w:rFonts w:ascii="汉仪书宋二简"/>
          <w:u w:val="single"/>
        </w:rPr>
        <w:t xml:space="preserve">   </w:t>
      </w:r>
      <w:r>
        <w:rPr>
          <w:rFonts w:hint="eastAsia" w:ascii="汉仪书宋二简"/>
        </w:rPr>
        <w:t>元</w:t>
      </w:r>
      <w:r>
        <w:rPr>
          <w:rFonts w:ascii="汉仪书宋二简"/>
        </w:rPr>
        <w:t>/</w:t>
      </w:r>
      <w:r>
        <w:rPr>
          <w:rFonts w:hint="eastAsia" w:ascii="汉仪书宋二简"/>
        </w:rPr>
        <w:t>平方米。上述价格均不含室内装修。</w:t>
      </w:r>
    </w:p>
    <w:p>
      <w:pPr>
        <w:spacing w:line="510" w:lineRule="exact"/>
        <w:ind w:firstLine="583"/>
        <w:rPr>
          <w:rFonts w:ascii="汉仪书宋二简"/>
        </w:rPr>
      </w:pPr>
      <w:r>
        <w:rPr>
          <w:rFonts w:hint="eastAsia" w:ascii="汉仪书宋二简" w:hAnsi="汉仪书宋二简"/>
          <w:kern w:val="0"/>
        </w:rPr>
        <w:t>（</w:t>
      </w:r>
      <w:r>
        <w:rPr>
          <w:rFonts w:ascii="汉仪书宋二简" w:hAnsi="汉仪书宋二简"/>
          <w:kern w:val="0"/>
        </w:rPr>
        <w:t>3</w:t>
      </w:r>
      <w:r>
        <w:rPr>
          <w:rFonts w:hint="eastAsia" w:ascii="汉仪书宋二简" w:hAnsi="汉仪书宋二简"/>
          <w:kern w:val="0"/>
        </w:rPr>
        <w:t>）公共配套设施产权按相关规定和约定移交</w:t>
      </w:r>
      <w:r>
        <w:rPr>
          <w:rFonts w:hint="eastAsia" w:ascii="汉仪书宋二简"/>
        </w:rPr>
        <w:t>；</w:t>
      </w:r>
    </w:p>
    <w:p>
      <w:pPr>
        <w:spacing w:line="510" w:lineRule="exact"/>
        <w:ind w:firstLine="583"/>
        <w:rPr>
          <w:rFonts w:ascii="汉仪书宋二简"/>
        </w:rPr>
      </w:pPr>
      <w:r>
        <w:rPr>
          <w:rFonts w:hint="eastAsia" w:ascii="汉仪书宋二简"/>
        </w:rPr>
        <w:t>（4）项目用地内可销售的住宅套内建筑面积在90平方米以下的普通住房的建筑面积和套数占比不低于可销售商品住房总建筑面积和总套数的70%。</w:t>
      </w:r>
    </w:p>
    <w:p>
      <w:pPr>
        <w:spacing w:line="510" w:lineRule="exact"/>
        <w:ind w:firstLine="583"/>
        <w:rPr>
          <w:rFonts w:ascii="宋体" w:hAnsi="宋体" w:eastAsia="宋体"/>
        </w:rPr>
      </w:pPr>
      <w:r>
        <w:rPr>
          <w:rFonts w:hint="eastAsia" w:ascii="汉仪书宋二简"/>
        </w:rPr>
        <w:t>十、乙方可以在深圳市依法注册设立全资子公司，并通过签订土地使用权出让合同补充协议，办理土地使用权变更至全资子公司的手续；属联合竞买的，可以并仅限联合竞买各方联合在深圳市依法注册设立一家项目公司，并通过签订土地使用权出让合同补充协议，将土地使用权变更至全资子公司或项目公司名下。</w:t>
      </w:r>
    </w:p>
    <w:p>
      <w:pPr>
        <w:spacing w:line="510" w:lineRule="exact"/>
        <w:ind w:firstLine="583"/>
        <w:rPr>
          <w:rFonts w:ascii="汉仪书宋二简" w:hAnsi="宋体"/>
          <w:kern w:val="10"/>
          <w:szCs w:val="23"/>
        </w:rPr>
      </w:pPr>
      <w:r>
        <w:rPr>
          <w:rFonts w:hint="eastAsia" w:ascii="宋体" w:hAnsi="宋体" w:eastAsia="宋体"/>
        </w:rPr>
        <w:t>十一、</w:t>
      </w:r>
      <w:r>
        <w:rPr>
          <w:rFonts w:hint="eastAsia" w:ascii="汉仪书宋二简" w:hAnsi="宋体"/>
          <w:kern w:val="10"/>
          <w:szCs w:val="23"/>
        </w:rPr>
        <w:t>项目主体工程及附属工程自本合同签订之日起一年内开工建设，四年内竣工。</w:t>
      </w:r>
    </w:p>
    <w:p>
      <w:pPr>
        <w:ind w:firstLine="583"/>
        <w:rPr>
          <w:rFonts w:ascii="汉仪书宋二简"/>
        </w:rPr>
      </w:pPr>
      <w:r>
        <w:rPr>
          <w:rFonts w:hint="eastAsia" w:ascii="汉仪书宋二简" w:hAnsi="宋体"/>
          <w:kern w:val="10"/>
          <w:szCs w:val="23"/>
        </w:rPr>
        <w:t>十二、</w:t>
      </w:r>
      <w:r>
        <w:rPr>
          <w:rFonts w:hint="eastAsia" w:ascii="汉仪书宋二简"/>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ind w:firstLine="583"/>
        <w:rPr>
          <w:rFonts w:ascii="汉仪书宋二简"/>
        </w:rPr>
      </w:pPr>
      <w:r>
        <w:rPr>
          <w:rFonts w:hint="eastAsia" w:ascii="汉仪书宋二简"/>
        </w:rPr>
        <w:t>因甲方的过错致使乙方延迟使用土地的，甲方承担由此而造成乙方的经济损失。</w:t>
      </w:r>
    </w:p>
    <w:p>
      <w:pPr>
        <w:ind w:firstLine="583"/>
        <w:rPr>
          <w:rFonts w:ascii="汉仪书宋二简"/>
        </w:rPr>
      </w:pPr>
      <w:r>
        <w:rPr>
          <w:rFonts w:hint="eastAsia" w:ascii="汉仪书宋二简"/>
        </w:rPr>
        <w:t>乙方在未交清上述地块的成交价款并取得《不动产权证书》前，不得转让、抵押或以其他任何形式处分本地块。</w:t>
      </w:r>
    </w:p>
    <w:p>
      <w:pPr>
        <w:tabs>
          <w:tab w:val="left" w:pos="720"/>
        </w:tabs>
        <w:ind w:firstLine="583"/>
        <w:rPr>
          <w:rFonts w:ascii="汉仪书宋二简"/>
        </w:rPr>
      </w:pPr>
      <w:r>
        <w:rPr>
          <w:rFonts w:hint="eastAsia" w:ascii="汉仪书宋二简"/>
        </w:rPr>
        <w:t>十三、乙方除向甲方给付本地块的成交价款外，每年还必须按规定缴付土地使用税。</w:t>
      </w:r>
    </w:p>
    <w:p>
      <w:pPr>
        <w:tabs>
          <w:tab w:val="left" w:pos="720"/>
        </w:tabs>
        <w:ind w:firstLine="583"/>
        <w:rPr>
          <w:rFonts w:ascii="汉仪书宋二简"/>
        </w:rPr>
      </w:pPr>
      <w:r>
        <w:rPr>
          <w:rFonts w:hint="eastAsia" w:ascii="汉仪书宋二简"/>
        </w:rPr>
        <w:t>十四、乙方在使用土地期间，未按本合同书规定支付本地块的成交价款，并未按规定缴纳土地使用税的，甲方可不予办理与本地块有关的房地产权登记、销售许可及其他相关手续或采取其他限制性措施。</w:t>
      </w:r>
    </w:p>
    <w:p>
      <w:pPr>
        <w:ind w:firstLine="583"/>
        <w:rPr>
          <w:rFonts w:ascii="汉仪书宋二简"/>
        </w:rPr>
      </w:pPr>
      <w:r>
        <w:rPr>
          <w:rFonts w:hint="eastAsia" w:ascii="汉仪书宋二简"/>
        </w:rPr>
        <w:t>十五、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s>
        <w:ind w:firstLine="539" w:firstLineChars="184"/>
        <w:rPr>
          <w:rFonts w:ascii="汉仪书宋二简"/>
        </w:rPr>
      </w:pPr>
      <w:r>
        <w:rPr>
          <w:rFonts w:hint="eastAsia" w:ascii="汉仪书宋二简"/>
        </w:rPr>
        <w:t>十六、除法律法规另有规定外，本合同书规定的土地出让年限届满，甲方无偿收回出让地块的土地使用权，本地块上的建筑物及其他附着物也由甲方无偿取得。乙方承诺于</w:t>
      </w:r>
      <w:r>
        <w:rPr>
          <w:rFonts w:ascii="汉仪书宋二简"/>
          <w:u w:val="single"/>
        </w:rPr>
        <w:t>20</w:t>
      </w:r>
      <w:r>
        <w:rPr>
          <w:rFonts w:hint="eastAsia" w:ascii="汉仪书宋二简"/>
          <w:u w:val="single"/>
        </w:rPr>
        <w:t>91</w:t>
      </w:r>
      <w:r>
        <w:rPr>
          <w:rFonts w:hint="eastAsia" w:ascii="汉仪书宋二简" w:hAnsi="宋体"/>
          <w:kern w:val="10"/>
          <w:szCs w:val="23"/>
        </w:rPr>
        <w:t>年</w:t>
      </w:r>
      <w:r>
        <w:rPr>
          <w:rFonts w:hint="eastAsia" w:ascii="汉仪书宋二简" w:hAnsi="宋体"/>
          <w:kern w:val="10"/>
          <w:szCs w:val="23"/>
          <w:u w:val="single"/>
        </w:rPr>
        <w:t xml:space="preserve"> </w:t>
      </w:r>
      <w:r>
        <w:rPr>
          <w:rFonts w:hint="eastAsia" w:ascii="汉仪书宋二简" w:hAnsi="宋体"/>
          <w:kern w:val="10"/>
          <w:szCs w:val="23"/>
        </w:rPr>
        <w:t>月</w:t>
      </w:r>
      <w:r>
        <w:rPr>
          <w:rFonts w:hint="eastAsia" w:ascii="汉仪书宋二简" w:hAnsi="宋体"/>
          <w:kern w:val="10"/>
          <w:szCs w:val="23"/>
          <w:u w:val="single"/>
        </w:rPr>
        <w:t xml:space="preserve"> </w:t>
      </w:r>
      <w:r>
        <w:rPr>
          <w:rFonts w:hint="eastAsia" w:ascii="汉仪书宋二简" w:hAnsi="宋体"/>
          <w:kern w:val="10"/>
          <w:szCs w:val="23"/>
        </w:rPr>
        <w:t>日</w:t>
      </w:r>
      <w:r>
        <w:rPr>
          <w:rFonts w:hint="eastAsia" w:ascii="汉仪书宋二简"/>
        </w:rPr>
        <w:t>前将土地及土地上建筑物、附着物无偿交给甲方，并在年期届满之日起十日内办理房地产权注销登记手续，否则由甲方移交房地产权登记部门迳行注销。</w:t>
      </w:r>
    </w:p>
    <w:p>
      <w:pPr>
        <w:ind w:firstLine="583"/>
        <w:rPr>
          <w:rFonts w:ascii="汉仪书宋二简"/>
        </w:rPr>
      </w:pPr>
      <w:r>
        <w:rPr>
          <w:rFonts w:hint="eastAsia" w:ascii="汉仪书宋二简"/>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firstLine="583"/>
        <w:rPr>
          <w:rFonts w:ascii="汉仪书宋二简"/>
        </w:rPr>
      </w:pPr>
      <w:r>
        <w:rPr>
          <w:rFonts w:hint="eastAsia" w:ascii="汉仪书宋二简"/>
        </w:rPr>
        <w:t>十七、在履行本合同过程中甲方需向乙方告知有关事宜的，乙方同意甲方通过挂号信函或媒体公告的形式送达至本合同所规定的乙方地址。</w:t>
      </w:r>
    </w:p>
    <w:p>
      <w:pPr>
        <w:ind w:firstLine="539" w:firstLineChars="184"/>
        <w:rPr>
          <w:rFonts w:ascii="汉仪书宋二简"/>
        </w:rPr>
      </w:pPr>
      <w:r>
        <w:rPr>
          <w:rFonts w:hint="eastAsia" w:ascii="汉仪书宋二简"/>
        </w:rPr>
        <w:t>十八、《土地使用规则》及本合同书所有附件、附表是本合同的组成部分，与本合同书具有同等法律效力。甲、乙方须遵守《土地使用规则》及本合同书所有附件、附表。</w:t>
      </w:r>
    </w:p>
    <w:p>
      <w:pPr>
        <w:tabs>
          <w:tab w:val="left" w:pos="720"/>
        </w:tabs>
        <w:ind w:firstLine="539" w:firstLineChars="184"/>
        <w:rPr>
          <w:rFonts w:ascii="汉仪书宋二简"/>
        </w:rPr>
      </w:pPr>
      <w:r>
        <w:rPr>
          <w:rFonts w:hint="eastAsia" w:ascii="汉仪书宋二简"/>
        </w:rPr>
        <w:t>十九、本合同订立、效力、解释、履行及争议的解决均受中华人民共和国法律的管辖。</w:t>
      </w:r>
    </w:p>
    <w:p>
      <w:pPr>
        <w:ind w:firstLine="583"/>
        <w:rPr>
          <w:rFonts w:ascii="汉仪书宋二简"/>
        </w:rPr>
      </w:pPr>
      <w:r>
        <w:rPr>
          <w:rFonts w:hint="eastAsia" w:ascii="汉仪书宋二简"/>
        </w:rPr>
        <w:t>二十、因执行本合同发生争议，由争议双方协商解决，协商不成的，可依法向人民法院起诉。</w:t>
      </w:r>
    </w:p>
    <w:p>
      <w:pPr>
        <w:ind w:firstLine="539" w:firstLineChars="184"/>
        <w:rPr>
          <w:rFonts w:ascii="汉仪书宋二简"/>
        </w:rPr>
      </w:pPr>
      <w:r>
        <w:rPr>
          <w:rFonts w:hint="eastAsia" w:ascii="汉仪书宋二简"/>
        </w:rPr>
        <w:t>二十一、本合同从签订之日起生效。</w:t>
      </w:r>
    </w:p>
    <w:p>
      <w:pPr>
        <w:ind w:firstLine="539" w:firstLineChars="184"/>
        <w:rPr>
          <w:rFonts w:ascii="汉仪书宋二简"/>
        </w:rPr>
      </w:pPr>
      <w:r>
        <w:rPr>
          <w:rFonts w:hint="eastAsia" w:ascii="汉仪书宋二简"/>
        </w:rPr>
        <w:t>二十二、本合同一式六份，乙方三份，其余由甲方持有及分送有关单位。</w:t>
      </w:r>
    </w:p>
    <w:p>
      <w:pPr>
        <w:ind w:firstLine="539" w:firstLineChars="184"/>
        <w:rPr>
          <w:rFonts w:ascii="汉仪书宋二简"/>
        </w:rPr>
      </w:pPr>
      <w:r>
        <w:rPr>
          <w:rFonts w:hint="eastAsia" w:ascii="汉仪书宋二简"/>
        </w:rPr>
        <w:t>二十三、本合同未尽事宜，可由双方协商签订协议书明确。</w:t>
      </w:r>
    </w:p>
    <w:p>
      <w:pPr>
        <w:tabs>
          <w:tab w:val="right" w:pos="4140"/>
          <w:tab w:val="left" w:pos="4500"/>
          <w:tab w:val="left" w:pos="4680"/>
          <w:tab w:val="clear" w:pos="4820"/>
          <w:tab w:val="clear" w:pos="5103"/>
        </w:tabs>
        <w:spacing w:beforeLines="100"/>
        <w:ind w:firstLine="0" w:firstLineChars="0"/>
        <w:rPr>
          <w:rFonts w:ascii="汉仪书宋二简"/>
          <w:spacing w:val="16"/>
          <w:w w:val="105"/>
          <w:szCs w:val="23"/>
        </w:rPr>
      </w:pPr>
    </w:p>
    <w:p>
      <w:pPr>
        <w:tabs>
          <w:tab w:val="right" w:pos="4140"/>
          <w:tab w:val="left" w:pos="4500"/>
          <w:tab w:val="left" w:pos="4680"/>
          <w:tab w:val="clear" w:pos="4820"/>
          <w:tab w:val="clear" w:pos="5103"/>
        </w:tabs>
        <w:spacing w:beforeLines="100"/>
        <w:ind w:firstLine="0" w:firstLineChars="0"/>
        <w:rPr>
          <w:rFonts w:ascii="汉仪书宋二简"/>
          <w:spacing w:val="16"/>
          <w:w w:val="105"/>
          <w:szCs w:val="23"/>
        </w:rPr>
      </w:pPr>
    </w:p>
    <w:p>
      <w:pPr>
        <w:tabs>
          <w:tab w:val="right" w:pos="4140"/>
          <w:tab w:val="left" w:pos="4500"/>
          <w:tab w:val="left" w:pos="4680"/>
          <w:tab w:val="clear" w:pos="4820"/>
          <w:tab w:val="clear" w:pos="5103"/>
        </w:tabs>
        <w:spacing w:beforeLines="100"/>
        <w:ind w:firstLine="595" w:firstLineChars="218"/>
        <w:rPr>
          <w:rFonts w:ascii="汉仪书宋二简" w:eastAsia="宋体"/>
          <w:spacing w:val="16"/>
          <w:w w:val="105"/>
          <w:szCs w:val="23"/>
        </w:rPr>
      </w:pPr>
      <w:r>
        <w:rPr>
          <w:rFonts w:hint="eastAsia" w:ascii="汉仪书宋二简"/>
          <w:spacing w:val="16"/>
          <w:w w:val="105"/>
          <w:szCs w:val="23"/>
        </w:rPr>
        <w:t>甲方：</w:t>
      </w:r>
      <w:r>
        <w:rPr>
          <w:rFonts w:hint="eastAsia" w:ascii="汉仪书宋二简"/>
          <w:spacing w:val="2"/>
          <w:szCs w:val="23"/>
          <w:u w:val="single"/>
        </w:rPr>
        <w:t>深圳市规划和自然资源局宝安管理局</w:t>
      </w:r>
      <w:r>
        <w:rPr>
          <w:rFonts w:hint="eastAsia" w:ascii="汉仪书宋二简"/>
          <w:spacing w:val="16"/>
          <w:w w:val="105"/>
          <w:szCs w:val="23"/>
          <w:u w:val="single"/>
        </w:rPr>
        <w:t xml:space="preserve"> </w:t>
      </w:r>
      <w:r>
        <w:rPr>
          <w:rFonts w:hint="eastAsia" w:ascii="汉仪书宋二简" w:eastAsia="宋体"/>
          <w:spacing w:val="16"/>
          <w:w w:val="105"/>
          <w:szCs w:val="23"/>
        </w:rPr>
        <w:t xml:space="preserve">          </w:t>
      </w:r>
    </w:p>
    <w:p>
      <w:pPr>
        <w:tabs>
          <w:tab w:val="left" w:pos="4140"/>
        </w:tabs>
        <w:spacing w:before="200" w:line="340" w:lineRule="exact"/>
        <w:ind w:firstLine="583"/>
        <w:rPr>
          <w:rFonts w:ascii="汉仪书宋二简"/>
        </w:rPr>
      </w:pPr>
      <w:r>
        <w:rPr>
          <w:rFonts w:hint="eastAsia" w:ascii="汉仪书宋二简"/>
        </w:rPr>
        <w:t xml:space="preserve">         （盖章）    </w:t>
      </w:r>
    </w:p>
    <w:p>
      <w:pPr>
        <w:spacing w:line="480" w:lineRule="exact"/>
        <w:ind w:firstLine="583"/>
        <w:rPr>
          <w:rFonts w:ascii="汉仪书宋二简"/>
        </w:rPr>
      </w:pPr>
      <w:r>
        <w:rPr>
          <w:rFonts w:hint="eastAsia" w:ascii="汉仪书宋二简"/>
        </w:rPr>
        <w:t>法定代表人：</w:t>
      </w:r>
      <w:r>
        <w:rPr>
          <w:rFonts w:hint="eastAsia" w:ascii="汉仪书宋二简" w:eastAsia="宋体"/>
          <w:u w:val="single"/>
        </w:rPr>
        <w:t xml:space="preserve">                 </w:t>
      </w:r>
    </w:p>
    <w:p>
      <w:pPr>
        <w:tabs>
          <w:tab w:val="clear" w:pos="5103"/>
        </w:tabs>
        <w:spacing w:line="480" w:lineRule="exact"/>
        <w:ind w:firstLine="583"/>
        <w:rPr>
          <w:rFonts w:ascii="汉仪书宋二简"/>
        </w:rPr>
      </w:pPr>
      <w:r>
        <w:rPr>
          <w:rFonts w:hint="eastAsia" w:ascii="汉仪书宋二简"/>
        </w:rPr>
        <w:t>委托代理人：</w:t>
      </w:r>
      <w:r>
        <w:rPr>
          <w:rFonts w:hint="eastAsia" w:ascii="汉仪书宋二简"/>
          <w:u w:val="single"/>
        </w:rPr>
        <w:t xml:space="preserve">                 </w:t>
      </w:r>
      <w:r>
        <w:rPr>
          <w:rFonts w:hint="eastAsia" w:ascii="汉仪书宋二简" w:eastAsia="宋体"/>
        </w:rPr>
        <w:t xml:space="preserve">  </w:t>
      </w:r>
    </w:p>
    <w:p>
      <w:pPr>
        <w:spacing w:beforeLines="200" w:line="480" w:lineRule="exact"/>
        <w:ind w:firstLine="583"/>
        <w:rPr>
          <w:rFonts w:ascii="汉仪书宋二简"/>
        </w:rPr>
      </w:pPr>
    </w:p>
    <w:p>
      <w:pPr>
        <w:spacing w:beforeLines="200" w:line="480" w:lineRule="exact"/>
        <w:ind w:firstLine="583"/>
        <w:rPr>
          <w:rFonts w:ascii="汉仪书宋二简"/>
          <w:u w:val="single"/>
        </w:rPr>
      </w:pPr>
      <w:r>
        <w:rPr>
          <w:rFonts w:hint="eastAsia" w:ascii="汉仪书宋二简"/>
        </w:rPr>
        <w:t>乙方：</w:t>
      </w:r>
      <w:r>
        <w:rPr>
          <w:rFonts w:hint="eastAsia" w:ascii="汉仪书宋二简" w:eastAsia="宋体"/>
          <w:u w:val="single"/>
        </w:rPr>
        <w:t xml:space="preserve">                      </w:t>
      </w:r>
      <w:r>
        <w:rPr>
          <w:rFonts w:hint="eastAsia" w:ascii="汉仪书宋二简" w:eastAsia="宋体"/>
        </w:rPr>
        <w:t xml:space="preserve">  </w:t>
      </w:r>
      <w:r>
        <w:rPr>
          <w:rFonts w:hint="eastAsia" w:ascii="汉仪书宋二简"/>
        </w:rPr>
        <w:tab/>
      </w:r>
    </w:p>
    <w:p>
      <w:pPr>
        <w:spacing w:before="200" w:line="340" w:lineRule="exact"/>
        <w:ind w:firstLine="583"/>
        <w:rPr>
          <w:rFonts w:ascii="汉仪书宋二简"/>
        </w:rPr>
      </w:pPr>
      <w:r>
        <w:rPr>
          <w:rFonts w:hint="eastAsia" w:ascii="汉仪书宋二简"/>
        </w:rPr>
        <w:t xml:space="preserve">         （盖章）    </w:t>
      </w:r>
    </w:p>
    <w:p>
      <w:pPr>
        <w:tabs>
          <w:tab w:val="left" w:pos="4140"/>
        </w:tabs>
        <w:spacing w:before="200" w:line="340" w:lineRule="exact"/>
        <w:ind w:firstLine="583"/>
        <w:rPr>
          <w:rFonts w:ascii="汉仪书宋二简"/>
        </w:rPr>
      </w:pPr>
      <w:r>
        <w:rPr>
          <w:rFonts w:hint="eastAsia" w:ascii="汉仪书宋二简"/>
        </w:rPr>
        <w:t>法定代表人：</w:t>
      </w:r>
      <w:r>
        <w:rPr>
          <w:rFonts w:hint="eastAsia" w:ascii="汉仪书宋二简" w:eastAsia="宋体"/>
          <w:u w:val="single"/>
        </w:rPr>
        <w:t xml:space="preserve">                 </w:t>
      </w:r>
      <w:r>
        <w:rPr>
          <w:rFonts w:hint="eastAsia" w:ascii="汉仪书宋二简" w:eastAsia="宋体"/>
        </w:rPr>
        <w:t xml:space="preserve"> </w:t>
      </w:r>
    </w:p>
    <w:p>
      <w:pPr>
        <w:tabs>
          <w:tab w:val="clear" w:pos="5103"/>
        </w:tabs>
        <w:spacing w:before="200" w:line="340" w:lineRule="exact"/>
        <w:ind w:firstLine="583"/>
        <w:rPr>
          <w:rFonts w:ascii="汉仪书宋二简" w:eastAsia="宋体"/>
        </w:rPr>
      </w:pPr>
      <w:r>
        <w:rPr>
          <w:rFonts w:hint="eastAsia" w:ascii="汉仪书宋二简"/>
        </w:rPr>
        <w:t>委托代理人：</w:t>
      </w:r>
      <w:r>
        <w:rPr>
          <w:rFonts w:hint="eastAsia" w:ascii="汉仪书宋二简"/>
          <w:u w:val="single"/>
        </w:rPr>
        <w:t xml:space="preserve">                 </w:t>
      </w:r>
      <w:r>
        <w:rPr>
          <w:rFonts w:hint="eastAsia" w:ascii="汉仪书宋二简" w:eastAsia="宋体"/>
        </w:rPr>
        <w:t xml:space="preserve"> </w:t>
      </w:r>
    </w:p>
    <w:p>
      <w:pPr>
        <w:tabs>
          <w:tab w:val="clear" w:pos="5103"/>
        </w:tabs>
        <w:spacing w:before="200" w:line="340" w:lineRule="exact"/>
        <w:ind w:firstLine="583"/>
      </w:pPr>
    </w:p>
    <w:p>
      <w:pPr>
        <w:tabs>
          <w:tab w:val="clear" w:pos="5103"/>
        </w:tabs>
        <w:spacing w:before="200" w:line="340" w:lineRule="exact"/>
        <w:ind w:firstLine="583"/>
      </w:pPr>
    </w:p>
    <w:p>
      <w:pPr>
        <w:tabs>
          <w:tab w:val="clear" w:pos="5103"/>
        </w:tabs>
        <w:spacing w:before="200" w:line="340" w:lineRule="exact"/>
        <w:ind w:firstLine="583"/>
      </w:pP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w:t>
      </w: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签订日期：</w:t>
      </w:r>
      <w:r>
        <w:rPr>
          <w:rFonts w:ascii="宋体" w:hAnsi="宋体" w:eastAsia="宋体"/>
          <w:szCs w:val="23"/>
          <w:u w:val="single"/>
        </w:rPr>
        <w:t xml:space="preserve">  </w:t>
      </w:r>
      <w:r>
        <w:rPr>
          <w:rFonts w:hint="eastAsia" w:ascii="宋体" w:hAnsi="宋体" w:eastAsia="宋体"/>
          <w:szCs w:val="23"/>
        </w:rPr>
        <w:t>年</w:t>
      </w:r>
      <w:r>
        <w:rPr>
          <w:rFonts w:ascii="宋体" w:hAnsi="宋体" w:eastAsia="宋体"/>
          <w:szCs w:val="23"/>
          <w:u w:val="single"/>
        </w:rPr>
        <w:t xml:space="preserve">  </w:t>
      </w:r>
      <w:r>
        <w:rPr>
          <w:rFonts w:hint="eastAsia" w:ascii="宋体" w:hAnsi="宋体" w:eastAsia="宋体"/>
          <w:szCs w:val="23"/>
        </w:rPr>
        <w:t>月</w:t>
      </w:r>
      <w:r>
        <w:rPr>
          <w:rFonts w:ascii="宋体" w:hAnsi="宋体" w:eastAsia="宋体"/>
          <w:szCs w:val="23"/>
          <w:u w:val="single"/>
        </w:rPr>
        <w:t xml:space="preserve">  </w:t>
      </w:r>
      <w:r>
        <w:rPr>
          <w:rFonts w:hint="eastAsia" w:ascii="宋体" w:hAnsi="宋体" w:eastAsia="宋体"/>
          <w:szCs w:val="23"/>
        </w:rPr>
        <w:t>日</w:t>
      </w:r>
    </w:p>
    <w:p>
      <w:pPr>
        <w:ind w:firstLine="4248" w:firstLineChars="1450"/>
        <w:jc w:val="left"/>
        <w:rPr>
          <w:rFonts w:ascii="黑体" w:eastAsia="黑体"/>
          <w:sz w:val="28"/>
        </w:rPr>
      </w:pPr>
      <w:r>
        <w:rPr>
          <w:rFonts w:hint="eastAsia" w:ascii="宋体" w:hAnsi="宋体" w:eastAsia="宋体"/>
          <w:szCs w:val="23"/>
        </w:rPr>
        <w:t>签订地点：</w:t>
      </w:r>
      <w:r>
        <w:rPr>
          <w:rFonts w:hint="eastAsia" w:ascii="宋体" w:hAnsi="宋体" w:eastAsia="宋体"/>
          <w:szCs w:val="23"/>
          <w:u w:val="single"/>
        </w:rPr>
        <w:t xml:space="preserve">                 </w:t>
      </w:r>
      <w:r>
        <w:rPr>
          <w:rFonts w:ascii="汉仪书宋二简"/>
          <w:b/>
          <w:bCs/>
          <w:w w:val="100"/>
          <w:sz w:val="24"/>
        </w:rPr>
        <w:t xml:space="preserve"> </w:t>
      </w:r>
      <w:r>
        <w:rPr>
          <w:rFonts w:ascii="汉仪书宋二简"/>
          <w:b/>
          <w:bCs/>
          <w:w w:val="100"/>
          <w:sz w:val="24"/>
        </w:rPr>
        <w:br w:type="page"/>
      </w:r>
      <w:r>
        <w:rPr>
          <w:rFonts w:hint="eastAsia" w:ascii="黑体" w:eastAsia="黑体"/>
          <w:w w:val="100"/>
          <w:sz w:val="28"/>
        </w:rPr>
        <w:t>附件：</w:t>
      </w:r>
    </w:p>
    <w:p>
      <w:pPr>
        <w:pStyle w:val="2"/>
        <w:spacing w:before="400" w:after="240" w:line="360" w:lineRule="auto"/>
        <w:ind w:firstLine="0" w:firstLineChars="0"/>
        <w:jc w:val="center"/>
        <w:rPr>
          <w:rFonts w:ascii="黑体" w:eastAsia="黑体"/>
          <w:b w:val="0"/>
          <w:bCs w:val="0"/>
          <w:w w:val="100"/>
          <w:sz w:val="48"/>
        </w:rPr>
      </w:pPr>
      <w:r>
        <w:rPr>
          <w:rFonts w:hint="eastAsia" w:ascii="黑体" w:eastAsia="黑体"/>
          <w:b w:val="0"/>
          <w:bCs w:val="0"/>
          <w:w w:val="100"/>
          <w:sz w:val="48"/>
        </w:rPr>
        <w:t>土地使用规则</w:t>
      </w:r>
    </w:p>
    <w:p>
      <w:pPr>
        <w:ind w:firstLine="583"/>
        <w:rPr>
          <w:rFonts w:ascii="汉仪书宋二简"/>
        </w:rPr>
      </w:pPr>
      <w:r>
        <w:rPr>
          <w:rFonts w:hint="eastAsia" w:ascii="汉仪书宋二简"/>
        </w:rPr>
        <w:t>为了切实履行《深圳市土地使用权出让合同书》（以下简称“土地使用权出让合同”），保证深圳市城市规划的实施，合理利用土地，明确土地使用者的责任，订立此规则。</w:t>
      </w:r>
    </w:p>
    <w:p>
      <w:pPr>
        <w:pStyle w:val="3"/>
        <w:rPr>
          <w:rFonts w:eastAsia="黑体"/>
          <w:sz w:val="23"/>
        </w:rPr>
      </w:pPr>
      <w:r>
        <w:rPr>
          <w:rFonts w:hint="eastAsia" w:eastAsia="黑体"/>
          <w:sz w:val="23"/>
        </w:rPr>
        <w:t xml:space="preserve">一、释义 </w:t>
      </w:r>
    </w:p>
    <w:p>
      <w:pPr>
        <w:ind w:firstLine="583"/>
        <w:rPr>
          <w:rFonts w:ascii="汉仪书宋二简"/>
        </w:rPr>
      </w:pPr>
      <w:r>
        <w:rPr>
          <w:rFonts w:hint="eastAsia" w:ascii="汉仪书宋二简"/>
        </w:rPr>
        <w:t>1、土地使用权出让合同涉及到的名词，以本规则解释为准。</w:t>
      </w:r>
    </w:p>
    <w:p>
      <w:pPr>
        <w:tabs>
          <w:tab w:val="left" w:pos="2268"/>
          <w:tab w:val="clear" w:pos="4820"/>
          <w:tab w:val="clear" w:pos="5103"/>
          <w:tab w:val="clear" w:pos="8505"/>
        </w:tabs>
        <w:spacing w:line="520" w:lineRule="exact"/>
        <w:ind w:left="2268" w:hanging="2268" w:firstLineChars="0"/>
      </w:pPr>
      <w:r>
        <w:rPr>
          <w:rFonts w:hint="eastAsia" w:eastAsia="黑体"/>
        </w:rPr>
        <w:t>宗地图：</w:t>
      </w:r>
      <w:r>
        <w:rPr>
          <w:rFonts w:hint="eastAsia"/>
        </w:rPr>
        <w:tab/>
      </w:r>
      <w:r>
        <w:rPr>
          <w:rFonts w:hint="eastAsia"/>
        </w:rPr>
        <w:t>指按一定比例尺制作的用以标示一宗地的用地位置、界线和面积的地形图。</w:t>
      </w:r>
    </w:p>
    <w:p>
      <w:pPr>
        <w:tabs>
          <w:tab w:val="left" w:pos="2268"/>
          <w:tab w:val="clear" w:pos="4820"/>
          <w:tab w:val="clear" w:pos="5103"/>
          <w:tab w:val="clear" w:pos="8505"/>
        </w:tabs>
        <w:spacing w:line="520" w:lineRule="exact"/>
        <w:ind w:left="2268" w:hanging="2268" w:firstLineChars="0"/>
      </w:pPr>
      <w:r>
        <w:rPr>
          <w:rFonts w:hint="eastAsia" w:eastAsia="黑体"/>
        </w:rPr>
        <w:t>土地使用权：</w:t>
      </w:r>
      <w:r>
        <w:rPr>
          <w:rFonts w:hint="eastAsia"/>
        </w:rP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土地使用权转让：</w:t>
      </w:r>
      <w:r>
        <w:rPr>
          <w:rFonts w:hint="eastAsia"/>
        </w:rPr>
        <w:tab/>
      </w:r>
      <w:r>
        <w:rPr>
          <w:rFonts w:hint="eastAsia"/>
        </w:rPr>
        <w:t xml:space="preserve">土地使用权出让后，土地使用权受让人依法和依照土地使用权出让合同书将土地使用权再转移的行为。 </w:t>
      </w:r>
    </w:p>
    <w:p>
      <w:pPr>
        <w:tabs>
          <w:tab w:val="left" w:pos="2268"/>
          <w:tab w:val="clear" w:pos="4820"/>
          <w:tab w:val="clear" w:pos="5103"/>
          <w:tab w:val="clear" w:pos="8505"/>
        </w:tabs>
        <w:spacing w:line="520" w:lineRule="exact"/>
        <w:ind w:left="2268" w:hanging="2268" w:firstLineChars="0"/>
      </w:pPr>
      <w:r>
        <w:rPr>
          <w:rFonts w:hint="eastAsia" w:eastAsia="黑体"/>
        </w:rPr>
        <w:t>无偿收回土地：</w:t>
      </w:r>
      <w:r>
        <w:rPr>
          <w:rFonts w:hint="eastAsia"/>
        </w:rPr>
        <w:tab/>
      </w:r>
      <w:r>
        <w:rPr>
          <w:rFonts w:hint="eastAsia"/>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 w:val="clear" w:pos="4820"/>
          <w:tab w:val="clear" w:pos="5103"/>
          <w:tab w:val="clear" w:pos="8505"/>
        </w:tabs>
        <w:spacing w:line="520" w:lineRule="exact"/>
        <w:ind w:left="2268" w:hanging="2268" w:firstLineChars="0"/>
      </w:pPr>
      <w:r>
        <w:rPr>
          <w:rFonts w:hint="eastAsia" w:eastAsia="黑体"/>
        </w:rPr>
        <w:t>土地使用年期：</w:t>
      </w:r>
      <w:r>
        <w:rPr>
          <w:rFonts w:hint="eastAsia"/>
        </w:rPr>
        <w:tab/>
      </w:r>
      <w:r>
        <w:rPr>
          <w:rFonts w:hint="eastAsia"/>
        </w:rPr>
        <w:t>土地使用权受让人在受让的地块上享有土地使用权的总年期。</w:t>
      </w:r>
    </w:p>
    <w:p>
      <w:pPr>
        <w:tabs>
          <w:tab w:val="left" w:pos="2268"/>
          <w:tab w:val="clear" w:pos="4820"/>
          <w:tab w:val="clear" w:pos="5103"/>
          <w:tab w:val="clear" w:pos="8505"/>
        </w:tabs>
        <w:spacing w:line="520" w:lineRule="exact"/>
        <w:ind w:left="2268" w:hanging="2268" w:firstLineChars="0"/>
      </w:pPr>
      <w:r>
        <w:rPr>
          <w:rFonts w:hint="eastAsia" w:eastAsia="黑体"/>
        </w:rPr>
        <w:t>坐 标：</w:t>
      </w:r>
      <w:r>
        <w:rPr>
          <w:rFonts w:hint="eastAsia"/>
        </w:rPr>
        <w:tab/>
      </w:r>
      <w:r>
        <w:rPr>
          <w:rFonts w:hint="eastAsia"/>
        </w:rPr>
        <w:t>用测量学方法表示地面上一点位置的有序的一组数。本合同中的坐标除非特别指明外，均为深圳独立坐标系统，用直角坐标表示。</w:t>
      </w:r>
    </w:p>
    <w:p>
      <w:pPr>
        <w:tabs>
          <w:tab w:val="left" w:pos="2268"/>
          <w:tab w:val="clear" w:pos="4820"/>
          <w:tab w:val="clear" w:pos="5103"/>
          <w:tab w:val="clear" w:pos="8505"/>
        </w:tabs>
        <w:spacing w:line="520" w:lineRule="exact"/>
        <w:ind w:left="2268" w:hanging="2268" w:firstLineChars="0"/>
      </w:pPr>
      <w:r>
        <w:rPr>
          <w:rFonts w:hint="eastAsia" w:eastAsia="黑体"/>
        </w:rPr>
        <w:t>界桩定点：</w:t>
      </w:r>
      <w:r>
        <w:rPr>
          <w:rFonts w:hint="eastAsia"/>
        </w:rPr>
        <w:tab/>
      </w:r>
      <w:r>
        <w:rPr>
          <w:rFonts w:hint="eastAsia"/>
        </w:rPr>
        <w:t>在实地确定验明宗地图上所标示的各界桩点的位置。</w:t>
      </w:r>
    </w:p>
    <w:p>
      <w:pPr>
        <w:tabs>
          <w:tab w:val="left" w:pos="2268"/>
          <w:tab w:val="clear" w:pos="4820"/>
          <w:tab w:val="clear" w:pos="5103"/>
          <w:tab w:val="clear" w:pos="8505"/>
        </w:tabs>
        <w:spacing w:line="520" w:lineRule="exact"/>
        <w:ind w:left="2268" w:hanging="2268" w:firstLineChars="0"/>
      </w:pPr>
      <w:r>
        <w:rPr>
          <w:rFonts w:hint="eastAsia" w:eastAsia="黑体"/>
        </w:rPr>
        <w:t>土地使用税：</w:t>
      </w:r>
      <w:r>
        <w:rPr>
          <w:rFonts w:hint="eastAsia"/>
        </w:rPr>
        <w:tab/>
      </w:r>
      <w:r>
        <w:rPr>
          <w:rFonts w:hint="eastAsia"/>
        </w:rPr>
        <w:t>土地使用者因使用土地按规定每年支付给政府的土地税费。</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土地临时占用费：</w:t>
      </w:r>
      <w:r>
        <w:rPr>
          <w:rFonts w:hint="eastAsia"/>
        </w:rPr>
        <w:tab/>
      </w:r>
      <w:r>
        <w:rPr>
          <w:rFonts w:hint="eastAsia"/>
        </w:rPr>
        <w:t>土地使用者经国土管理部门批准临时使用的土地，按规定向国土管理部门支付的租金。</w:t>
      </w:r>
    </w:p>
    <w:p>
      <w:pPr>
        <w:tabs>
          <w:tab w:val="left" w:pos="2268"/>
          <w:tab w:val="clear" w:pos="4820"/>
          <w:tab w:val="clear" w:pos="5103"/>
          <w:tab w:val="clear" w:pos="8505"/>
        </w:tabs>
        <w:spacing w:line="520" w:lineRule="exact"/>
        <w:ind w:left="2268" w:hanging="2268" w:firstLineChars="0"/>
      </w:pPr>
      <w:r>
        <w:rPr>
          <w:rFonts w:hint="eastAsia" w:eastAsia="黑体"/>
        </w:rPr>
        <w:t>市政工程：</w:t>
      </w:r>
      <w:r>
        <w:rPr>
          <w:rFonts w:hint="eastAsia"/>
        </w:rPr>
        <w:tab/>
      </w:r>
      <w:r>
        <w:rPr>
          <w:rFonts w:hint="eastAsia"/>
        </w:rPr>
        <w:t>城市的基础设施。具体包括：道路、给水、污水、雨水、电力、电讯、路灯、照明、煤气等管、厂、站、场、桥梁或人行天桥及其它工程。</w:t>
      </w:r>
    </w:p>
    <w:p>
      <w:pPr>
        <w:tabs>
          <w:tab w:val="left" w:pos="2268"/>
          <w:tab w:val="clear" w:pos="4820"/>
          <w:tab w:val="clear" w:pos="5103"/>
          <w:tab w:val="clear" w:pos="8505"/>
        </w:tabs>
        <w:spacing w:line="520" w:lineRule="exact"/>
        <w:ind w:left="2268" w:hanging="2268" w:firstLineChars="0"/>
      </w:pPr>
      <w:r>
        <w:rPr>
          <w:rFonts w:hint="eastAsia" w:eastAsia="黑体"/>
        </w:rPr>
        <w:t>绿化覆盖率：</w:t>
      </w:r>
      <w:r>
        <w:rPr>
          <w:rFonts w:hint="eastAsia"/>
        </w:rPr>
        <w:tab/>
      </w:r>
      <w:r>
        <w:rPr>
          <w:rFonts w:hint="eastAsia"/>
        </w:rPr>
        <w:t>地块内全部绿化种植(地面绿化、屋顶绿化、架空绿化、垂直绿化)的水平投影面积之和与地块总用地面积的比率。鼓励进行垂直绿化、架空绿化和屋顶绿化。</w:t>
      </w:r>
    </w:p>
    <w:p>
      <w:pPr>
        <w:tabs>
          <w:tab w:val="left" w:pos="2268"/>
          <w:tab w:val="clear" w:pos="4820"/>
          <w:tab w:val="clear" w:pos="5103"/>
          <w:tab w:val="clear" w:pos="8505"/>
        </w:tabs>
        <w:spacing w:line="520" w:lineRule="exact"/>
        <w:ind w:left="2268" w:hanging="2268" w:firstLineChars="0"/>
      </w:pPr>
      <w:r>
        <w:rPr>
          <w:rFonts w:hint="eastAsia" w:eastAsia="黑体"/>
        </w:rPr>
        <w:t>建筑覆盖率：</w:t>
      </w:r>
      <w:r>
        <w:rPr>
          <w:rFonts w:hint="eastAsia"/>
        </w:rPr>
        <w:tab/>
      </w:r>
      <w:r>
        <w:rPr>
          <w:rFonts w:hint="eastAsia"/>
        </w:rPr>
        <w:t>用地范围内所有建筑物的基底面积总和与土地面积比。</w:t>
      </w:r>
    </w:p>
    <w:p>
      <w:pPr>
        <w:tabs>
          <w:tab w:val="left" w:pos="2268"/>
          <w:tab w:val="clear" w:pos="4820"/>
          <w:tab w:val="clear" w:pos="5103"/>
          <w:tab w:val="clear" w:pos="8505"/>
        </w:tabs>
        <w:spacing w:line="520" w:lineRule="exact"/>
        <w:ind w:left="2268" w:hanging="2268" w:firstLineChars="0"/>
      </w:pPr>
      <w:r>
        <w:rPr>
          <w:rFonts w:hint="eastAsia" w:eastAsia="黑体"/>
        </w:rPr>
        <w:t>建筑容积率：</w:t>
      </w:r>
      <w:r>
        <w:rPr>
          <w:rFonts w:hint="eastAsia"/>
        </w:rPr>
        <w:tab/>
      </w:r>
      <w:r>
        <w:rPr>
          <w:rFonts w:hint="eastAsia"/>
        </w:rPr>
        <w:t>规定的地块上全部建筑物总面积与土地面积之比 (含附属建筑物计算在内)，但注明不计算的附属建筑物面积除外。</w:t>
      </w:r>
    </w:p>
    <w:p>
      <w:pPr>
        <w:tabs>
          <w:tab w:val="left" w:pos="2268"/>
          <w:tab w:val="clear" w:pos="4820"/>
          <w:tab w:val="clear" w:pos="5103"/>
          <w:tab w:val="clear" w:pos="8505"/>
        </w:tabs>
        <w:spacing w:line="520" w:lineRule="exact"/>
        <w:ind w:left="2268" w:hanging="2268" w:firstLineChars="0"/>
      </w:pPr>
      <w:r>
        <w:rPr>
          <w:rFonts w:hint="eastAsia" w:eastAsia="黑体"/>
        </w:rPr>
        <w:t>总建筑面积：</w:t>
      </w:r>
      <w:r>
        <w:rPr>
          <w:rFonts w:hint="eastAsia"/>
        </w:rPr>
        <w:tab/>
      </w:r>
      <w:r>
        <w:rPr>
          <w:rFonts w:hint="eastAsia"/>
        </w:rPr>
        <w:t>各层建筑面积的总和。底层建筑面积按外墙勒脚以上的外围水平面积计算，二层及二层以上按外墙外围水平面积计算，其它具体计算方法按国家颁布的《建筑面积计算规则》进行。</w:t>
      </w:r>
    </w:p>
    <w:p>
      <w:pPr>
        <w:tabs>
          <w:tab w:val="left" w:pos="2268"/>
          <w:tab w:val="clear" w:pos="4820"/>
          <w:tab w:val="clear" w:pos="5103"/>
          <w:tab w:val="clear" w:pos="8505"/>
        </w:tabs>
        <w:spacing w:line="520" w:lineRule="exact"/>
        <w:ind w:left="2268" w:hanging="2268" w:firstLineChars="0"/>
      </w:pPr>
      <w:r>
        <w:rPr>
          <w:rFonts w:hint="eastAsia" w:eastAsia="黑体"/>
        </w:rPr>
        <w:t>主体建筑物：</w:t>
      </w:r>
      <w:r>
        <w:rPr>
          <w:rFonts w:hint="eastAsia" w:eastAsia="方正楷体简体"/>
        </w:rPr>
        <w:tab/>
      </w:r>
      <w:r>
        <w:rPr>
          <w:rFonts w:hint="eastAsia"/>
        </w:rPr>
        <w:t>由土地用途所限定的主要建筑物。</w:t>
      </w:r>
    </w:p>
    <w:p>
      <w:pPr>
        <w:tabs>
          <w:tab w:val="left" w:pos="2268"/>
          <w:tab w:val="clear" w:pos="4820"/>
          <w:tab w:val="clear" w:pos="5103"/>
          <w:tab w:val="clear" w:pos="8505"/>
        </w:tabs>
        <w:spacing w:line="520" w:lineRule="exact"/>
        <w:ind w:left="2268" w:hanging="2268" w:firstLineChars="0"/>
      </w:pPr>
      <w:r>
        <w:rPr>
          <w:rFonts w:hint="eastAsia" w:eastAsia="黑体"/>
        </w:rPr>
        <w:t>附属建筑物：</w:t>
      </w:r>
      <w:r>
        <w:rPr>
          <w:rFonts w:hint="eastAsia"/>
        </w:rPr>
        <w:tab/>
      </w:r>
      <w:r>
        <w:rPr>
          <w:rFonts w:hint="eastAsia"/>
        </w:rPr>
        <w:t>主体建筑以外的其它建筑。</w:t>
      </w:r>
    </w:p>
    <w:p>
      <w:pPr>
        <w:tabs>
          <w:tab w:val="left" w:pos="2268"/>
          <w:tab w:val="clear" w:pos="4820"/>
          <w:tab w:val="clear" w:pos="5103"/>
          <w:tab w:val="clear" w:pos="8505"/>
        </w:tabs>
        <w:spacing w:line="520" w:lineRule="exact"/>
        <w:ind w:left="2268" w:hanging="2268" w:firstLineChars="0"/>
      </w:pPr>
      <w:r>
        <w:rPr>
          <w:rFonts w:hint="eastAsia" w:eastAsia="黑体"/>
        </w:rPr>
        <w:t>办公楼：</w:t>
      </w:r>
      <w:r>
        <w:rPr>
          <w:rFonts w:hint="eastAsia"/>
        </w:rPr>
        <w:tab/>
      </w:r>
      <w:r>
        <w:rPr>
          <w:rFonts w:hint="eastAsia"/>
        </w:rPr>
        <w:t>供机关、企事业单位从事行政事务使用的建筑物。</w:t>
      </w:r>
    </w:p>
    <w:p>
      <w:pPr>
        <w:tabs>
          <w:tab w:val="left" w:pos="2268"/>
          <w:tab w:val="clear" w:pos="4820"/>
          <w:tab w:val="clear" w:pos="5103"/>
          <w:tab w:val="clear" w:pos="8505"/>
        </w:tabs>
        <w:spacing w:line="520" w:lineRule="exact"/>
        <w:ind w:left="2268" w:hanging="2268" w:firstLineChars="0"/>
      </w:pPr>
      <w:r>
        <w:rPr>
          <w:rFonts w:hint="eastAsia" w:eastAsia="黑体"/>
        </w:rPr>
        <w:t>单身公寓：</w:t>
      </w:r>
      <w:r>
        <w:rPr>
          <w:rFonts w:hint="eastAsia"/>
        </w:rPr>
        <w:tab/>
      </w:r>
      <w:r>
        <w:rPr>
          <w:rFonts w:hint="eastAsia"/>
        </w:rPr>
        <w:t>供单身职工起居和具备居住用的小型厨、厕的建筑物。</w:t>
      </w:r>
    </w:p>
    <w:p>
      <w:pPr>
        <w:tabs>
          <w:tab w:val="left" w:pos="2268"/>
          <w:tab w:val="clear" w:pos="4820"/>
          <w:tab w:val="clear" w:pos="5103"/>
          <w:tab w:val="clear" w:pos="8505"/>
        </w:tabs>
        <w:spacing w:line="520" w:lineRule="exact"/>
        <w:ind w:left="2268" w:hanging="2268" w:firstLineChars="0"/>
      </w:pPr>
      <w:r>
        <w:rPr>
          <w:rFonts w:hint="eastAsia" w:eastAsia="黑体"/>
        </w:rPr>
        <w:t>住 宅：</w:t>
      </w:r>
      <w:r>
        <w:rPr>
          <w:rFonts w:hint="eastAsia"/>
        </w:rPr>
        <w:tab/>
      </w:r>
      <w:r>
        <w:rPr>
          <w:rFonts w:hint="eastAsia"/>
        </w:rPr>
        <w:t>供居民家庭生活居住的单元式建筑物。</w:t>
      </w:r>
    </w:p>
    <w:p>
      <w:pPr>
        <w:tabs>
          <w:tab w:val="left" w:pos="2268"/>
          <w:tab w:val="clear" w:pos="4820"/>
          <w:tab w:val="clear" w:pos="5103"/>
          <w:tab w:val="clear" w:pos="8505"/>
        </w:tabs>
        <w:spacing w:line="520" w:lineRule="exact"/>
        <w:ind w:left="2268" w:hanging="2268" w:firstLineChars="0"/>
      </w:pPr>
      <w:r>
        <w:rPr>
          <w:rFonts w:hint="eastAsia" w:eastAsia="黑体"/>
        </w:rPr>
        <w:t>别 墅：</w:t>
      </w:r>
      <w:r>
        <w:rPr>
          <w:rFonts w:hint="eastAsia" w:eastAsia="方正楷体简体"/>
        </w:rPr>
        <w:tab/>
      </w:r>
      <w:r>
        <w:rPr>
          <w:rFonts w:hint="eastAsia"/>
        </w:rPr>
        <w:t>供居民家庭生活居住的独立式建筑物。</w:t>
      </w:r>
    </w:p>
    <w:p>
      <w:pPr>
        <w:tabs>
          <w:tab w:val="left" w:pos="2268"/>
          <w:tab w:val="clear" w:pos="4820"/>
          <w:tab w:val="clear" w:pos="5103"/>
          <w:tab w:val="clear" w:pos="8505"/>
        </w:tabs>
        <w:spacing w:line="520" w:lineRule="exact"/>
        <w:ind w:left="2268" w:hanging="2268" w:firstLineChars="0"/>
      </w:pPr>
      <w:r>
        <w:rPr>
          <w:rFonts w:hint="eastAsia" w:eastAsia="黑体"/>
        </w:rPr>
        <w:t>宿 舍：</w:t>
      </w:r>
      <w:r>
        <w:rPr>
          <w:rFonts w:hint="eastAsia"/>
        </w:rPr>
        <w:tab/>
      </w:r>
      <w:r>
        <w:rPr>
          <w:rFonts w:hint="eastAsia"/>
        </w:rPr>
        <w:t>供学生、职工等集体性居住的建筑物。</w:t>
      </w:r>
    </w:p>
    <w:p>
      <w:pPr>
        <w:tabs>
          <w:tab w:val="left" w:pos="2268"/>
          <w:tab w:val="clear" w:pos="4820"/>
          <w:tab w:val="clear" w:pos="5103"/>
          <w:tab w:val="clear" w:pos="8505"/>
        </w:tabs>
        <w:spacing w:line="520" w:lineRule="exact"/>
        <w:ind w:left="2268" w:hanging="2268" w:firstLineChars="0"/>
      </w:pPr>
      <w:r>
        <w:rPr>
          <w:rFonts w:hint="eastAsia" w:eastAsia="黑体"/>
        </w:rPr>
        <w:t>综合楼：</w:t>
      </w:r>
      <w:r>
        <w:rPr>
          <w:rFonts w:hint="eastAsia"/>
        </w:rPr>
        <w:tab/>
      </w:r>
      <w:r>
        <w:rPr>
          <w:rFonts w:hint="eastAsia"/>
        </w:rPr>
        <w:t>多种用途组合一体的多、高层民用建筑。</w:t>
      </w:r>
    </w:p>
    <w:p>
      <w:pPr>
        <w:tabs>
          <w:tab w:val="left" w:pos="2268"/>
          <w:tab w:val="clear" w:pos="4820"/>
          <w:tab w:val="clear" w:pos="5103"/>
          <w:tab w:val="clear" w:pos="8505"/>
        </w:tabs>
        <w:spacing w:line="520" w:lineRule="exact"/>
        <w:ind w:left="2268" w:hanging="2268" w:firstLineChars="0"/>
      </w:pPr>
      <w:r>
        <w:rPr>
          <w:rFonts w:hint="eastAsia" w:eastAsia="黑体"/>
        </w:rPr>
        <w:t>厂 房：</w:t>
      </w:r>
      <w:r>
        <w:rPr>
          <w:rFonts w:hint="eastAsia"/>
        </w:rPr>
        <w:tab/>
      </w:r>
      <w:r>
        <w:rPr>
          <w:rFonts w:hint="eastAsia"/>
        </w:rPr>
        <w:t>可供工业生产使用的建筑物。</w:t>
      </w:r>
    </w:p>
    <w:p>
      <w:pPr>
        <w:tabs>
          <w:tab w:val="left" w:pos="2268"/>
          <w:tab w:val="clear" w:pos="4820"/>
          <w:tab w:val="clear" w:pos="5103"/>
          <w:tab w:val="clear" w:pos="8505"/>
        </w:tabs>
        <w:spacing w:line="520" w:lineRule="exact"/>
        <w:ind w:left="2268" w:hanging="2268" w:firstLineChars="0"/>
      </w:pPr>
      <w:r>
        <w:rPr>
          <w:rFonts w:hint="eastAsia" w:eastAsia="黑体"/>
        </w:rPr>
        <w:t>商业用房：</w:t>
      </w:r>
      <w:r>
        <w:rPr>
          <w:rFonts w:hint="eastAsia"/>
        </w:rPr>
        <w:tab/>
      </w:r>
      <w:r>
        <w:rPr>
          <w:rFonts w:hint="eastAsia"/>
        </w:rPr>
        <w:t>指为居民提供生活消费及进行商务活动的商铺、饮食、酒店、娱乐、金融、保险、银行、证券等建筑物。</w:t>
      </w:r>
    </w:p>
    <w:p>
      <w:pPr>
        <w:tabs>
          <w:tab w:val="left" w:pos="2268"/>
          <w:tab w:val="clear" w:pos="4820"/>
          <w:tab w:val="clear" w:pos="5103"/>
          <w:tab w:val="clear" w:pos="8505"/>
        </w:tabs>
        <w:spacing w:line="520" w:lineRule="exact"/>
        <w:ind w:left="2268" w:hanging="2268" w:firstLineChars="0"/>
      </w:pPr>
      <w:r>
        <w:rPr>
          <w:rFonts w:hint="eastAsia" w:eastAsia="黑体"/>
        </w:rPr>
        <w:t>房地产证：</w:t>
      </w:r>
      <w:r>
        <w:rPr>
          <w:rFonts w:hint="eastAsia"/>
        </w:rPr>
        <w:tab/>
      </w:r>
      <w:r>
        <w:rPr>
          <w:rFonts w:hint="eastAsia"/>
        </w:rPr>
        <w:t>房地产权利人依法管理、经营、使用和处分房地产的凭证。</w:t>
      </w:r>
    </w:p>
    <w:p>
      <w:pPr>
        <w:pStyle w:val="3"/>
      </w:pPr>
      <w:r>
        <w:rPr>
          <w:rFonts w:hint="eastAsia"/>
        </w:rPr>
        <w:t>二、界桩</w:t>
      </w:r>
      <w:r>
        <w:rPr>
          <w:rFonts w:hint="eastAsia"/>
          <w:sz w:val="23"/>
        </w:rPr>
        <w:t>定点</w:t>
      </w:r>
    </w:p>
    <w:p>
      <w:pPr>
        <w:ind w:firstLine="583"/>
        <w:rPr>
          <w:rFonts w:ascii="汉仪书宋二简"/>
        </w:rPr>
      </w:pPr>
      <w:r>
        <w:rPr>
          <w:rFonts w:hint="eastAsia" w:ascii="汉仪书宋二简"/>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pPr>
      <w:r>
        <w:rPr>
          <w:rFonts w:hint="eastAsia"/>
        </w:rPr>
        <w:t>三、</w:t>
      </w:r>
      <w:r>
        <w:rPr>
          <w:rFonts w:hint="eastAsia"/>
          <w:sz w:val="23"/>
        </w:rPr>
        <w:t>附属</w:t>
      </w:r>
      <w:r>
        <w:rPr>
          <w:rFonts w:hint="eastAsia"/>
        </w:rPr>
        <w:t>工程</w:t>
      </w:r>
    </w:p>
    <w:p>
      <w:pPr>
        <w:ind w:firstLine="583"/>
      </w:pPr>
      <w:r>
        <w:rPr>
          <w:rFonts w:hint="eastAsia"/>
        </w:rPr>
        <w:t>3、土地使用者同意在宗地图红线范围内一并建造附表1、2、3所列附属工程，并保证</w:t>
      </w:r>
      <w:r>
        <w:rPr>
          <w:rFonts w:hint="eastAsia"/>
          <w:w w:val="100"/>
          <w:szCs w:val="23"/>
        </w:rPr>
        <w:t>在</w:t>
      </w:r>
      <w:r>
        <w:rPr>
          <w:rFonts w:hint="eastAsia"/>
        </w:rPr>
        <w:t>本合同约定竣工日期前竣工。并同意附表2、3所列公益工程免费提供使用，产权归政府所有。</w:t>
      </w:r>
    </w:p>
    <w:p>
      <w:pPr>
        <w:ind w:firstLine="583"/>
        <w:rPr>
          <w:rFonts w:ascii="汉仪书宋二简"/>
        </w:rPr>
      </w:pPr>
      <w:r>
        <w:rPr>
          <w:rFonts w:hint="eastAsia" w:ascii="汉仪书宋二简"/>
        </w:rPr>
        <w:t>4、因规划需要，有关部门在用地范围内布置公益配套项目及市政管线施工时，土地使用者同意提供用地及通过。</w:t>
      </w:r>
    </w:p>
    <w:p>
      <w:pPr>
        <w:pStyle w:val="3"/>
      </w:pPr>
      <w:r>
        <w:rPr>
          <w:rFonts w:hint="eastAsia"/>
        </w:rPr>
        <w:t>四、设计、开工、竣工及违约责任</w:t>
      </w:r>
    </w:p>
    <w:p>
      <w:pPr>
        <w:ind w:firstLine="583"/>
        <w:rPr>
          <w:rFonts w:ascii="汉仪书宋二简"/>
        </w:rPr>
      </w:pPr>
      <w:r>
        <w:rPr>
          <w:rFonts w:hint="eastAsia" w:ascii="汉仪书宋二简"/>
        </w:rPr>
        <w:t>5、土地使用者必须在签订《土地使用权出让合同》之日起六个月内，向建设主管部门提交设计方案图纸及市计划部门批准的投资计划，有关部门应在接到齐备的图纸和计划后按规定审批。</w:t>
      </w:r>
    </w:p>
    <w:p>
      <w:pPr>
        <w:ind w:firstLine="583"/>
        <w:rPr>
          <w:rFonts w:ascii="汉仪书宋二简"/>
        </w:rPr>
      </w:pPr>
      <w:r>
        <w:rPr>
          <w:rFonts w:hint="eastAsia" w:ascii="汉仪书宋二简"/>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rFonts w:ascii="汉仪书宋二简" w:hAnsi="汉仪书宋二简"/>
        </w:rPr>
      </w:pPr>
      <w:r>
        <w:rPr>
          <w:rFonts w:hint="eastAsia" w:ascii="汉仪书宋二简"/>
        </w:rPr>
        <w:t>7、土地使用者应在</w:t>
      </w:r>
      <w:r>
        <w:rPr>
          <w:rFonts w:hint="eastAsia" w:ascii="汉仪书宋二简"/>
          <w:u w:val="single"/>
        </w:rPr>
        <w:t>2022</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日之前开工，</w:t>
      </w:r>
      <w:r>
        <w:rPr>
          <w:rFonts w:hint="eastAsia" w:ascii="汉仪书宋二简"/>
          <w:u w:val="single"/>
        </w:rPr>
        <w:t>2025</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日之前竣工。</w:t>
      </w:r>
    </w:p>
    <w:p>
      <w:pPr>
        <w:ind w:firstLine="583"/>
        <w:rPr>
          <w:rFonts w:ascii="汉仪书宋二简"/>
        </w:rPr>
      </w:pPr>
      <w:r>
        <w:rPr>
          <w:rFonts w:hint="eastAsia" w:ascii="汉仪书宋二简"/>
        </w:rPr>
        <w:t>土地使用者未按土地出让合同规定的用途和条件开发利用土地，</w:t>
      </w:r>
      <w:r>
        <w:rPr>
          <w:rFonts w:hint="eastAsia"/>
        </w:rPr>
        <w:t>市规划和自然资源局</w:t>
      </w:r>
      <w:r>
        <w:rPr>
          <w:rFonts w:hint="eastAsia" w:ascii="汉仪书宋二简"/>
        </w:rPr>
        <w:t>可处以土地使用权出让金总额20%的罚款。拒不纠正的，</w:t>
      </w:r>
      <w:r>
        <w:rPr>
          <w:rFonts w:hint="eastAsia"/>
        </w:rPr>
        <w:t>市规划和自然资源局</w:t>
      </w:r>
      <w:r>
        <w:rPr>
          <w:rFonts w:hint="eastAsia" w:ascii="汉仪书宋二简"/>
        </w:rPr>
        <w:t>无偿收回土地使用权，没收地上建筑物、附着物。</w:t>
      </w:r>
    </w:p>
    <w:p>
      <w:pPr>
        <w:ind w:firstLine="583"/>
        <w:rPr>
          <w:rFonts w:ascii="汉仪书宋二简"/>
        </w:rPr>
      </w:pPr>
      <w:r>
        <w:rPr>
          <w:rFonts w:hint="eastAsia" w:ascii="汉仪书宋二简"/>
        </w:rPr>
        <w:t>8、土地使用者应当在本合同约定期限内按期开工，超过约定开工期限未动工开发造成土地闲置的，按闲置土地相关规定处理。</w:t>
      </w:r>
    </w:p>
    <w:p>
      <w:pPr>
        <w:ind w:firstLine="583"/>
        <w:rPr>
          <w:rFonts w:ascii="汉仪书宋二简"/>
        </w:rPr>
      </w:pPr>
      <w:r>
        <w:rPr>
          <w:rFonts w:hint="eastAsia" w:ascii="汉仪书宋二简"/>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rFonts w:ascii="汉仪书宋二简"/>
        </w:rPr>
      </w:pPr>
      <w:r>
        <w:rPr>
          <w:rFonts w:hint="eastAsia" w:ascii="汉仪书宋二简"/>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rFonts w:ascii="汉仪书宋二简"/>
        </w:rPr>
      </w:pPr>
      <w:r>
        <w:rPr>
          <w:rFonts w:hint="eastAsia" w:ascii="汉仪书宋二简"/>
        </w:rPr>
        <w:t>9、工程竣工提请市政府有关部门质量验收前，土地使用者应向有关部门提请对建筑物进行规划验收，验收合格的，发给《规划验收合格证》，不合格的，限期整改。</w:t>
      </w:r>
    </w:p>
    <w:p>
      <w:pPr>
        <w:pStyle w:val="3"/>
      </w:pPr>
      <w:r>
        <w:rPr>
          <w:rFonts w:hint="eastAsia"/>
        </w:rPr>
        <w:t>五、建筑维修活动</w:t>
      </w:r>
    </w:p>
    <w:p>
      <w:pPr>
        <w:ind w:firstLine="583"/>
        <w:rPr>
          <w:rFonts w:ascii="汉仪书宋二简"/>
        </w:rPr>
      </w:pPr>
      <w:r>
        <w:rPr>
          <w:rFonts w:hint="eastAsia" w:ascii="汉仪书宋二简"/>
        </w:rPr>
        <w:t>10、土地使用者在用地范围内进行建设及维修活动时，对周围环境及设施应承担下列责任：</w:t>
      </w:r>
    </w:p>
    <w:p>
      <w:pPr>
        <w:ind w:firstLine="583"/>
        <w:rPr>
          <w:rFonts w:ascii="汉仪书宋二简"/>
        </w:rPr>
      </w:pPr>
      <w:r>
        <w:rPr>
          <w:rFonts w:hint="eastAsia" w:ascii="汉仪书宋二简"/>
        </w:rPr>
        <w:t>（1）所属建筑物品或废弃物（如泥土、碎石、建筑垃圾等）不得侵占或破坏宗地图以外的土地及设施。如需临时占用市政道路，应报请有关部门批准。</w:t>
      </w:r>
    </w:p>
    <w:p>
      <w:pPr>
        <w:pStyle w:val="4"/>
        <w:ind w:firstLine="583"/>
        <w:rPr>
          <w:rFonts w:ascii="汉仪书宋二简"/>
        </w:rPr>
      </w:pPr>
      <w:r>
        <w:rPr>
          <w:rFonts w:hint="eastAsia" w:ascii="汉仪书宋二简"/>
        </w:rPr>
        <w:t>如需临时占用宗地图以外土地，应与该地块土地使用者协商；若属市政府未批出土地，应报市规划和自然资源局批准，并按规定交纳土地临时占用费。</w:t>
      </w:r>
    </w:p>
    <w:p>
      <w:pPr>
        <w:ind w:firstLine="583"/>
        <w:rPr>
          <w:rFonts w:ascii="汉仪书宋二简"/>
        </w:rPr>
      </w:pPr>
      <w:r>
        <w:rPr>
          <w:rFonts w:hint="eastAsia" w:ascii="汉仪书宋二简"/>
        </w:rPr>
        <w:t>（2）土地使用者必须做好土地使用范围内及周围土地的绿化及水土保护，采取一切措施防止水土流失。否则，引起的一切经济损失由土地使用者自行承担。</w:t>
      </w:r>
    </w:p>
    <w:p>
      <w:pPr>
        <w:ind w:firstLine="583"/>
        <w:rPr>
          <w:rFonts w:ascii="汉仪书宋二简"/>
        </w:rPr>
      </w:pPr>
      <w:r>
        <w:rPr>
          <w:rFonts w:hint="eastAsia" w:ascii="汉仪书宋二简"/>
        </w:rPr>
        <w:t>（3）未获有关部门批准，不得在公共用地上倾倒、储存任何材料或进行任何工程活动。</w:t>
      </w:r>
    </w:p>
    <w:p>
      <w:pPr>
        <w:ind w:firstLine="583"/>
        <w:rPr>
          <w:rFonts w:ascii="汉仪书宋二简"/>
        </w:rPr>
      </w:pPr>
      <w:r>
        <w:rPr>
          <w:rFonts w:hint="eastAsia" w:ascii="汉仪书宋二简"/>
        </w:rPr>
        <w:t>（4）土地使用者必须确保土地使用范围内的污水、污物、恶臭物或影响环境的排泄物均有可靠的排除方法，不得破坏周围的环境。</w:t>
      </w:r>
    </w:p>
    <w:p>
      <w:pPr>
        <w:ind w:firstLine="583"/>
        <w:rPr>
          <w:rFonts w:ascii="汉仪书宋二简"/>
        </w:rPr>
      </w:pPr>
      <w:r>
        <w:rPr>
          <w:rFonts w:hint="eastAsia" w:ascii="汉仪书宋二简"/>
        </w:rPr>
        <w:t>（5）土地使用期限内，土地使用者对该地段内的城市市政设施均应妥善保护、避免损坏，否则，应承担修复工程的一切费用。</w:t>
      </w:r>
    </w:p>
    <w:p>
      <w:pPr>
        <w:ind w:firstLine="583"/>
        <w:rPr>
          <w:rFonts w:ascii="汉仪书宋二简"/>
        </w:rPr>
      </w:pPr>
      <w:r>
        <w:rPr>
          <w:rFonts w:hint="eastAsia" w:ascii="汉仪书宋二简"/>
        </w:rPr>
        <w:t>11、土地使用者不得开辟、铲除或挖掘毗邻地段的土地。</w:t>
      </w:r>
    </w:p>
    <w:p>
      <w:pPr>
        <w:ind w:firstLine="583"/>
        <w:rPr>
          <w:rFonts w:ascii="汉仪书宋二简"/>
        </w:rPr>
      </w:pPr>
      <w:r>
        <w:rPr>
          <w:rFonts w:hint="eastAsia" w:ascii="汉仪书宋二简"/>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rFonts w:ascii="汉仪书宋二简"/>
        </w:rPr>
      </w:pPr>
      <w:r>
        <w:rPr>
          <w:rFonts w:hint="eastAsia" w:ascii="汉仪书宋二简"/>
        </w:rPr>
        <w:t>13、土地使用者应在本合同期内按规定自行负责或委托管理人负责建成区内所有建筑物和公共设施及绿地的使用和管理，并应符合物业管理部门和城市管理部门的规定和要求。</w:t>
      </w:r>
    </w:p>
    <w:p>
      <w:pPr>
        <w:ind w:firstLine="583"/>
        <w:rPr>
          <w:rFonts w:ascii="汉仪书宋二简"/>
        </w:rPr>
      </w:pPr>
      <w:r>
        <w:rPr>
          <w:rFonts w:hint="eastAsia" w:ascii="汉仪书宋二简"/>
        </w:rPr>
        <w:t>14、土地使用者应按设计总平面指定地点开设车辆入口。</w:t>
      </w:r>
    </w:p>
    <w:p>
      <w:pPr>
        <w:pStyle w:val="3"/>
      </w:pPr>
      <w:r>
        <w:rPr>
          <w:rFonts w:hint="eastAsia"/>
        </w:rPr>
        <w:t>六、</w:t>
      </w:r>
      <w:r>
        <w:rPr>
          <w:rFonts w:hint="eastAsia"/>
          <w:sz w:val="23"/>
        </w:rPr>
        <w:t>土地</w:t>
      </w:r>
      <w:r>
        <w:rPr>
          <w:rFonts w:hint="eastAsia"/>
        </w:rPr>
        <w:t>使用权转让</w:t>
      </w:r>
    </w:p>
    <w:p>
      <w:pPr>
        <w:ind w:firstLine="583"/>
        <w:rPr>
          <w:rFonts w:ascii="汉仪书宋二简"/>
        </w:rPr>
      </w:pPr>
      <w:r>
        <w:rPr>
          <w:rFonts w:hint="eastAsia" w:ascii="汉仪书宋二简"/>
        </w:rPr>
        <w:t>15、土地使用权的转让包括土地使用权连同地上建筑物的转让。</w:t>
      </w:r>
    </w:p>
    <w:p>
      <w:pPr>
        <w:ind w:firstLine="583"/>
        <w:rPr>
          <w:rFonts w:ascii="汉仪书宋二简"/>
        </w:rPr>
      </w:pPr>
      <w:r>
        <w:rPr>
          <w:rFonts w:hint="eastAsia" w:ascii="汉仪书宋二简"/>
        </w:rPr>
        <w:t>16、土地使用者转让土地使用权须符合《深圳经济特区房地产转让条例》或《深圳市土地交易市场管理规定》的规定。</w:t>
      </w:r>
    </w:p>
    <w:p>
      <w:pPr>
        <w:ind w:firstLine="583"/>
        <w:rPr>
          <w:rFonts w:ascii="汉仪书宋二简"/>
        </w:rPr>
      </w:pPr>
      <w:r>
        <w:rPr>
          <w:rFonts w:hint="eastAsia" w:ascii="汉仪书宋二简"/>
        </w:rPr>
        <w:t>17、建筑物必须连同土地使用权一起转让、转让双方签订转让合同并到市产权登记部门办理转移登记手续，按市政府有关规定缴纳税费。</w:t>
      </w:r>
    </w:p>
    <w:p>
      <w:pPr>
        <w:ind w:firstLine="583"/>
        <w:rPr>
          <w:rFonts w:ascii="汉仪书宋二简"/>
        </w:rPr>
      </w:pPr>
      <w:r>
        <w:rPr>
          <w:rFonts w:hint="eastAsia" w:ascii="汉仪书宋二简"/>
        </w:rPr>
        <w:t>18、建筑物连同土地使用权转让后，新的土地使用者仍应遵守本规则。</w:t>
      </w:r>
    </w:p>
    <w:p>
      <w:pPr>
        <w:pStyle w:val="3"/>
      </w:pPr>
      <w:r>
        <w:rPr>
          <w:rFonts w:hint="eastAsia"/>
        </w:rPr>
        <w:t>七、给排水、供电</w:t>
      </w:r>
    </w:p>
    <w:p>
      <w:pPr>
        <w:ind w:firstLine="583"/>
        <w:rPr>
          <w:rFonts w:ascii="汉仪书宋二简"/>
        </w:rPr>
      </w:pPr>
      <w:r>
        <w:rPr>
          <w:rFonts w:hint="eastAsia" w:ascii="汉仪书宋二简"/>
        </w:rPr>
        <w:t>19、土地使用者所需的给排水、供电、供气及电讯等应与市给排水、供电、供气及电讯等部门签订协议书。埋设相应管线设计图应报市政府有关部门审批，经批准后实施。上述所需费用均由土地使用者自行负责。</w:t>
      </w:r>
    </w:p>
    <w:p>
      <w:pPr>
        <w:pStyle w:val="3"/>
      </w:pPr>
      <w:r>
        <w:rPr>
          <w:rFonts w:hint="eastAsia"/>
        </w:rPr>
        <w:t>八、接受检查监督</w:t>
      </w:r>
    </w:p>
    <w:p>
      <w:pPr>
        <w:ind w:firstLine="583"/>
        <w:rPr>
          <w:rFonts w:ascii="汉仪书宋二简"/>
        </w:rPr>
      </w:pPr>
      <w:r>
        <w:rPr>
          <w:rFonts w:hint="eastAsia" w:ascii="汉仪书宋二简"/>
        </w:rPr>
        <w:t>20、在土地使用期间，市规划和自然资源局有权对土地使用者地界范围内的土地使用情况进行检查监督，土地使用者不得拒绝阻挠。</w:t>
      </w:r>
    </w:p>
    <w:p>
      <w:pPr>
        <w:ind w:firstLine="583"/>
        <w:rPr>
          <w:rFonts w:ascii="汉仪书宋二简"/>
        </w:rPr>
      </w:pPr>
      <w:r>
        <w:rPr>
          <w:rFonts w:hint="eastAsia" w:ascii="汉仪书宋二简"/>
        </w:rPr>
        <w:t>21、土地使用者不得以任何理由占用地界范围以外的土地（包括堆放物品、器材等），否则，按违法占地处理。</w:t>
      </w:r>
    </w:p>
    <w:p>
      <w:pPr>
        <w:ind w:firstLine="583"/>
        <w:rPr>
          <w:rFonts w:ascii="汉仪书宋二简"/>
        </w:rPr>
      </w:pPr>
      <w:r>
        <w:rPr>
          <w:rFonts w:hint="eastAsia" w:ascii="汉仪书宋二简"/>
        </w:rPr>
        <w:t>22、土地使用者在用地范围内，应按规定的土地用途和经市政府有关部门批准的施工设计图纸进行建设。</w:t>
      </w:r>
    </w:p>
    <w:p>
      <w:pPr>
        <w:ind w:firstLine="583"/>
        <w:rPr>
          <w:rFonts w:ascii="汉仪书宋二简"/>
        </w:rPr>
      </w:pPr>
      <w:r>
        <w:rPr>
          <w:rFonts w:hint="eastAsia" w:ascii="汉仪书宋二简"/>
        </w:rPr>
        <w:t>23、土地使用者对用地范围内的建筑物，未经相关主管部门批准，不得任意拆除或改建、重建。</w:t>
      </w: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宋体" w:hAnsi="宋体"/>
          <w:szCs w:val="21"/>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ind w:firstLine="583"/>
        <w:rPr>
          <w:rFonts w:ascii="汉仪书宋二简"/>
        </w:rPr>
      </w:pPr>
    </w:p>
    <w:p>
      <w:pPr>
        <w:spacing w:afterLines="100" w:line="600" w:lineRule="exact"/>
        <w:ind w:firstLine="0" w:firstLineChars="0"/>
        <w:rPr>
          <w:rFonts w:eastAsia="汉仪大宋简"/>
          <w:spacing w:val="40"/>
          <w:position w:val="14"/>
          <w:sz w:val="40"/>
        </w:rPr>
      </w:pPr>
    </w:p>
    <w:p>
      <w:pPr>
        <w:spacing w:afterLines="100" w:line="600" w:lineRule="exact"/>
        <w:ind w:firstLine="197" w:firstLineChars="38"/>
        <w:jc w:val="center"/>
        <w:rPr>
          <w:rFonts w:eastAsia="汉仪大宋简"/>
          <w:b/>
          <w:bCs/>
          <w:spacing w:val="40"/>
          <w:sz w:val="32"/>
        </w:rPr>
      </w:pPr>
      <w:r>
        <w:rPr>
          <w:rFonts w:hint="eastAsia" w:eastAsia="汉仪大宋简"/>
          <w:spacing w:val="40"/>
          <w:position w:val="14"/>
          <w:sz w:val="40"/>
        </w:rPr>
        <w:t>附属建筑工程配套项目表</w:t>
      </w:r>
    </w:p>
    <w:p>
      <w:pPr>
        <w:spacing w:afterLines="100"/>
        <w:ind w:firstLine="474"/>
        <w:jc w:val="right"/>
        <w:rPr>
          <w:sz w:val="18"/>
        </w:rPr>
      </w:pPr>
      <w:r>
        <w:rPr>
          <w:rFonts w:hint="eastAsia"/>
          <w:sz w:val="18"/>
        </w:rPr>
        <w:t>（附表一）</w:t>
      </w:r>
    </w:p>
    <w:tbl>
      <w:tblPr>
        <w:tblStyle w:val="9"/>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18"/>
        <w:gridCol w:w="174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418"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建筑面积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1744"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土地面积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1658" w:type="dxa"/>
            <w:tcMar>
              <w:top w:w="57" w:type="dxa"/>
              <w:left w:w="57" w:type="dxa"/>
              <w:bottom w:w="57" w:type="dxa"/>
              <w:right w:w="57" w:type="dxa"/>
            </w:tcMar>
            <w:vAlign w:val="center"/>
          </w:tcPr>
          <w:p>
            <w:pPr>
              <w:spacing w:line="240" w:lineRule="auto"/>
              <w:ind w:firstLine="460"/>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物业服务用房</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350</w:t>
            </w: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r>
              <w:rPr>
                <w:rFonts w:hint="eastAsia"/>
              </w:rPr>
              <w:t>归全体业主所有，由乙方负责建设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418" w:type="dxa"/>
            <w:tcMar>
              <w:top w:w="57" w:type="dxa"/>
              <w:left w:w="57" w:type="dxa"/>
              <w:bottom w:w="57" w:type="dxa"/>
              <w:right w:w="57" w:type="dxa"/>
            </w:tcMar>
            <w:vAlign w:val="center"/>
          </w:tcPr>
          <w:p>
            <w:pPr>
              <w:ind w:firstLine="460"/>
              <w:rPr>
                <w:spacing w:val="0"/>
                <w:w w:val="100"/>
              </w:rPr>
            </w:pPr>
          </w:p>
        </w:tc>
        <w:tc>
          <w:tcPr>
            <w:tcW w:w="1744" w:type="dxa"/>
            <w:tcMar>
              <w:top w:w="57" w:type="dxa"/>
              <w:left w:w="57" w:type="dxa"/>
              <w:bottom w:w="57" w:type="dxa"/>
              <w:right w:w="57" w:type="dxa"/>
            </w:tcMar>
            <w:vAlign w:val="center"/>
          </w:tcPr>
          <w:p>
            <w:pPr>
              <w:ind w:firstLine="460"/>
              <w:rPr>
                <w:spacing w:val="0"/>
                <w:w w:val="100"/>
              </w:rPr>
            </w:pPr>
          </w:p>
        </w:tc>
        <w:tc>
          <w:tcPr>
            <w:tcW w:w="1658" w:type="dxa"/>
            <w:tcMar>
              <w:top w:w="57" w:type="dxa"/>
              <w:left w:w="57" w:type="dxa"/>
              <w:bottom w:w="57" w:type="dxa"/>
              <w:right w:w="57" w:type="dxa"/>
            </w:tcMar>
            <w:vAlign w:val="center"/>
          </w:tcPr>
          <w:p>
            <w:pPr>
              <w:ind w:firstLine="0" w:firstLineChars="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418" w:type="dxa"/>
            <w:tcMar>
              <w:top w:w="57" w:type="dxa"/>
              <w:left w:w="57" w:type="dxa"/>
              <w:bottom w:w="57" w:type="dxa"/>
              <w:right w:w="57" w:type="dxa"/>
            </w:tcMar>
            <w:vAlign w:val="center"/>
          </w:tcPr>
          <w:p>
            <w:pPr>
              <w:ind w:firstLine="460"/>
              <w:rPr>
                <w:spacing w:val="0"/>
                <w:w w:val="100"/>
              </w:rPr>
            </w:pPr>
          </w:p>
        </w:tc>
        <w:tc>
          <w:tcPr>
            <w:tcW w:w="1744" w:type="dxa"/>
            <w:tcMar>
              <w:top w:w="57" w:type="dxa"/>
              <w:left w:w="57" w:type="dxa"/>
              <w:bottom w:w="57" w:type="dxa"/>
              <w:right w:w="57" w:type="dxa"/>
            </w:tcMar>
            <w:vAlign w:val="center"/>
          </w:tcPr>
          <w:p>
            <w:pPr>
              <w:ind w:firstLine="460"/>
              <w:rPr>
                <w:spacing w:val="0"/>
                <w:w w:val="100"/>
              </w:rPr>
            </w:pPr>
          </w:p>
        </w:tc>
        <w:tc>
          <w:tcPr>
            <w:tcW w:w="1658" w:type="dxa"/>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418" w:type="dxa"/>
            <w:tcMar>
              <w:top w:w="57" w:type="dxa"/>
              <w:left w:w="57" w:type="dxa"/>
              <w:bottom w:w="57" w:type="dxa"/>
              <w:right w:w="57" w:type="dxa"/>
            </w:tcMar>
            <w:vAlign w:val="center"/>
          </w:tcPr>
          <w:p>
            <w:pPr>
              <w:ind w:firstLine="460"/>
              <w:rPr>
                <w:spacing w:val="0"/>
                <w:w w:val="100"/>
              </w:rPr>
            </w:pPr>
          </w:p>
        </w:tc>
        <w:tc>
          <w:tcPr>
            <w:tcW w:w="1744" w:type="dxa"/>
            <w:tcMar>
              <w:top w:w="57" w:type="dxa"/>
              <w:left w:w="57" w:type="dxa"/>
              <w:bottom w:w="57" w:type="dxa"/>
              <w:right w:w="57" w:type="dxa"/>
            </w:tcMar>
            <w:vAlign w:val="center"/>
          </w:tcPr>
          <w:p>
            <w:pPr>
              <w:ind w:firstLine="460"/>
              <w:rPr>
                <w:spacing w:val="0"/>
                <w:w w:val="100"/>
              </w:rPr>
            </w:pPr>
          </w:p>
        </w:tc>
        <w:tc>
          <w:tcPr>
            <w:tcW w:w="1658" w:type="dxa"/>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418" w:type="dxa"/>
            <w:tcMar>
              <w:top w:w="57" w:type="dxa"/>
              <w:left w:w="57" w:type="dxa"/>
              <w:bottom w:w="57" w:type="dxa"/>
              <w:right w:w="57" w:type="dxa"/>
            </w:tcMar>
            <w:vAlign w:val="center"/>
          </w:tcPr>
          <w:p>
            <w:pPr>
              <w:ind w:firstLine="460"/>
              <w:rPr>
                <w:spacing w:val="0"/>
                <w:w w:val="100"/>
              </w:rPr>
            </w:pPr>
          </w:p>
        </w:tc>
        <w:tc>
          <w:tcPr>
            <w:tcW w:w="1744" w:type="dxa"/>
            <w:tcMar>
              <w:top w:w="57" w:type="dxa"/>
              <w:left w:w="57" w:type="dxa"/>
              <w:bottom w:w="57" w:type="dxa"/>
              <w:right w:w="57" w:type="dxa"/>
            </w:tcMar>
            <w:vAlign w:val="center"/>
          </w:tcPr>
          <w:p>
            <w:pPr>
              <w:ind w:firstLine="460"/>
              <w:rPr>
                <w:spacing w:val="0"/>
                <w:w w:val="100"/>
              </w:rPr>
            </w:pPr>
          </w:p>
        </w:tc>
        <w:tc>
          <w:tcPr>
            <w:tcW w:w="1658" w:type="dxa"/>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418" w:type="dxa"/>
            <w:tcMar>
              <w:top w:w="57" w:type="dxa"/>
              <w:left w:w="57" w:type="dxa"/>
              <w:bottom w:w="57" w:type="dxa"/>
              <w:right w:w="57" w:type="dxa"/>
            </w:tcMar>
            <w:vAlign w:val="center"/>
          </w:tcPr>
          <w:p>
            <w:pPr>
              <w:ind w:firstLine="460"/>
              <w:rPr>
                <w:spacing w:val="0"/>
                <w:w w:val="100"/>
              </w:rPr>
            </w:pPr>
          </w:p>
        </w:tc>
        <w:tc>
          <w:tcPr>
            <w:tcW w:w="1744" w:type="dxa"/>
            <w:tcMar>
              <w:top w:w="57" w:type="dxa"/>
              <w:left w:w="57" w:type="dxa"/>
              <w:bottom w:w="57" w:type="dxa"/>
              <w:right w:w="57" w:type="dxa"/>
            </w:tcMar>
            <w:vAlign w:val="center"/>
          </w:tcPr>
          <w:p>
            <w:pPr>
              <w:ind w:firstLine="460"/>
              <w:rPr>
                <w:spacing w:val="0"/>
                <w:w w:val="100"/>
              </w:rPr>
            </w:pPr>
          </w:p>
        </w:tc>
        <w:tc>
          <w:tcPr>
            <w:tcW w:w="1658" w:type="dxa"/>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0" w:firstLineChars="0"/>
              <w:jc w:val="center"/>
              <w:rPr>
                <w:spacing w:val="0"/>
                <w:w w:val="100"/>
              </w:rPr>
            </w:pPr>
          </w:p>
        </w:tc>
        <w:tc>
          <w:tcPr>
            <w:tcW w:w="1418" w:type="dxa"/>
            <w:tcMar>
              <w:top w:w="57" w:type="dxa"/>
              <w:left w:w="57" w:type="dxa"/>
              <w:bottom w:w="57" w:type="dxa"/>
              <w:right w:w="57" w:type="dxa"/>
            </w:tcMar>
            <w:vAlign w:val="center"/>
          </w:tcPr>
          <w:p>
            <w:pPr>
              <w:ind w:firstLine="0" w:firstLineChars="0"/>
              <w:jc w:val="center"/>
              <w:rPr>
                <w:spacing w:val="0"/>
                <w:w w:val="100"/>
              </w:rPr>
            </w:pPr>
          </w:p>
        </w:tc>
        <w:tc>
          <w:tcPr>
            <w:tcW w:w="1744" w:type="dxa"/>
            <w:tcMar>
              <w:top w:w="57" w:type="dxa"/>
              <w:left w:w="57" w:type="dxa"/>
              <w:bottom w:w="57" w:type="dxa"/>
              <w:right w:w="57" w:type="dxa"/>
            </w:tcMar>
            <w:vAlign w:val="center"/>
          </w:tcPr>
          <w:p>
            <w:pPr>
              <w:ind w:firstLine="0" w:firstLineChars="0"/>
              <w:jc w:val="center"/>
              <w:rPr>
                <w:spacing w:val="0"/>
                <w:w w:val="100"/>
              </w:rPr>
            </w:pPr>
          </w:p>
        </w:tc>
        <w:tc>
          <w:tcPr>
            <w:tcW w:w="1658" w:type="dxa"/>
            <w:tcMar>
              <w:top w:w="57" w:type="dxa"/>
              <w:left w:w="57" w:type="dxa"/>
              <w:bottom w:w="57" w:type="dxa"/>
              <w:right w:w="57" w:type="dxa"/>
            </w:tcMar>
            <w:vAlign w:val="center"/>
          </w:tcPr>
          <w:p>
            <w:pPr>
              <w:ind w:firstLine="0" w:firstLineChars="0"/>
              <w:jc w:val="center"/>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418" w:type="dxa"/>
            <w:tcMar>
              <w:top w:w="57" w:type="dxa"/>
              <w:left w:w="57" w:type="dxa"/>
              <w:bottom w:w="57" w:type="dxa"/>
              <w:right w:w="57" w:type="dxa"/>
            </w:tcMar>
            <w:vAlign w:val="center"/>
          </w:tcPr>
          <w:p>
            <w:pPr>
              <w:ind w:firstLine="474"/>
              <w:jc w:val="center"/>
              <w:rPr>
                <w:sz w:val="18"/>
              </w:rPr>
            </w:pPr>
          </w:p>
        </w:tc>
        <w:tc>
          <w:tcPr>
            <w:tcW w:w="1744" w:type="dxa"/>
            <w:tcMar>
              <w:top w:w="57" w:type="dxa"/>
              <w:left w:w="57" w:type="dxa"/>
              <w:bottom w:w="57" w:type="dxa"/>
              <w:right w:w="57" w:type="dxa"/>
            </w:tcMar>
            <w:vAlign w:val="center"/>
          </w:tcPr>
          <w:p>
            <w:pPr>
              <w:ind w:firstLine="474"/>
              <w:jc w:val="center"/>
              <w:rPr>
                <w:sz w:val="18"/>
              </w:rPr>
            </w:pPr>
          </w:p>
        </w:tc>
        <w:tc>
          <w:tcPr>
            <w:tcW w:w="1658" w:type="dxa"/>
            <w:tcMar>
              <w:top w:w="57" w:type="dxa"/>
              <w:left w:w="57" w:type="dxa"/>
              <w:bottom w:w="57" w:type="dxa"/>
              <w:right w:w="57" w:type="dxa"/>
            </w:tcMar>
            <w:vAlign w:val="center"/>
          </w:tcPr>
          <w:p>
            <w:pPr>
              <w:ind w:firstLine="474"/>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418" w:type="dxa"/>
            <w:tcMar>
              <w:top w:w="57" w:type="dxa"/>
              <w:left w:w="57" w:type="dxa"/>
              <w:bottom w:w="57" w:type="dxa"/>
              <w:right w:w="57" w:type="dxa"/>
            </w:tcMar>
            <w:vAlign w:val="center"/>
          </w:tcPr>
          <w:p>
            <w:pPr>
              <w:ind w:firstLine="474"/>
              <w:jc w:val="center"/>
              <w:rPr>
                <w:sz w:val="18"/>
              </w:rPr>
            </w:pPr>
          </w:p>
        </w:tc>
        <w:tc>
          <w:tcPr>
            <w:tcW w:w="1744" w:type="dxa"/>
            <w:tcMar>
              <w:top w:w="57" w:type="dxa"/>
              <w:left w:w="57" w:type="dxa"/>
              <w:bottom w:w="57" w:type="dxa"/>
              <w:right w:w="57" w:type="dxa"/>
            </w:tcMar>
            <w:vAlign w:val="center"/>
          </w:tcPr>
          <w:p>
            <w:pPr>
              <w:ind w:firstLine="474"/>
              <w:jc w:val="center"/>
              <w:rPr>
                <w:sz w:val="18"/>
              </w:rPr>
            </w:pPr>
          </w:p>
        </w:tc>
        <w:tc>
          <w:tcPr>
            <w:tcW w:w="1658" w:type="dxa"/>
            <w:tcMar>
              <w:top w:w="57" w:type="dxa"/>
              <w:left w:w="57" w:type="dxa"/>
              <w:bottom w:w="57" w:type="dxa"/>
              <w:right w:w="57" w:type="dxa"/>
            </w:tcMar>
            <w:vAlign w:val="center"/>
          </w:tcPr>
          <w:p>
            <w:pPr>
              <w:ind w:firstLine="474"/>
              <w:jc w:val="center"/>
              <w:rPr>
                <w:sz w:val="18"/>
              </w:rPr>
            </w:pPr>
          </w:p>
        </w:tc>
      </w:tr>
    </w:tbl>
    <w:p>
      <w:pPr>
        <w:spacing w:afterLines="100" w:line="600" w:lineRule="exact"/>
        <w:ind w:firstLine="0" w:firstLineChars="0"/>
        <w:rPr>
          <w:sz w:val="18"/>
        </w:rPr>
      </w:pPr>
      <w:r>
        <w:rPr>
          <w:sz w:val="18"/>
        </w:rPr>
        <w:br w:type="page"/>
      </w:r>
    </w:p>
    <w:p>
      <w:pPr>
        <w:spacing w:afterLines="100" w:line="600" w:lineRule="exact"/>
        <w:ind w:firstLine="1035"/>
        <w:jc w:val="center"/>
        <w:rPr>
          <w:rFonts w:eastAsia="汉仪大宋简"/>
          <w:b/>
          <w:bCs/>
          <w:spacing w:val="40"/>
          <w:sz w:val="32"/>
        </w:rPr>
      </w:pPr>
      <w:r>
        <w:rPr>
          <w:rFonts w:hint="eastAsia" w:eastAsia="汉仪大宋简"/>
          <w:spacing w:val="40"/>
          <w:position w:val="14"/>
          <w:sz w:val="40"/>
        </w:rPr>
        <w:t>附属公益工程配套项目表</w:t>
      </w:r>
    </w:p>
    <w:p>
      <w:pPr>
        <w:spacing w:afterLines="100"/>
        <w:ind w:firstLine="474"/>
        <w:jc w:val="right"/>
        <w:rPr>
          <w:sz w:val="18"/>
        </w:rPr>
      </w:pPr>
      <w:r>
        <w:rPr>
          <w:rFonts w:hint="eastAsia"/>
          <w:sz w:val="18"/>
        </w:rPr>
        <w:t>（附表二）</w:t>
      </w:r>
    </w:p>
    <w:tbl>
      <w:tblPr>
        <w:tblStyle w:val="9"/>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323"/>
        <w:gridCol w:w="129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323"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建筑面积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1290"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土地面积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2365" w:type="dxa"/>
            <w:tcMar>
              <w:top w:w="57" w:type="dxa"/>
              <w:left w:w="57" w:type="dxa"/>
              <w:bottom w:w="57" w:type="dxa"/>
              <w:right w:w="57" w:type="dxa"/>
            </w:tcMar>
            <w:vAlign w:val="center"/>
          </w:tcPr>
          <w:p>
            <w:pPr>
              <w:spacing w:line="240" w:lineRule="auto"/>
              <w:ind w:firstLine="460"/>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rPr>
                <w:rFonts w:ascii="汉仪书宋二简"/>
              </w:rPr>
            </w:pPr>
            <w:r>
              <w:rPr>
                <w:rFonts w:hint="eastAsia" w:ascii="汉仪书宋二简"/>
              </w:rPr>
              <w:t>社区体育活动场地</w:t>
            </w: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p>
        </w:tc>
        <w:tc>
          <w:tcPr>
            <w:tcW w:w="129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pPr>
            <w:r>
              <w:rPr>
                <w:rFonts w:hint="eastAsia"/>
              </w:rPr>
              <w:t>600</w:t>
            </w:r>
          </w:p>
        </w:tc>
        <w:tc>
          <w:tcPr>
            <w:tcW w:w="236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rFonts w:ascii="汉仪书宋二简"/>
              </w:rPr>
            </w:pPr>
            <w:r>
              <w:rPr>
                <w:rFonts w:hint="eastAsia" w:ascii="汉仪书宋二简"/>
              </w:rPr>
              <w:t>含3人制篮球场、儿童活动场所及户外健身场地，由乙方负责建设，不得改变功能，建成后供公众使用。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2</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pPr>
            <w:r>
              <w:rPr>
                <w:rFonts w:hint="eastAsia" w:ascii="汉仪书宋二简"/>
              </w:rPr>
              <w:t>公交首末站</w:t>
            </w: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2500</w:t>
            </w:r>
          </w:p>
        </w:tc>
        <w:tc>
          <w:tcPr>
            <w:tcW w:w="129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pPr>
          </w:p>
        </w:tc>
        <w:tc>
          <w:tcPr>
            <w:tcW w:w="2365" w:type="dxa"/>
            <w:vMerge w:val="restart"/>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r>
              <w:rPr>
                <w:rFonts w:hint="eastAsia" w:ascii="汉仪书宋二简"/>
              </w:rPr>
              <w:t>产权归政府，建成后无偿移交政府。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3</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rPr>
                <w:rFonts w:ascii="汉仪书宋二简"/>
              </w:rPr>
            </w:pPr>
            <w:r>
              <w:rPr>
                <w:rFonts w:hint="eastAsia" w:ascii="汉仪书宋二简"/>
              </w:rPr>
              <w:t>6班幼儿园</w:t>
            </w: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1980</w:t>
            </w:r>
          </w:p>
        </w:tc>
        <w:tc>
          <w:tcPr>
            <w:tcW w:w="129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pPr>
            <w:r>
              <w:rPr>
                <w:rFonts w:hint="eastAsia"/>
              </w:rPr>
              <w:t>1810</w:t>
            </w:r>
          </w:p>
        </w:tc>
        <w:tc>
          <w:tcPr>
            <w:tcW w:w="2365"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920" w:type="dxa"/>
            <w:tcMar>
              <w:top w:w="57" w:type="dxa"/>
              <w:left w:w="57" w:type="dxa"/>
              <w:bottom w:w="57" w:type="dxa"/>
              <w:right w:w="57" w:type="dxa"/>
            </w:tcMar>
            <w:vAlign w:val="center"/>
          </w:tcPr>
          <w:p>
            <w:pPr>
              <w:ind w:firstLine="0" w:firstLineChars="0"/>
              <w:jc w:val="center"/>
              <w:rPr>
                <w:spacing w:val="0"/>
                <w:w w:val="100"/>
              </w:rPr>
            </w:pPr>
            <w:r>
              <w:rPr>
                <w:rFonts w:hint="eastAsia"/>
                <w:spacing w:val="0"/>
                <w:w w:val="100"/>
              </w:rPr>
              <w:t>4</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rPr>
                <w:rFonts w:ascii="汉仪书宋二简"/>
              </w:rPr>
            </w:pPr>
            <w:r>
              <w:rPr>
                <w:rFonts w:hint="eastAsia" w:ascii="汉仪书宋二简"/>
              </w:rPr>
              <w:t>社区管理用房</w:t>
            </w: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300</w:t>
            </w:r>
          </w:p>
        </w:tc>
        <w:tc>
          <w:tcPr>
            <w:tcW w:w="1290" w:type="dxa"/>
            <w:tcMar>
              <w:top w:w="57" w:type="dxa"/>
              <w:left w:w="57" w:type="dxa"/>
              <w:bottom w:w="57" w:type="dxa"/>
              <w:right w:w="57" w:type="dxa"/>
            </w:tcMar>
            <w:vAlign w:val="center"/>
          </w:tcPr>
          <w:p>
            <w:pPr>
              <w:ind w:firstLine="460"/>
              <w:rPr>
                <w:spacing w:val="0"/>
                <w:w w:val="100"/>
              </w:rPr>
            </w:pPr>
          </w:p>
        </w:tc>
        <w:tc>
          <w:tcPr>
            <w:tcW w:w="2365" w:type="dxa"/>
            <w:vMerge w:val="continue"/>
            <w:tcMar>
              <w:top w:w="57" w:type="dxa"/>
              <w:left w:w="57" w:type="dxa"/>
              <w:bottom w:w="57" w:type="dxa"/>
              <w:right w:w="57" w:type="dxa"/>
            </w:tcMar>
            <w:vAlign w:val="center"/>
          </w:tcPr>
          <w:p>
            <w:pPr>
              <w:ind w:firstLine="0" w:firstLineChars="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r>
              <w:rPr>
                <w:rFonts w:hint="eastAsia"/>
                <w:spacing w:val="0"/>
                <w:w w:val="100"/>
              </w:rPr>
              <w:t>5</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rPr>
                <w:rFonts w:ascii="汉仪书宋二简"/>
              </w:rPr>
            </w:pPr>
            <w:r>
              <w:rPr>
                <w:rFonts w:hint="eastAsia" w:ascii="汉仪书宋二简"/>
              </w:rPr>
              <w:t>社区警务室</w:t>
            </w: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r>
              <w:rPr>
                <w:rFonts w:hint="eastAsia"/>
              </w:rPr>
              <w:t>100</w:t>
            </w:r>
          </w:p>
        </w:tc>
        <w:tc>
          <w:tcPr>
            <w:tcW w:w="1290" w:type="dxa"/>
            <w:tcMar>
              <w:top w:w="57" w:type="dxa"/>
              <w:left w:w="57" w:type="dxa"/>
              <w:bottom w:w="57" w:type="dxa"/>
              <w:right w:w="57" w:type="dxa"/>
            </w:tcMar>
            <w:vAlign w:val="center"/>
          </w:tcPr>
          <w:p>
            <w:pPr>
              <w:ind w:firstLine="460"/>
              <w:rPr>
                <w:spacing w:val="0"/>
                <w:w w:val="100"/>
              </w:rPr>
            </w:pPr>
          </w:p>
        </w:tc>
        <w:tc>
          <w:tcPr>
            <w:tcW w:w="2365" w:type="dxa"/>
            <w:vMerge w:val="continue"/>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0" w:firstLineChars="0"/>
              <w:jc w:val="left"/>
              <w:rPr>
                <w:spacing w:val="0"/>
                <w:w w:val="100"/>
              </w:rPr>
            </w:pPr>
          </w:p>
        </w:tc>
        <w:tc>
          <w:tcPr>
            <w:tcW w:w="1323"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left"/>
            </w:pPr>
          </w:p>
        </w:tc>
        <w:tc>
          <w:tcPr>
            <w:tcW w:w="1290" w:type="dxa"/>
            <w:tcMar>
              <w:top w:w="57" w:type="dxa"/>
              <w:left w:w="57" w:type="dxa"/>
              <w:bottom w:w="57" w:type="dxa"/>
              <w:right w:w="57" w:type="dxa"/>
            </w:tcMar>
            <w:vAlign w:val="center"/>
          </w:tcPr>
          <w:p>
            <w:pPr>
              <w:ind w:firstLine="460"/>
              <w:rPr>
                <w:spacing w:val="0"/>
                <w:w w:val="100"/>
              </w:rPr>
            </w:pPr>
          </w:p>
        </w:tc>
        <w:tc>
          <w:tcPr>
            <w:tcW w:w="2365" w:type="dxa"/>
            <w:vMerge w:val="continue"/>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323" w:type="dxa"/>
            <w:tcMar>
              <w:top w:w="57" w:type="dxa"/>
              <w:left w:w="57" w:type="dxa"/>
              <w:bottom w:w="57" w:type="dxa"/>
              <w:right w:w="57" w:type="dxa"/>
            </w:tcMar>
            <w:vAlign w:val="center"/>
          </w:tcPr>
          <w:p>
            <w:pPr>
              <w:ind w:firstLine="460"/>
              <w:rPr>
                <w:spacing w:val="0"/>
                <w:w w:val="100"/>
              </w:rPr>
            </w:pPr>
          </w:p>
        </w:tc>
        <w:tc>
          <w:tcPr>
            <w:tcW w:w="1290" w:type="dxa"/>
            <w:tcMar>
              <w:top w:w="57" w:type="dxa"/>
              <w:left w:w="57" w:type="dxa"/>
              <w:bottom w:w="57" w:type="dxa"/>
              <w:right w:w="57" w:type="dxa"/>
            </w:tcMar>
            <w:vAlign w:val="center"/>
          </w:tcPr>
          <w:p>
            <w:pPr>
              <w:ind w:firstLine="460"/>
              <w:rPr>
                <w:spacing w:val="0"/>
                <w:w w:val="100"/>
              </w:rPr>
            </w:pPr>
          </w:p>
        </w:tc>
        <w:tc>
          <w:tcPr>
            <w:tcW w:w="2365" w:type="dxa"/>
            <w:vMerge w:val="continue"/>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460"/>
              <w:rPr>
                <w:spacing w:val="0"/>
                <w:w w:val="100"/>
              </w:rPr>
            </w:pPr>
          </w:p>
        </w:tc>
        <w:tc>
          <w:tcPr>
            <w:tcW w:w="1323" w:type="dxa"/>
            <w:tcMar>
              <w:top w:w="57" w:type="dxa"/>
              <w:left w:w="57" w:type="dxa"/>
              <w:bottom w:w="57" w:type="dxa"/>
              <w:right w:w="57" w:type="dxa"/>
            </w:tcMar>
            <w:vAlign w:val="center"/>
          </w:tcPr>
          <w:p>
            <w:pPr>
              <w:ind w:firstLine="460"/>
              <w:rPr>
                <w:spacing w:val="0"/>
                <w:w w:val="100"/>
              </w:rPr>
            </w:pPr>
          </w:p>
        </w:tc>
        <w:tc>
          <w:tcPr>
            <w:tcW w:w="1290" w:type="dxa"/>
            <w:tcMar>
              <w:top w:w="57" w:type="dxa"/>
              <w:left w:w="57" w:type="dxa"/>
              <w:bottom w:w="57" w:type="dxa"/>
              <w:right w:w="57" w:type="dxa"/>
            </w:tcMar>
            <w:vAlign w:val="center"/>
          </w:tcPr>
          <w:p>
            <w:pPr>
              <w:ind w:firstLine="460"/>
              <w:rPr>
                <w:spacing w:val="0"/>
                <w:w w:val="100"/>
              </w:rPr>
            </w:pPr>
          </w:p>
        </w:tc>
        <w:tc>
          <w:tcPr>
            <w:tcW w:w="2365" w:type="dxa"/>
            <w:vMerge w:val="continue"/>
            <w:tcMar>
              <w:top w:w="57" w:type="dxa"/>
              <w:left w:w="57" w:type="dxa"/>
              <w:bottom w:w="57" w:type="dxa"/>
              <w:right w:w="57" w:type="dxa"/>
            </w:tcMar>
            <w:vAlign w:val="center"/>
          </w:tcPr>
          <w:p>
            <w:pPr>
              <w:ind w:firstLine="460"/>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spacing w:val="0"/>
                <w:w w:val="100"/>
              </w:rPr>
            </w:pPr>
          </w:p>
        </w:tc>
        <w:tc>
          <w:tcPr>
            <w:tcW w:w="2539" w:type="dxa"/>
            <w:tcMar>
              <w:top w:w="57" w:type="dxa"/>
              <w:left w:w="57" w:type="dxa"/>
              <w:bottom w:w="57" w:type="dxa"/>
              <w:right w:w="57" w:type="dxa"/>
            </w:tcMar>
            <w:vAlign w:val="center"/>
          </w:tcPr>
          <w:p>
            <w:pPr>
              <w:ind w:firstLine="0" w:firstLineChars="0"/>
              <w:jc w:val="center"/>
              <w:rPr>
                <w:spacing w:val="0"/>
                <w:w w:val="100"/>
              </w:rPr>
            </w:pPr>
          </w:p>
        </w:tc>
        <w:tc>
          <w:tcPr>
            <w:tcW w:w="1323" w:type="dxa"/>
            <w:tcMar>
              <w:top w:w="57" w:type="dxa"/>
              <w:left w:w="57" w:type="dxa"/>
              <w:bottom w:w="57" w:type="dxa"/>
              <w:right w:w="57" w:type="dxa"/>
            </w:tcMar>
            <w:vAlign w:val="center"/>
          </w:tcPr>
          <w:p>
            <w:pPr>
              <w:ind w:firstLine="0" w:firstLineChars="0"/>
              <w:jc w:val="center"/>
              <w:rPr>
                <w:spacing w:val="0"/>
                <w:w w:val="100"/>
              </w:rPr>
            </w:pPr>
          </w:p>
        </w:tc>
        <w:tc>
          <w:tcPr>
            <w:tcW w:w="1290" w:type="dxa"/>
            <w:tcMar>
              <w:top w:w="57" w:type="dxa"/>
              <w:left w:w="57" w:type="dxa"/>
              <w:bottom w:w="57" w:type="dxa"/>
              <w:right w:w="57" w:type="dxa"/>
            </w:tcMar>
            <w:vAlign w:val="center"/>
          </w:tcPr>
          <w:p>
            <w:pPr>
              <w:ind w:firstLine="0" w:firstLineChars="0"/>
              <w:jc w:val="center"/>
              <w:rPr>
                <w:spacing w:val="0"/>
                <w:w w:val="100"/>
              </w:rPr>
            </w:pPr>
          </w:p>
        </w:tc>
        <w:tc>
          <w:tcPr>
            <w:tcW w:w="2365" w:type="dxa"/>
            <w:vMerge w:val="continue"/>
            <w:tcMar>
              <w:top w:w="57" w:type="dxa"/>
              <w:left w:w="57" w:type="dxa"/>
              <w:bottom w:w="57" w:type="dxa"/>
              <w:right w:w="57" w:type="dxa"/>
            </w:tcMar>
            <w:vAlign w:val="center"/>
          </w:tcPr>
          <w:p>
            <w:pPr>
              <w:ind w:firstLine="0" w:firstLineChars="0"/>
              <w:jc w:val="center"/>
              <w:rPr>
                <w:spacing w:val="0"/>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323" w:type="dxa"/>
            <w:tcMar>
              <w:top w:w="57" w:type="dxa"/>
              <w:left w:w="57" w:type="dxa"/>
              <w:bottom w:w="57" w:type="dxa"/>
              <w:right w:w="57" w:type="dxa"/>
            </w:tcMar>
            <w:vAlign w:val="center"/>
          </w:tcPr>
          <w:p>
            <w:pPr>
              <w:ind w:firstLine="474"/>
              <w:jc w:val="center"/>
              <w:rPr>
                <w:sz w:val="18"/>
              </w:rPr>
            </w:pPr>
          </w:p>
        </w:tc>
        <w:tc>
          <w:tcPr>
            <w:tcW w:w="1290" w:type="dxa"/>
            <w:tcMar>
              <w:top w:w="57" w:type="dxa"/>
              <w:left w:w="57" w:type="dxa"/>
              <w:bottom w:w="57" w:type="dxa"/>
              <w:right w:w="57" w:type="dxa"/>
            </w:tcMar>
            <w:vAlign w:val="center"/>
          </w:tcPr>
          <w:p>
            <w:pPr>
              <w:ind w:firstLine="474"/>
              <w:jc w:val="center"/>
              <w:rPr>
                <w:sz w:val="18"/>
              </w:rPr>
            </w:pPr>
          </w:p>
        </w:tc>
        <w:tc>
          <w:tcPr>
            <w:tcW w:w="2365" w:type="dxa"/>
            <w:vMerge w:val="continue"/>
            <w:tcMar>
              <w:top w:w="57" w:type="dxa"/>
              <w:left w:w="57" w:type="dxa"/>
              <w:bottom w:w="57" w:type="dxa"/>
              <w:right w:w="57" w:type="dxa"/>
            </w:tcMar>
            <w:vAlign w:val="center"/>
          </w:tcPr>
          <w:p>
            <w:pPr>
              <w:ind w:firstLine="474"/>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323" w:type="dxa"/>
            <w:tcMar>
              <w:top w:w="57" w:type="dxa"/>
              <w:left w:w="57" w:type="dxa"/>
              <w:bottom w:w="57" w:type="dxa"/>
              <w:right w:w="57" w:type="dxa"/>
            </w:tcMar>
            <w:vAlign w:val="center"/>
          </w:tcPr>
          <w:p>
            <w:pPr>
              <w:ind w:firstLine="474"/>
              <w:jc w:val="center"/>
              <w:rPr>
                <w:sz w:val="18"/>
              </w:rPr>
            </w:pPr>
          </w:p>
        </w:tc>
        <w:tc>
          <w:tcPr>
            <w:tcW w:w="1290" w:type="dxa"/>
            <w:tcMar>
              <w:top w:w="57" w:type="dxa"/>
              <w:left w:w="57" w:type="dxa"/>
              <w:bottom w:w="57" w:type="dxa"/>
              <w:right w:w="57" w:type="dxa"/>
            </w:tcMar>
            <w:vAlign w:val="center"/>
          </w:tcPr>
          <w:p>
            <w:pPr>
              <w:ind w:firstLine="474"/>
              <w:jc w:val="center"/>
              <w:rPr>
                <w:sz w:val="18"/>
              </w:rPr>
            </w:pPr>
          </w:p>
        </w:tc>
        <w:tc>
          <w:tcPr>
            <w:tcW w:w="2365" w:type="dxa"/>
            <w:vMerge w:val="continue"/>
            <w:tcMar>
              <w:top w:w="57" w:type="dxa"/>
              <w:left w:w="57" w:type="dxa"/>
              <w:bottom w:w="57" w:type="dxa"/>
              <w:right w:w="57" w:type="dxa"/>
            </w:tcMar>
            <w:vAlign w:val="center"/>
          </w:tcPr>
          <w:p>
            <w:pPr>
              <w:ind w:firstLine="474"/>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323" w:type="dxa"/>
            <w:tcMar>
              <w:top w:w="57" w:type="dxa"/>
              <w:left w:w="57" w:type="dxa"/>
              <w:bottom w:w="57" w:type="dxa"/>
              <w:right w:w="57" w:type="dxa"/>
            </w:tcMar>
            <w:vAlign w:val="center"/>
          </w:tcPr>
          <w:p>
            <w:pPr>
              <w:ind w:firstLine="474"/>
              <w:jc w:val="center"/>
              <w:rPr>
                <w:sz w:val="18"/>
              </w:rPr>
            </w:pPr>
          </w:p>
        </w:tc>
        <w:tc>
          <w:tcPr>
            <w:tcW w:w="1290" w:type="dxa"/>
            <w:tcMar>
              <w:top w:w="57" w:type="dxa"/>
              <w:left w:w="57" w:type="dxa"/>
              <w:bottom w:w="57" w:type="dxa"/>
              <w:right w:w="57" w:type="dxa"/>
            </w:tcMar>
            <w:vAlign w:val="center"/>
          </w:tcPr>
          <w:p>
            <w:pPr>
              <w:ind w:firstLine="474"/>
              <w:jc w:val="center"/>
              <w:rPr>
                <w:sz w:val="18"/>
              </w:rPr>
            </w:pPr>
          </w:p>
        </w:tc>
        <w:tc>
          <w:tcPr>
            <w:tcW w:w="2365" w:type="dxa"/>
            <w:vMerge w:val="continue"/>
            <w:tcMar>
              <w:top w:w="57" w:type="dxa"/>
              <w:left w:w="57" w:type="dxa"/>
              <w:bottom w:w="57" w:type="dxa"/>
              <w:right w:w="57" w:type="dxa"/>
            </w:tcMar>
            <w:vAlign w:val="center"/>
          </w:tcPr>
          <w:p>
            <w:pPr>
              <w:ind w:firstLine="474"/>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sz w:val="18"/>
              </w:rPr>
            </w:pPr>
          </w:p>
        </w:tc>
        <w:tc>
          <w:tcPr>
            <w:tcW w:w="2539" w:type="dxa"/>
            <w:tcMar>
              <w:top w:w="57" w:type="dxa"/>
              <w:left w:w="57" w:type="dxa"/>
              <w:bottom w:w="57" w:type="dxa"/>
              <w:right w:w="57" w:type="dxa"/>
            </w:tcMar>
            <w:vAlign w:val="center"/>
          </w:tcPr>
          <w:p>
            <w:pPr>
              <w:ind w:firstLine="474"/>
              <w:jc w:val="center"/>
              <w:rPr>
                <w:sz w:val="18"/>
              </w:rPr>
            </w:pPr>
          </w:p>
        </w:tc>
        <w:tc>
          <w:tcPr>
            <w:tcW w:w="1323" w:type="dxa"/>
            <w:tcMar>
              <w:top w:w="57" w:type="dxa"/>
              <w:left w:w="57" w:type="dxa"/>
              <w:bottom w:w="57" w:type="dxa"/>
              <w:right w:w="57" w:type="dxa"/>
            </w:tcMar>
            <w:vAlign w:val="center"/>
          </w:tcPr>
          <w:p>
            <w:pPr>
              <w:ind w:firstLine="474"/>
              <w:jc w:val="center"/>
              <w:rPr>
                <w:sz w:val="18"/>
              </w:rPr>
            </w:pPr>
          </w:p>
        </w:tc>
        <w:tc>
          <w:tcPr>
            <w:tcW w:w="1290" w:type="dxa"/>
            <w:tcMar>
              <w:top w:w="57" w:type="dxa"/>
              <w:left w:w="57" w:type="dxa"/>
              <w:bottom w:w="57" w:type="dxa"/>
              <w:right w:w="57" w:type="dxa"/>
            </w:tcMar>
            <w:vAlign w:val="center"/>
          </w:tcPr>
          <w:p>
            <w:pPr>
              <w:ind w:firstLine="474"/>
              <w:jc w:val="center"/>
              <w:rPr>
                <w:sz w:val="18"/>
              </w:rPr>
            </w:pPr>
          </w:p>
        </w:tc>
        <w:tc>
          <w:tcPr>
            <w:tcW w:w="2365" w:type="dxa"/>
            <w:vMerge w:val="continue"/>
            <w:tcMar>
              <w:top w:w="57" w:type="dxa"/>
              <w:left w:w="57" w:type="dxa"/>
              <w:bottom w:w="57" w:type="dxa"/>
              <w:right w:w="57" w:type="dxa"/>
            </w:tcMar>
            <w:vAlign w:val="center"/>
          </w:tcPr>
          <w:p>
            <w:pPr>
              <w:ind w:firstLine="474"/>
              <w:jc w:val="center"/>
              <w:rPr>
                <w:sz w:val="18"/>
              </w:rPr>
            </w:pPr>
          </w:p>
        </w:tc>
      </w:tr>
    </w:tbl>
    <w:p>
      <w:pPr>
        <w:spacing w:afterLines="100" w:line="600" w:lineRule="exact"/>
        <w:ind w:firstLine="1560" w:firstLineChars="300"/>
        <w:rPr>
          <w:rFonts w:eastAsia="汉仪大宋简"/>
          <w:b/>
          <w:bCs/>
          <w:spacing w:val="40"/>
          <w:sz w:val="32"/>
        </w:rPr>
      </w:pPr>
      <w:r>
        <w:rPr>
          <w:rFonts w:hint="eastAsia" w:eastAsia="汉仪大宋简"/>
          <w:spacing w:val="40"/>
          <w:position w:val="14"/>
          <w:sz w:val="40"/>
        </w:rPr>
        <w:t>附属市政工程配套项目表</w:t>
      </w:r>
    </w:p>
    <w:p>
      <w:pPr>
        <w:spacing w:afterLines="100"/>
        <w:ind w:firstLine="474"/>
        <w:jc w:val="right"/>
        <w:rPr>
          <w:sz w:val="18"/>
        </w:rPr>
      </w:pPr>
      <w:r>
        <w:rPr>
          <w:rFonts w:hint="eastAsia"/>
          <w:sz w:val="18"/>
        </w:rPr>
        <w:t>（附表三）</w:t>
      </w:r>
    </w:p>
    <w:tbl>
      <w:tblPr>
        <w:tblStyle w:val="9"/>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656"/>
        <w:gridCol w:w="165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392"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656"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建筑面积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1656" w:type="dxa"/>
            <w:tcMar>
              <w:top w:w="57" w:type="dxa"/>
              <w:left w:w="57" w:type="dxa"/>
              <w:bottom w:w="57" w:type="dxa"/>
              <w:right w:w="57" w:type="dxa"/>
            </w:tcMar>
            <w:vAlign w:val="center"/>
          </w:tcPr>
          <w:p>
            <w:pPr>
              <w:spacing w:line="240" w:lineRule="auto"/>
              <w:ind w:firstLine="197" w:firstLineChars="86"/>
              <w:rPr>
                <w:spacing w:val="0"/>
                <w:w w:val="100"/>
              </w:rPr>
            </w:pPr>
            <w:r>
              <w:rPr>
                <w:rFonts w:hint="eastAsia"/>
                <w:spacing w:val="0"/>
                <w:w w:val="100"/>
              </w:rPr>
              <w:t>土地面积</w:t>
            </w:r>
          </w:p>
          <w:p>
            <w:pPr>
              <w:spacing w:line="240" w:lineRule="auto"/>
              <w:ind w:firstLine="197" w:firstLineChars="86"/>
              <w:rPr>
                <w:spacing w:val="0"/>
                <w:w w:val="100"/>
              </w:rPr>
            </w:pPr>
            <w:r>
              <w:rPr>
                <w:rFonts w:hint="eastAsia"/>
                <w:spacing w:val="0"/>
                <w:w w:val="100"/>
              </w:rPr>
              <w:t>（</w:t>
            </w:r>
            <w:r>
              <w:rPr>
                <w:spacing w:val="0"/>
                <w:w w:val="100"/>
              </w:rPr>
              <w:t>m²</w:t>
            </w:r>
            <w:r>
              <w:rPr>
                <w:rFonts w:hint="eastAsia"/>
                <w:spacing w:val="0"/>
                <w:w w:val="100"/>
              </w:rPr>
              <w:t>）</w:t>
            </w:r>
          </w:p>
        </w:tc>
        <w:tc>
          <w:tcPr>
            <w:tcW w:w="177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restart"/>
            <w:tcMar>
              <w:top w:w="57" w:type="dxa"/>
              <w:left w:w="57" w:type="dxa"/>
              <w:bottom w:w="57" w:type="dxa"/>
              <w:right w:w="57" w:type="dxa"/>
            </w:tcMar>
            <w:vAlign w:val="center"/>
          </w:tcPr>
          <w:p>
            <w:pPr>
              <w:widowControl/>
              <w:tabs>
                <w:tab w:val="clear" w:pos="4820"/>
                <w:tab w:val="clear" w:pos="5103"/>
                <w:tab w:val="clear" w:pos="8505"/>
              </w:tabs>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spacing w:line="240" w:lineRule="auto"/>
              <w:ind w:firstLine="58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7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918" w:type="dxa"/>
            <w:tcMar>
              <w:top w:w="57" w:type="dxa"/>
              <w:left w:w="57" w:type="dxa"/>
              <w:bottom w:w="57" w:type="dxa"/>
              <w:right w:w="57" w:type="dxa"/>
            </w:tcMar>
            <w:vAlign w:val="center"/>
          </w:tcPr>
          <w:p>
            <w:pPr>
              <w:ind w:firstLine="474"/>
              <w:jc w:val="center"/>
              <w:rPr>
                <w:sz w:val="18"/>
              </w:rPr>
            </w:pPr>
          </w:p>
        </w:tc>
        <w:tc>
          <w:tcPr>
            <w:tcW w:w="2392" w:type="dxa"/>
            <w:tcMar>
              <w:top w:w="57" w:type="dxa"/>
              <w:left w:w="57" w:type="dxa"/>
              <w:bottom w:w="57" w:type="dxa"/>
              <w:right w:w="57" w:type="dxa"/>
            </w:tcMar>
            <w:vAlign w:val="center"/>
          </w:tcPr>
          <w:p>
            <w:pPr>
              <w:ind w:firstLine="474"/>
              <w:jc w:val="center"/>
              <w:rPr>
                <w:sz w:val="18"/>
              </w:rPr>
            </w:pPr>
          </w:p>
        </w:tc>
        <w:tc>
          <w:tcPr>
            <w:tcW w:w="1656" w:type="dxa"/>
            <w:tcMar>
              <w:top w:w="57" w:type="dxa"/>
              <w:left w:w="57" w:type="dxa"/>
              <w:bottom w:w="57" w:type="dxa"/>
              <w:right w:w="57" w:type="dxa"/>
            </w:tcMar>
            <w:vAlign w:val="center"/>
          </w:tcPr>
          <w:p>
            <w:pPr>
              <w:ind w:firstLine="474"/>
              <w:jc w:val="center"/>
              <w:rPr>
                <w:sz w:val="18"/>
              </w:rPr>
            </w:pPr>
          </w:p>
        </w:tc>
        <w:tc>
          <w:tcPr>
            <w:tcW w:w="1656" w:type="dxa"/>
            <w:tcMar>
              <w:top w:w="57" w:type="dxa"/>
              <w:left w:w="57" w:type="dxa"/>
              <w:bottom w:w="57" w:type="dxa"/>
              <w:right w:w="57" w:type="dxa"/>
            </w:tcMar>
            <w:vAlign w:val="center"/>
          </w:tcPr>
          <w:p>
            <w:pPr>
              <w:ind w:firstLine="474"/>
              <w:jc w:val="center"/>
              <w:rPr>
                <w:sz w:val="18"/>
              </w:rPr>
            </w:pPr>
          </w:p>
        </w:tc>
        <w:tc>
          <w:tcPr>
            <w:tcW w:w="1778" w:type="dxa"/>
            <w:vMerge w:val="continue"/>
            <w:tcMar>
              <w:top w:w="57" w:type="dxa"/>
              <w:left w:w="57" w:type="dxa"/>
              <w:bottom w:w="57" w:type="dxa"/>
              <w:right w:w="57" w:type="dxa"/>
            </w:tcMar>
            <w:vAlign w:val="center"/>
          </w:tcPr>
          <w:p>
            <w:pPr>
              <w:ind w:firstLine="474"/>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918" w:type="dxa"/>
            <w:tcMar>
              <w:top w:w="57" w:type="dxa"/>
              <w:left w:w="57" w:type="dxa"/>
              <w:bottom w:w="57" w:type="dxa"/>
              <w:right w:w="57" w:type="dxa"/>
            </w:tcMar>
            <w:vAlign w:val="center"/>
          </w:tcPr>
          <w:p>
            <w:pPr>
              <w:ind w:firstLine="474"/>
              <w:jc w:val="center"/>
              <w:rPr>
                <w:sz w:val="18"/>
              </w:rPr>
            </w:pPr>
          </w:p>
        </w:tc>
        <w:tc>
          <w:tcPr>
            <w:tcW w:w="2392" w:type="dxa"/>
            <w:tcMar>
              <w:top w:w="57" w:type="dxa"/>
              <w:left w:w="57" w:type="dxa"/>
              <w:bottom w:w="57" w:type="dxa"/>
              <w:right w:w="57" w:type="dxa"/>
            </w:tcMar>
            <w:vAlign w:val="center"/>
          </w:tcPr>
          <w:p>
            <w:pPr>
              <w:ind w:firstLine="474"/>
              <w:jc w:val="center"/>
              <w:rPr>
                <w:sz w:val="18"/>
              </w:rPr>
            </w:pPr>
          </w:p>
        </w:tc>
        <w:tc>
          <w:tcPr>
            <w:tcW w:w="1656" w:type="dxa"/>
            <w:tcMar>
              <w:top w:w="57" w:type="dxa"/>
              <w:left w:w="57" w:type="dxa"/>
              <w:bottom w:w="57" w:type="dxa"/>
              <w:right w:w="57" w:type="dxa"/>
            </w:tcMar>
            <w:vAlign w:val="center"/>
          </w:tcPr>
          <w:p>
            <w:pPr>
              <w:ind w:firstLine="474"/>
              <w:jc w:val="center"/>
              <w:rPr>
                <w:sz w:val="18"/>
              </w:rPr>
            </w:pPr>
          </w:p>
        </w:tc>
        <w:tc>
          <w:tcPr>
            <w:tcW w:w="1656" w:type="dxa"/>
            <w:tcMar>
              <w:top w:w="57" w:type="dxa"/>
              <w:left w:w="57" w:type="dxa"/>
              <w:bottom w:w="57" w:type="dxa"/>
              <w:right w:w="57" w:type="dxa"/>
            </w:tcMar>
            <w:vAlign w:val="center"/>
          </w:tcPr>
          <w:p>
            <w:pPr>
              <w:ind w:firstLine="474"/>
              <w:jc w:val="center"/>
              <w:rPr>
                <w:sz w:val="18"/>
              </w:rPr>
            </w:pPr>
          </w:p>
        </w:tc>
        <w:tc>
          <w:tcPr>
            <w:tcW w:w="1778" w:type="dxa"/>
            <w:vMerge w:val="continue"/>
            <w:tcMar>
              <w:top w:w="57" w:type="dxa"/>
              <w:left w:w="57" w:type="dxa"/>
              <w:bottom w:w="57" w:type="dxa"/>
              <w:right w:w="57" w:type="dxa"/>
            </w:tcMar>
            <w:vAlign w:val="center"/>
          </w:tcPr>
          <w:p>
            <w:pPr>
              <w:ind w:firstLine="474"/>
              <w:jc w:val="center"/>
              <w:rPr>
                <w:sz w:val="18"/>
              </w:rPr>
            </w:pPr>
          </w:p>
        </w:tc>
      </w:tr>
    </w:tbl>
    <w:p>
      <w:pPr>
        <w:ind w:firstLine="0" w:firstLineChars="0"/>
      </w:pPr>
    </w:p>
    <w:p>
      <w:pPr>
        <w:ind w:firstLine="583"/>
      </w:pPr>
    </w:p>
    <w:p>
      <w:pPr>
        <w:ind w:firstLine="0" w:firstLineChars="0"/>
      </w:pPr>
    </w:p>
    <w:p>
      <w:pPr>
        <w:ind w:firstLine="0" w:firstLineChars="0"/>
      </w:pPr>
    </w:p>
    <w:p>
      <w:pPr>
        <w:ind w:firstLine="0" w:firstLineChars="0"/>
      </w:pPr>
    </w:p>
    <w:p>
      <w:pPr>
        <w:spacing w:afterLines="100" w:line="600" w:lineRule="exact"/>
        <w:ind w:firstLine="0" w:firstLineChars="0"/>
        <w:jc w:val="center"/>
      </w:pPr>
      <w:r>
        <w:rPr>
          <w:rFonts w:hint="eastAsia" w:eastAsia="汉仪大宋简"/>
          <w:spacing w:val="40"/>
          <w:position w:val="14"/>
          <w:sz w:val="40"/>
        </w:rPr>
        <w:t>A407-1021教育设施用地坐标表</w:t>
      </w:r>
    </w:p>
    <w:p>
      <w:pPr>
        <w:spacing w:afterLines="100"/>
        <w:ind w:firstLine="474"/>
        <w:jc w:val="right"/>
        <w:rPr>
          <w:sz w:val="18"/>
        </w:rPr>
      </w:pPr>
      <w:r>
        <w:rPr>
          <w:rFonts w:hint="eastAsia"/>
          <w:sz w:val="18"/>
        </w:rPr>
        <w:t>（附表四）</w:t>
      </w:r>
    </w:p>
    <w:tbl>
      <w:tblPr>
        <w:tblStyle w:val="10"/>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2794"/>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3"/>
            <w:vAlign w:val="center"/>
          </w:tcPr>
          <w:p>
            <w:pPr>
              <w:tabs>
                <w:tab w:val="clear" w:pos="4820"/>
                <w:tab w:val="clear" w:pos="8505"/>
              </w:tabs>
              <w:ind w:firstLine="0" w:firstLineChars="0"/>
              <w:jc w:val="center"/>
            </w:pPr>
            <w:r>
              <w:rPr>
                <w:rFonts w:hint="eastAsia"/>
              </w:rPr>
              <w:t>A407-1021教育设施用地坐标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编号</w:t>
            </w:r>
          </w:p>
        </w:tc>
        <w:tc>
          <w:tcPr>
            <w:tcW w:w="2794" w:type="dxa"/>
            <w:vAlign w:val="center"/>
          </w:tcPr>
          <w:p>
            <w:pPr>
              <w:ind w:firstLine="0" w:firstLineChars="0"/>
              <w:jc w:val="center"/>
            </w:pPr>
            <w:r>
              <w:rPr>
                <w:rFonts w:hint="eastAsia"/>
              </w:rPr>
              <w:t>X坐标</w:t>
            </w:r>
          </w:p>
        </w:tc>
        <w:tc>
          <w:tcPr>
            <w:tcW w:w="2794" w:type="dxa"/>
            <w:vAlign w:val="center"/>
          </w:tcPr>
          <w:p>
            <w:pPr>
              <w:ind w:firstLine="0" w:firstLineChars="0"/>
              <w:jc w:val="center"/>
            </w:pPr>
            <w:r>
              <w:rPr>
                <w:rFonts w:hint="eastAsia"/>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1</w:t>
            </w:r>
          </w:p>
        </w:tc>
        <w:tc>
          <w:tcPr>
            <w:tcW w:w="2794" w:type="dxa"/>
            <w:vAlign w:val="center"/>
          </w:tcPr>
          <w:p>
            <w:pPr>
              <w:ind w:firstLine="0" w:firstLineChars="0"/>
              <w:jc w:val="center"/>
            </w:pPr>
            <w:r>
              <w:rPr>
                <w:rFonts w:hint="eastAsia"/>
              </w:rPr>
              <w:t>481507.92</w:t>
            </w:r>
          </w:p>
        </w:tc>
        <w:tc>
          <w:tcPr>
            <w:tcW w:w="2794" w:type="dxa"/>
            <w:vAlign w:val="center"/>
          </w:tcPr>
          <w:p>
            <w:pPr>
              <w:ind w:firstLine="0" w:firstLineChars="0"/>
              <w:jc w:val="center"/>
            </w:pPr>
            <w:r>
              <w:rPr>
                <w:rFonts w:hint="eastAsia"/>
              </w:rPr>
              <w:t>2519622.20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2</w:t>
            </w:r>
          </w:p>
        </w:tc>
        <w:tc>
          <w:tcPr>
            <w:tcW w:w="2794" w:type="dxa"/>
            <w:vAlign w:val="center"/>
          </w:tcPr>
          <w:p>
            <w:pPr>
              <w:ind w:firstLine="0" w:firstLineChars="0"/>
              <w:jc w:val="center"/>
            </w:pPr>
            <w:r>
              <w:rPr>
                <w:rFonts w:hint="eastAsia"/>
              </w:rPr>
              <w:t>481452.37</w:t>
            </w:r>
          </w:p>
        </w:tc>
        <w:tc>
          <w:tcPr>
            <w:tcW w:w="2794" w:type="dxa"/>
            <w:vAlign w:val="center"/>
          </w:tcPr>
          <w:p>
            <w:pPr>
              <w:ind w:firstLine="0" w:firstLineChars="0"/>
              <w:jc w:val="center"/>
            </w:pPr>
            <w:r>
              <w:rPr>
                <w:rFonts w:hint="eastAsia"/>
              </w:rPr>
              <w:t>2519610.08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3</w:t>
            </w:r>
          </w:p>
        </w:tc>
        <w:tc>
          <w:tcPr>
            <w:tcW w:w="2794" w:type="dxa"/>
            <w:vAlign w:val="center"/>
          </w:tcPr>
          <w:p>
            <w:pPr>
              <w:ind w:firstLine="0" w:firstLineChars="0"/>
              <w:jc w:val="center"/>
            </w:pPr>
            <w:r>
              <w:rPr>
                <w:rFonts w:hint="eastAsia"/>
              </w:rPr>
              <w:t>481452.16</w:t>
            </w:r>
          </w:p>
        </w:tc>
        <w:tc>
          <w:tcPr>
            <w:tcW w:w="2794" w:type="dxa"/>
            <w:vAlign w:val="center"/>
          </w:tcPr>
          <w:p>
            <w:pPr>
              <w:ind w:firstLine="0" w:firstLineChars="0"/>
              <w:jc w:val="center"/>
            </w:pPr>
            <w:r>
              <w:rPr>
                <w:rFonts w:hint="eastAsia"/>
              </w:rPr>
              <w:t>2519611.06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4</w:t>
            </w:r>
          </w:p>
        </w:tc>
        <w:tc>
          <w:tcPr>
            <w:tcW w:w="2794" w:type="dxa"/>
            <w:vAlign w:val="center"/>
          </w:tcPr>
          <w:p>
            <w:pPr>
              <w:ind w:firstLine="0" w:firstLineChars="0"/>
              <w:jc w:val="center"/>
            </w:pPr>
            <w:r>
              <w:rPr>
                <w:rFonts w:hint="eastAsia"/>
              </w:rPr>
              <w:t>481427.21</w:t>
            </w:r>
          </w:p>
        </w:tc>
        <w:tc>
          <w:tcPr>
            <w:tcW w:w="2794" w:type="dxa"/>
            <w:vAlign w:val="center"/>
          </w:tcPr>
          <w:p>
            <w:pPr>
              <w:ind w:firstLine="0" w:firstLineChars="0"/>
              <w:jc w:val="center"/>
            </w:pPr>
            <w:r>
              <w:rPr>
                <w:rFonts w:hint="eastAsia"/>
              </w:rPr>
              <w:t>2519723.49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5</w:t>
            </w:r>
          </w:p>
        </w:tc>
        <w:tc>
          <w:tcPr>
            <w:tcW w:w="2794" w:type="dxa"/>
            <w:vAlign w:val="center"/>
          </w:tcPr>
          <w:p>
            <w:pPr>
              <w:ind w:firstLine="0" w:firstLineChars="0"/>
              <w:jc w:val="center"/>
            </w:pPr>
            <w:r>
              <w:rPr>
                <w:rFonts w:hint="eastAsia"/>
              </w:rPr>
              <w:t>481436.43</w:t>
            </w:r>
          </w:p>
        </w:tc>
        <w:tc>
          <w:tcPr>
            <w:tcW w:w="2794" w:type="dxa"/>
            <w:vAlign w:val="center"/>
          </w:tcPr>
          <w:p>
            <w:pPr>
              <w:ind w:firstLine="0" w:firstLineChars="0"/>
              <w:jc w:val="center"/>
            </w:pPr>
            <w:r>
              <w:rPr>
                <w:rFonts w:hint="eastAsia"/>
              </w:rPr>
              <w:t>2519737.24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6</w:t>
            </w:r>
          </w:p>
        </w:tc>
        <w:tc>
          <w:tcPr>
            <w:tcW w:w="2794" w:type="dxa"/>
            <w:vAlign w:val="center"/>
          </w:tcPr>
          <w:p>
            <w:pPr>
              <w:ind w:firstLine="0" w:firstLineChars="0"/>
              <w:jc w:val="center"/>
            </w:pPr>
            <w:r>
              <w:rPr>
                <w:rFonts w:hint="eastAsia"/>
              </w:rPr>
              <w:t>481465.60</w:t>
            </w:r>
          </w:p>
        </w:tc>
        <w:tc>
          <w:tcPr>
            <w:tcW w:w="2794" w:type="dxa"/>
            <w:vAlign w:val="center"/>
          </w:tcPr>
          <w:p>
            <w:pPr>
              <w:ind w:firstLine="0" w:firstLineChars="0"/>
              <w:jc w:val="center"/>
            </w:pPr>
            <w:r>
              <w:rPr>
                <w:rFonts w:hint="eastAsia"/>
              </w:rPr>
              <w:t>2519742.25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7</w:t>
            </w:r>
          </w:p>
        </w:tc>
        <w:tc>
          <w:tcPr>
            <w:tcW w:w="2794" w:type="dxa"/>
            <w:vAlign w:val="center"/>
          </w:tcPr>
          <w:p>
            <w:pPr>
              <w:ind w:firstLine="0" w:firstLineChars="0"/>
              <w:jc w:val="center"/>
            </w:pPr>
            <w:r>
              <w:rPr>
                <w:rFonts w:hint="eastAsia"/>
              </w:rPr>
              <w:t>481468.12</w:t>
            </w:r>
          </w:p>
        </w:tc>
        <w:tc>
          <w:tcPr>
            <w:tcW w:w="2794" w:type="dxa"/>
            <w:vAlign w:val="center"/>
          </w:tcPr>
          <w:p>
            <w:pPr>
              <w:ind w:firstLine="0" w:firstLineChars="0"/>
              <w:jc w:val="center"/>
            </w:pPr>
            <w:r>
              <w:rPr>
                <w:rFonts w:hint="eastAsia"/>
              </w:rPr>
              <w:t>2519742.68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8</w:t>
            </w:r>
          </w:p>
        </w:tc>
        <w:tc>
          <w:tcPr>
            <w:tcW w:w="2794" w:type="dxa"/>
            <w:vAlign w:val="center"/>
          </w:tcPr>
          <w:p>
            <w:pPr>
              <w:ind w:firstLine="0" w:firstLineChars="0"/>
              <w:jc w:val="center"/>
            </w:pPr>
            <w:r>
              <w:rPr>
                <w:rFonts w:hint="eastAsia"/>
              </w:rPr>
              <w:t>481470.64</w:t>
            </w:r>
          </w:p>
        </w:tc>
        <w:tc>
          <w:tcPr>
            <w:tcW w:w="2794" w:type="dxa"/>
            <w:vAlign w:val="center"/>
          </w:tcPr>
          <w:p>
            <w:pPr>
              <w:ind w:firstLine="0" w:firstLineChars="0"/>
              <w:jc w:val="center"/>
            </w:pPr>
            <w:r>
              <w:rPr>
                <w:rFonts w:hint="eastAsia"/>
              </w:rPr>
              <w:t>2519743.10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9</w:t>
            </w:r>
          </w:p>
        </w:tc>
        <w:tc>
          <w:tcPr>
            <w:tcW w:w="2794" w:type="dxa"/>
            <w:vAlign w:val="center"/>
          </w:tcPr>
          <w:p>
            <w:pPr>
              <w:ind w:firstLine="0" w:firstLineChars="0"/>
              <w:jc w:val="center"/>
            </w:pPr>
            <w:r>
              <w:rPr>
                <w:rFonts w:hint="eastAsia"/>
              </w:rPr>
              <w:t>481473.16</w:t>
            </w:r>
          </w:p>
        </w:tc>
        <w:tc>
          <w:tcPr>
            <w:tcW w:w="2794" w:type="dxa"/>
            <w:vAlign w:val="center"/>
          </w:tcPr>
          <w:p>
            <w:pPr>
              <w:ind w:firstLine="0" w:firstLineChars="0"/>
              <w:jc w:val="center"/>
            </w:pPr>
            <w:r>
              <w:rPr>
                <w:rFonts w:hint="eastAsia"/>
              </w:rPr>
              <w:t>2519743.51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10</w:t>
            </w:r>
          </w:p>
        </w:tc>
        <w:tc>
          <w:tcPr>
            <w:tcW w:w="2794" w:type="dxa"/>
            <w:vAlign w:val="center"/>
          </w:tcPr>
          <w:p>
            <w:pPr>
              <w:ind w:firstLine="0" w:firstLineChars="0"/>
              <w:jc w:val="center"/>
            </w:pPr>
            <w:r>
              <w:rPr>
                <w:rFonts w:hint="eastAsia"/>
              </w:rPr>
              <w:t>481475.68</w:t>
            </w:r>
          </w:p>
        </w:tc>
        <w:tc>
          <w:tcPr>
            <w:tcW w:w="2794" w:type="dxa"/>
            <w:vAlign w:val="center"/>
          </w:tcPr>
          <w:p>
            <w:pPr>
              <w:ind w:firstLine="0" w:firstLineChars="0"/>
              <w:jc w:val="center"/>
            </w:pPr>
            <w:r>
              <w:rPr>
                <w:rFonts w:hint="eastAsia"/>
              </w:rPr>
              <w:t>2519743.92</w:t>
            </w:r>
          </w:p>
        </w:tc>
      </w:tr>
      <w:tr>
        <w:tblPrEx>
          <w:tblCellMar>
            <w:top w:w="0" w:type="dxa"/>
            <w:left w:w="108" w:type="dxa"/>
            <w:bottom w:w="0" w:type="dxa"/>
            <w:right w:w="108" w:type="dxa"/>
          </w:tblCellMar>
        </w:tblPrEx>
        <w:tc>
          <w:tcPr>
            <w:tcW w:w="2793" w:type="dxa"/>
            <w:vAlign w:val="center"/>
          </w:tcPr>
          <w:p>
            <w:pPr>
              <w:ind w:firstLine="0" w:firstLineChars="0"/>
              <w:jc w:val="center"/>
            </w:pPr>
            <w:r>
              <w:rPr>
                <w:rFonts w:hint="eastAsia"/>
              </w:rPr>
              <w:t>11</w:t>
            </w:r>
          </w:p>
        </w:tc>
        <w:tc>
          <w:tcPr>
            <w:tcW w:w="2794" w:type="dxa"/>
            <w:vAlign w:val="center"/>
          </w:tcPr>
          <w:p>
            <w:pPr>
              <w:ind w:firstLine="0" w:firstLineChars="0"/>
              <w:jc w:val="center"/>
            </w:pPr>
            <w:r>
              <w:rPr>
                <w:rFonts w:hint="eastAsia"/>
              </w:rPr>
              <w:t>481478.21</w:t>
            </w:r>
          </w:p>
        </w:tc>
        <w:tc>
          <w:tcPr>
            <w:tcW w:w="2794" w:type="dxa"/>
            <w:vAlign w:val="center"/>
          </w:tcPr>
          <w:p>
            <w:pPr>
              <w:ind w:firstLine="0" w:firstLineChars="0"/>
              <w:jc w:val="center"/>
            </w:pPr>
            <w:r>
              <w:rPr>
                <w:rFonts w:hint="eastAsia"/>
              </w:rPr>
              <w:t>2519744.32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pPr>
              <w:ind w:firstLine="0" w:firstLineChars="0"/>
              <w:jc w:val="center"/>
            </w:pPr>
            <w:r>
              <w:rPr>
                <w:rFonts w:hint="eastAsia"/>
              </w:rPr>
              <w:t>12</w:t>
            </w:r>
          </w:p>
        </w:tc>
        <w:tc>
          <w:tcPr>
            <w:tcW w:w="2794" w:type="dxa"/>
            <w:vAlign w:val="center"/>
          </w:tcPr>
          <w:p>
            <w:pPr>
              <w:ind w:firstLine="0" w:firstLineChars="0"/>
              <w:jc w:val="center"/>
            </w:pPr>
            <w:r>
              <w:rPr>
                <w:rFonts w:hint="eastAsia"/>
              </w:rPr>
              <w:t>481480.73</w:t>
            </w:r>
          </w:p>
        </w:tc>
        <w:tc>
          <w:tcPr>
            <w:tcW w:w="2794" w:type="dxa"/>
            <w:vAlign w:val="center"/>
          </w:tcPr>
          <w:p>
            <w:pPr>
              <w:ind w:firstLine="0" w:firstLineChars="0"/>
              <w:jc w:val="center"/>
            </w:pPr>
            <w:r>
              <w:rPr>
                <w:rFonts w:hint="eastAsia"/>
              </w:rPr>
              <w:t>2519744.71</w:t>
            </w:r>
          </w:p>
        </w:tc>
      </w:tr>
    </w:tbl>
    <w:p>
      <w:pPr>
        <w:ind w:firstLine="583"/>
      </w:pPr>
    </w:p>
    <w:p>
      <w:pPr>
        <w:ind w:firstLine="583"/>
      </w:pPr>
    </w:p>
    <w:sectPr>
      <w:headerReference r:id="rId7" w:type="first"/>
      <w:footerReference r:id="rId10" w:type="first"/>
      <w:headerReference r:id="rId5" w:type="default"/>
      <w:footerReference r:id="rId8" w:type="default"/>
      <w:headerReference r:id="rId6" w:type="even"/>
      <w:footerReference r:id="rId9" w:type="even"/>
      <w:pgSz w:w="11907" w:h="16839"/>
      <w:pgMar w:top="1560" w:right="1871" w:bottom="1701" w:left="1871" w:header="851" w:footer="1134" w:gutter="0"/>
      <w:cols w:space="425"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00"/>
    <w:family w:val="auto"/>
    <w:pitch w:val="default"/>
    <w:sig w:usb0="00000000" w:usb1="00000000" w:usb2="00000000" w:usb3="00000000" w:csb0="00000000" w:csb1="00000000"/>
  </w:font>
  <w:font w:name="汉仪中黑简">
    <w:altName w:val="宋体"/>
    <w:panose1 w:val="00000000000000000000"/>
    <w:charset w:val="86"/>
    <w:family w:val="modern"/>
    <w:pitch w:val="default"/>
    <w:sig w:usb0="00000000" w:usb1="00000000" w:usb2="00000012" w:usb3="00000000" w:csb0="00040000" w:csb1="00000000"/>
  </w:font>
  <w:font w:name="Courier">
    <w:panose1 w:val="02060409020205020404"/>
    <w:charset w:val="00"/>
    <w:family w:val="modern"/>
    <w:pitch w:val="default"/>
    <w:sig w:usb0="00000000" w:usb1="00000000" w:usb2="00000000" w:usb3="00000000" w:csb0="0000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83"/>
      <w:rPr>
        <w:rStyle w:val="12"/>
        <w:rFonts w:ascii="宋体" w:hAnsi="宋体"/>
      </w:rPr>
    </w:pPr>
    <w:r>
      <w:rPr>
        <w:rStyle w:val="12"/>
        <w:rFonts w:hint="eastAsia" w:ascii="宋体" w:hAnsi="宋体"/>
      </w:rPr>
      <w:t>—</w:t>
    </w:r>
    <w:r>
      <w:rPr>
        <w:rStyle w:val="12"/>
        <w:rFonts w:ascii="宋体" w:hAnsi="宋体"/>
        <w:sz w:val="18"/>
      </w:rPr>
      <w:fldChar w:fldCharType="begin"/>
    </w:r>
    <w:r>
      <w:rPr>
        <w:rStyle w:val="12"/>
        <w:rFonts w:ascii="宋体" w:hAnsi="宋体"/>
        <w:sz w:val="18"/>
      </w:rPr>
      <w:instrText xml:space="preserve">PAGE  </w:instrText>
    </w:r>
    <w:r>
      <w:rPr>
        <w:rStyle w:val="12"/>
        <w:rFonts w:ascii="宋体" w:hAnsi="宋体"/>
        <w:sz w:val="18"/>
      </w:rPr>
      <w:fldChar w:fldCharType="separate"/>
    </w:r>
    <w:r>
      <w:rPr>
        <w:rStyle w:val="12"/>
        <w:rFonts w:ascii="宋体" w:hAnsi="宋体"/>
        <w:sz w:val="18"/>
      </w:rPr>
      <w:t>6</w:t>
    </w:r>
    <w:r>
      <w:rPr>
        <w:rStyle w:val="12"/>
        <w:rFonts w:ascii="宋体" w:hAnsi="宋体"/>
        <w:sz w:val="18"/>
      </w:rPr>
      <w:fldChar w:fldCharType="end"/>
    </w:r>
    <w:r>
      <w:rPr>
        <w:rStyle w:val="12"/>
        <w:rFonts w:hint="eastAsia" w:ascii="宋体" w:hAnsi="宋体"/>
      </w:rPr>
      <w:t>—</w:t>
    </w:r>
  </w:p>
  <w:p>
    <w:pPr>
      <w:pStyle w:val="6"/>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03"/>
      <w:rPr>
        <w:rStyle w:val="12"/>
      </w:rPr>
    </w:pPr>
    <w:r>
      <w:rPr>
        <w:rStyle w:val="12"/>
      </w:rPr>
      <w:fldChar w:fldCharType="begin"/>
    </w:r>
    <w:r>
      <w:rPr>
        <w:rStyle w:val="12"/>
      </w:rPr>
      <w:instrText xml:space="preserve">PAGE  </w:instrText>
    </w:r>
    <w:r>
      <w:rPr>
        <w:rStyle w:val="12"/>
      </w:rPr>
      <w:fldChar w:fldCharType="end"/>
    </w:r>
  </w:p>
  <w:p>
    <w:pPr>
      <w:pStyle w:val="6"/>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46"/>
  <w:drawingGridVerticalSpacing w:val="17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AE"/>
    <w:rsid w:val="00001418"/>
    <w:rsid w:val="000043BA"/>
    <w:rsid w:val="000127BC"/>
    <w:rsid w:val="0001584D"/>
    <w:rsid w:val="00024A8C"/>
    <w:rsid w:val="00035043"/>
    <w:rsid w:val="00050215"/>
    <w:rsid w:val="000528B5"/>
    <w:rsid w:val="00056A7A"/>
    <w:rsid w:val="00074052"/>
    <w:rsid w:val="00075D13"/>
    <w:rsid w:val="00076485"/>
    <w:rsid w:val="00081841"/>
    <w:rsid w:val="00083A62"/>
    <w:rsid w:val="0008445A"/>
    <w:rsid w:val="00085845"/>
    <w:rsid w:val="00086BFA"/>
    <w:rsid w:val="00092E5B"/>
    <w:rsid w:val="000B0B26"/>
    <w:rsid w:val="000B3ADF"/>
    <w:rsid w:val="000E06DF"/>
    <w:rsid w:val="000E1D14"/>
    <w:rsid w:val="000F7BEB"/>
    <w:rsid w:val="00115992"/>
    <w:rsid w:val="00116A88"/>
    <w:rsid w:val="00130F46"/>
    <w:rsid w:val="00131CBB"/>
    <w:rsid w:val="001340E6"/>
    <w:rsid w:val="00135C1D"/>
    <w:rsid w:val="001466A7"/>
    <w:rsid w:val="0015669E"/>
    <w:rsid w:val="00156DD1"/>
    <w:rsid w:val="00170140"/>
    <w:rsid w:val="001800E9"/>
    <w:rsid w:val="001803AE"/>
    <w:rsid w:val="00191278"/>
    <w:rsid w:val="00191942"/>
    <w:rsid w:val="00194F62"/>
    <w:rsid w:val="001B054C"/>
    <w:rsid w:val="001C4DC3"/>
    <w:rsid w:val="001D355F"/>
    <w:rsid w:val="001E4175"/>
    <w:rsid w:val="001F33FA"/>
    <w:rsid w:val="0021223E"/>
    <w:rsid w:val="00230152"/>
    <w:rsid w:val="0025334F"/>
    <w:rsid w:val="00254687"/>
    <w:rsid w:val="00297D37"/>
    <w:rsid w:val="002A4566"/>
    <w:rsid w:val="002B0E93"/>
    <w:rsid w:val="002B213A"/>
    <w:rsid w:val="002B56BC"/>
    <w:rsid w:val="002B6B54"/>
    <w:rsid w:val="002D1491"/>
    <w:rsid w:val="002D6D31"/>
    <w:rsid w:val="002E387E"/>
    <w:rsid w:val="002E5AC0"/>
    <w:rsid w:val="002F01D6"/>
    <w:rsid w:val="002F132D"/>
    <w:rsid w:val="003037D5"/>
    <w:rsid w:val="0030522C"/>
    <w:rsid w:val="00306366"/>
    <w:rsid w:val="0034691E"/>
    <w:rsid w:val="00352173"/>
    <w:rsid w:val="00352AED"/>
    <w:rsid w:val="00367043"/>
    <w:rsid w:val="003A073D"/>
    <w:rsid w:val="003A1B4F"/>
    <w:rsid w:val="003A54BA"/>
    <w:rsid w:val="003A56F6"/>
    <w:rsid w:val="003D48AD"/>
    <w:rsid w:val="003E0F78"/>
    <w:rsid w:val="003F2B8B"/>
    <w:rsid w:val="00401AA7"/>
    <w:rsid w:val="00402BA8"/>
    <w:rsid w:val="0040310E"/>
    <w:rsid w:val="00412E1C"/>
    <w:rsid w:val="004140D0"/>
    <w:rsid w:val="00417FFA"/>
    <w:rsid w:val="00431299"/>
    <w:rsid w:val="00431653"/>
    <w:rsid w:val="00457016"/>
    <w:rsid w:val="00472688"/>
    <w:rsid w:val="004829DF"/>
    <w:rsid w:val="00490133"/>
    <w:rsid w:val="00494EB1"/>
    <w:rsid w:val="004A0770"/>
    <w:rsid w:val="004B05F3"/>
    <w:rsid w:val="004F7FA8"/>
    <w:rsid w:val="0050603C"/>
    <w:rsid w:val="00516F0B"/>
    <w:rsid w:val="005478CB"/>
    <w:rsid w:val="00550F1D"/>
    <w:rsid w:val="00560CAD"/>
    <w:rsid w:val="00562CBB"/>
    <w:rsid w:val="00564CEE"/>
    <w:rsid w:val="005738A1"/>
    <w:rsid w:val="005A6D9B"/>
    <w:rsid w:val="005B0EC5"/>
    <w:rsid w:val="005B0F7C"/>
    <w:rsid w:val="005B4AAE"/>
    <w:rsid w:val="005D0EE1"/>
    <w:rsid w:val="005E1CA8"/>
    <w:rsid w:val="005E6955"/>
    <w:rsid w:val="005F690B"/>
    <w:rsid w:val="005F6D39"/>
    <w:rsid w:val="0060715E"/>
    <w:rsid w:val="00611FB9"/>
    <w:rsid w:val="006239FB"/>
    <w:rsid w:val="0065003B"/>
    <w:rsid w:val="006531BF"/>
    <w:rsid w:val="0066171D"/>
    <w:rsid w:val="006622CA"/>
    <w:rsid w:val="00690F88"/>
    <w:rsid w:val="00691076"/>
    <w:rsid w:val="006938DA"/>
    <w:rsid w:val="006A68F8"/>
    <w:rsid w:val="006D0C47"/>
    <w:rsid w:val="006D4868"/>
    <w:rsid w:val="006D59B9"/>
    <w:rsid w:val="006E2BD4"/>
    <w:rsid w:val="006E311B"/>
    <w:rsid w:val="006F5F28"/>
    <w:rsid w:val="00705437"/>
    <w:rsid w:val="00707E6A"/>
    <w:rsid w:val="00711A45"/>
    <w:rsid w:val="00712646"/>
    <w:rsid w:val="00726A44"/>
    <w:rsid w:val="00736A2B"/>
    <w:rsid w:val="00740E2D"/>
    <w:rsid w:val="00751753"/>
    <w:rsid w:val="007647CA"/>
    <w:rsid w:val="00771C27"/>
    <w:rsid w:val="00776B9C"/>
    <w:rsid w:val="0077707C"/>
    <w:rsid w:val="007A6FA0"/>
    <w:rsid w:val="007B37F8"/>
    <w:rsid w:val="007B760E"/>
    <w:rsid w:val="007C30FD"/>
    <w:rsid w:val="007D0056"/>
    <w:rsid w:val="007D02CD"/>
    <w:rsid w:val="00801B5D"/>
    <w:rsid w:val="008037B0"/>
    <w:rsid w:val="008048B1"/>
    <w:rsid w:val="00836142"/>
    <w:rsid w:val="00841B71"/>
    <w:rsid w:val="00846CDA"/>
    <w:rsid w:val="00847FC6"/>
    <w:rsid w:val="008521B2"/>
    <w:rsid w:val="00857113"/>
    <w:rsid w:val="008619BC"/>
    <w:rsid w:val="00870350"/>
    <w:rsid w:val="008778C7"/>
    <w:rsid w:val="00890375"/>
    <w:rsid w:val="008B40F9"/>
    <w:rsid w:val="008D06C8"/>
    <w:rsid w:val="008D573C"/>
    <w:rsid w:val="008D7748"/>
    <w:rsid w:val="008E6626"/>
    <w:rsid w:val="008E6A0F"/>
    <w:rsid w:val="008E7095"/>
    <w:rsid w:val="008F0BB7"/>
    <w:rsid w:val="008F33D5"/>
    <w:rsid w:val="009063D7"/>
    <w:rsid w:val="009069F0"/>
    <w:rsid w:val="00913DDE"/>
    <w:rsid w:val="00924DE9"/>
    <w:rsid w:val="00926C21"/>
    <w:rsid w:val="00940C83"/>
    <w:rsid w:val="00945AB6"/>
    <w:rsid w:val="00946CE6"/>
    <w:rsid w:val="0095190E"/>
    <w:rsid w:val="00952BE9"/>
    <w:rsid w:val="00953369"/>
    <w:rsid w:val="00956C65"/>
    <w:rsid w:val="0097293B"/>
    <w:rsid w:val="009B232B"/>
    <w:rsid w:val="009E127E"/>
    <w:rsid w:val="00A00289"/>
    <w:rsid w:val="00A05235"/>
    <w:rsid w:val="00A3237A"/>
    <w:rsid w:val="00A442BD"/>
    <w:rsid w:val="00A50046"/>
    <w:rsid w:val="00A506C6"/>
    <w:rsid w:val="00A768D4"/>
    <w:rsid w:val="00A867C8"/>
    <w:rsid w:val="00A934DE"/>
    <w:rsid w:val="00AA7321"/>
    <w:rsid w:val="00AC2BBA"/>
    <w:rsid w:val="00AC5537"/>
    <w:rsid w:val="00AD00AE"/>
    <w:rsid w:val="00AE4612"/>
    <w:rsid w:val="00AF71CE"/>
    <w:rsid w:val="00B007BE"/>
    <w:rsid w:val="00B058FF"/>
    <w:rsid w:val="00B2473A"/>
    <w:rsid w:val="00B33572"/>
    <w:rsid w:val="00B4452B"/>
    <w:rsid w:val="00B453E4"/>
    <w:rsid w:val="00B46E62"/>
    <w:rsid w:val="00B530D7"/>
    <w:rsid w:val="00B719A3"/>
    <w:rsid w:val="00B77C42"/>
    <w:rsid w:val="00B87711"/>
    <w:rsid w:val="00B94592"/>
    <w:rsid w:val="00BA5995"/>
    <w:rsid w:val="00BC2711"/>
    <w:rsid w:val="00BD3FF9"/>
    <w:rsid w:val="00C34B14"/>
    <w:rsid w:val="00C52F94"/>
    <w:rsid w:val="00C64693"/>
    <w:rsid w:val="00C64747"/>
    <w:rsid w:val="00C670F4"/>
    <w:rsid w:val="00C67628"/>
    <w:rsid w:val="00C72F9B"/>
    <w:rsid w:val="00C74D62"/>
    <w:rsid w:val="00C75216"/>
    <w:rsid w:val="00C808EF"/>
    <w:rsid w:val="00C81E61"/>
    <w:rsid w:val="00C8779B"/>
    <w:rsid w:val="00C92B8F"/>
    <w:rsid w:val="00C946AA"/>
    <w:rsid w:val="00CA5C6E"/>
    <w:rsid w:val="00CD5B5B"/>
    <w:rsid w:val="00CD5DB9"/>
    <w:rsid w:val="00CE0A38"/>
    <w:rsid w:val="00CF36DB"/>
    <w:rsid w:val="00D04792"/>
    <w:rsid w:val="00D14A50"/>
    <w:rsid w:val="00D176CC"/>
    <w:rsid w:val="00D21D50"/>
    <w:rsid w:val="00D22671"/>
    <w:rsid w:val="00D22E27"/>
    <w:rsid w:val="00D3190C"/>
    <w:rsid w:val="00D42502"/>
    <w:rsid w:val="00D4433B"/>
    <w:rsid w:val="00D444DC"/>
    <w:rsid w:val="00D51D71"/>
    <w:rsid w:val="00D5289A"/>
    <w:rsid w:val="00D6173F"/>
    <w:rsid w:val="00D73D11"/>
    <w:rsid w:val="00D76ECC"/>
    <w:rsid w:val="00D81863"/>
    <w:rsid w:val="00D83DB0"/>
    <w:rsid w:val="00D83F9F"/>
    <w:rsid w:val="00D9250C"/>
    <w:rsid w:val="00D94DAB"/>
    <w:rsid w:val="00D951D5"/>
    <w:rsid w:val="00D977E4"/>
    <w:rsid w:val="00DB02B9"/>
    <w:rsid w:val="00DB6EC2"/>
    <w:rsid w:val="00DC3B63"/>
    <w:rsid w:val="00DD05F1"/>
    <w:rsid w:val="00DD066A"/>
    <w:rsid w:val="00DD0BC3"/>
    <w:rsid w:val="00DD4A5E"/>
    <w:rsid w:val="00DD6CA8"/>
    <w:rsid w:val="00DE0FB7"/>
    <w:rsid w:val="00DE1380"/>
    <w:rsid w:val="00DE3FA0"/>
    <w:rsid w:val="00DE74D9"/>
    <w:rsid w:val="00DF272E"/>
    <w:rsid w:val="00DF7517"/>
    <w:rsid w:val="00E174FF"/>
    <w:rsid w:val="00E17853"/>
    <w:rsid w:val="00E32356"/>
    <w:rsid w:val="00E44AA9"/>
    <w:rsid w:val="00E6727D"/>
    <w:rsid w:val="00E761F9"/>
    <w:rsid w:val="00E8244E"/>
    <w:rsid w:val="00E83353"/>
    <w:rsid w:val="00E90FD3"/>
    <w:rsid w:val="00EA04D5"/>
    <w:rsid w:val="00EA7555"/>
    <w:rsid w:val="00EB62F5"/>
    <w:rsid w:val="00EF2335"/>
    <w:rsid w:val="00F11E4B"/>
    <w:rsid w:val="00F20E78"/>
    <w:rsid w:val="00F259AB"/>
    <w:rsid w:val="00F423FE"/>
    <w:rsid w:val="00F71CE2"/>
    <w:rsid w:val="00FA1572"/>
    <w:rsid w:val="00FB036B"/>
    <w:rsid w:val="00FB15EE"/>
    <w:rsid w:val="00FB1607"/>
    <w:rsid w:val="00FB2325"/>
    <w:rsid w:val="00FB44E7"/>
    <w:rsid w:val="00FC6A69"/>
    <w:rsid w:val="00FD0B69"/>
    <w:rsid w:val="00FD2675"/>
    <w:rsid w:val="00FE0F40"/>
    <w:rsid w:val="00FE2B9E"/>
    <w:rsid w:val="00FE2FE3"/>
    <w:rsid w:val="07A448B6"/>
    <w:rsid w:val="0C056D26"/>
    <w:rsid w:val="0CFA5EEB"/>
    <w:rsid w:val="0D652E7D"/>
    <w:rsid w:val="0E876BC3"/>
    <w:rsid w:val="0FB0782B"/>
    <w:rsid w:val="0FBA2BD6"/>
    <w:rsid w:val="11F534DB"/>
    <w:rsid w:val="144B0442"/>
    <w:rsid w:val="18147CC1"/>
    <w:rsid w:val="185D53ED"/>
    <w:rsid w:val="1905610C"/>
    <w:rsid w:val="198F6F36"/>
    <w:rsid w:val="1BA4231E"/>
    <w:rsid w:val="1D87319D"/>
    <w:rsid w:val="25FC0F0C"/>
    <w:rsid w:val="267C134B"/>
    <w:rsid w:val="275976B7"/>
    <w:rsid w:val="28E4219D"/>
    <w:rsid w:val="2939060E"/>
    <w:rsid w:val="2B4E2710"/>
    <w:rsid w:val="2DE17AC8"/>
    <w:rsid w:val="2EF66F22"/>
    <w:rsid w:val="30130871"/>
    <w:rsid w:val="303673B7"/>
    <w:rsid w:val="30F5359E"/>
    <w:rsid w:val="313F7BFA"/>
    <w:rsid w:val="31D80854"/>
    <w:rsid w:val="35492CFD"/>
    <w:rsid w:val="41BA7E6C"/>
    <w:rsid w:val="43BB1314"/>
    <w:rsid w:val="45380607"/>
    <w:rsid w:val="457D6412"/>
    <w:rsid w:val="46161F00"/>
    <w:rsid w:val="47F24695"/>
    <w:rsid w:val="48147566"/>
    <w:rsid w:val="4AF653DB"/>
    <w:rsid w:val="4C293E1E"/>
    <w:rsid w:val="4C9E7903"/>
    <w:rsid w:val="4CF854DC"/>
    <w:rsid w:val="4E3A62E5"/>
    <w:rsid w:val="4F11682B"/>
    <w:rsid w:val="574A0088"/>
    <w:rsid w:val="57875777"/>
    <w:rsid w:val="5AFA4AA5"/>
    <w:rsid w:val="5B0A49D9"/>
    <w:rsid w:val="5B6B6D9E"/>
    <w:rsid w:val="5EE90BF4"/>
    <w:rsid w:val="5EFA1B20"/>
    <w:rsid w:val="5F697421"/>
    <w:rsid w:val="61F51EFA"/>
    <w:rsid w:val="620229D2"/>
    <w:rsid w:val="62387247"/>
    <w:rsid w:val="640144C5"/>
    <w:rsid w:val="65484AA5"/>
    <w:rsid w:val="67F34BFF"/>
    <w:rsid w:val="69047F89"/>
    <w:rsid w:val="6A5F6861"/>
    <w:rsid w:val="6A604B20"/>
    <w:rsid w:val="6B0B2D20"/>
    <w:rsid w:val="6D3B0201"/>
    <w:rsid w:val="70914EBD"/>
    <w:rsid w:val="71F34563"/>
    <w:rsid w:val="73CF65EE"/>
    <w:rsid w:val="747115B1"/>
    <w:rsid w:val="75D23701"/>
    <w:rsid w:val="785969E8"/>
    <w:rsid w:val="78B767D6"/>
    <w:rsid w:val="794E1479"/>
    <w:rsid w:val="7CDE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8"/>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9"/>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22"/>
    <w:qFormat/>
    <w:uiPriority w:val="0"/>
    <w:pPr>
      <w:ind w:firstLine="542"/>
    </w:pPr>
  </w:style>
  <w:style w:type="paragraph" w:styleId="5">
    <w:name w:val="Balloon Text"/>
    <w:basedOn w:val="1"/>
    <w:link w:val="24"/>
    <w:semiHidden/>
    <w:unhideWhenUsed/>
    <w:qFormat/>
    <w:uiPriority w:val="99"/>
    <w:pPr>
      <w:spacing w:line="240" w:lineRule="auto"/>
    </w:pPr>
    <w:rPr>
      <w:sz w:val="18"/>
      <w:szCs w:val="18"/>
    </w:rPr>
  </w:style>
  <w:style w:type="paragraph" w:styleId="6">
    <w:name w:val="footer"/>
    <w:basedOn w:val="1"/>
    <w:link w:val="20"/>
    <w:qFormat/>
    <w:uiPriority w:val="0"/>
    <w:pPr>
      <w:tabs>
        <w:tab w:val="center" w:pos="4153"/>
        <w:tab w:val="right" w:pos="8306"/>
        <w:tab w:val="clear" w:pos="4820"/>
        <w:tab w:val="clear" w:pos="5103"/>
        <w:tab w:val="clear" w:pos="8505"/>
      </w:tabs>
    </w:pPr>
  </w:style>
  <w:style w:type="paragraph" w:styleId="7">
    <w:name w:val="header"/>
    <w:basedOn w:val="1"/>
    <w:link w:val="21"/>
    <w:qFormat/>
    <w:uiPriority w:val="0"/>
    <w:pPr>
      <w:tabs>
        <w:tab w:val="center" w:pos="4153"/>
        <w:tab w:val="right" w:pos="8306"/>
        <w:tab w:val="clear" w:pos="4820"/>
        <w:tab w:val="clear" w:pos="5103"/>
        <w:tab w:val="clear" w:pos="8505"/>
      </w:tabs>
    </w:pPr>
  </w:style>
  <w:style w:type="paragraph" w:styleId="8">
    <w:name w:val="Body Text Indent 3"/>
    <w:basedOn w:val="1"/>
    <w:link w:val="23"/>
    <w:qFormat/>
    <w:uiPriority w:val="0"/>
    <w:pPr>
      <w:ind w:firstLine="586"/>
    </w:pPr>
    <w:rPr>
      <w:rFonts w:ascii="汉仪书宋二简"/>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TML Definition"/>
    <w:basedOn w:val="11"/>
    <w:semiHidden/>
    <w:unhideWhenUsed/>
    <w:qFormat/>
    <w:uiPriority w:val="99"/>
  </w:style>
  <w:style w:type="character" w:styleId="14">
    <w:name w:val="HTML Acronym"/>
    <w:basedOn w:val="11"/>
    <w:semiHidden/>
    <w:unhideWhenUsed/>
    <w:qFormat/>
    <w:uiPriority w:val="99"/>
    <w:rPr>
      <w:b/>
      <w:color w:val="4C4C4C"/>
      <w:sz w:val="21"/>
      <w:szCs w:val="21"/>
      <w:bdr w:val="single" w:color="000000" w:sz="2" w:space="0"/>
      <w:shd w:val="clear" w:color="auto" w:fill="F7F8F8"/>
    </w:rPr>
  </w:style>
  <w:style w:type="character" w:styleId="15">
    <w:name w:val="HTML Variable"/>
    <w:basedOn w:val="11"/>
    <w:semiHidden/>
    <w:unhideWhenUsed/>
    <w:qFormat/>
    <w:uiPriority w:val="99"/>
  </w:style>
  <w:style w:type="character" w:styleId="16">
    <w:name w:val="HTML Code"/>
    <w:basedOn w:val="11"/>
    <w:semiHidden/>
    <w:unhideWhenUsed/>
    <w:qFormat/>
    <w:uiPriority w:val="99"/>
    <w:rPr>
      <w:rFonts w:ascii="Courier" w:hAnsi="Courier" w:cs="Courier"/>
      <w:sz w:val="27"/>
      <w:szCs w:val="27"/>
      <w:bdr w:val="single" w:color="CCCCCC" w:sz="6" w:space="0"/>
      <w:shd w:val="clear" w:color="auto" w:fill="EFEFEF"/>
    </w:rPr>
  </w:style>
  <w:style w:type="character" w:styleId="17">
    <w:name w:val="HTML Cite"/>
    <w:basedOn w:val="11"/>
    <w:semiHidden/>
    <w:unhideWhenUsed/>
    <w:qFormat/>
    <w:uiPriority w:val="99"/>
  </w:style>
  <w:style w:type="character" w:customStyle="1" w:styleId="18">
    <w:name w:val="标题 1 Char"/>
    <w:basedOn w:val="11"/>
    <w:link w:val="2"/>
    <w:qFormat/>
    <w:uiPriority w:val="0"/>
    <w:rPr>
      <w:rFonts w:ascii="Arial" w:hAnsi="Arial" w:eastAsia="汉仪书宋二简" w:cs="Arial"/>
      <w:b/>
      <w:bCs/>
      <w:spacing w:val="20"/>
      <w:w w:val="110"/>
      <w:kern w:val="32"/>
      <w:sz w:val="32"/>
      <w:szCs w:val="32"/>
    </w:rPr>
  </w:style>
  <w:style w:type="character" w:customStyle="1" w:styleId="19">
    <w:name w:val="标题 3 Char"/>
    <w:basedOn w:val="11"/>
    <w:link w:val="3"/>
    <w:qFormat/>
    <w:uiPriority w:val="0"/>
    <w:rPr>
      <w:rFonts w:ascii="Arial" w:hAnsi="Arial" w:eastAsia="汉仪中黑简" w:cs="Arial"/>
      <w:bCs/>
      <w:spacing w:val="20"/>
      <w:sz w:val="26"/>
      <w:szCs w:val="26"/>
    </w:rPr>
  </w:style>
  <w:style w:type="character" w:customStyle="1" w:styleId="20">
    <w:name w:val="页脚 Char"/>
    <w:basedOn w:val="11"/>
    <w:link w:val="6"/>
    <w:qFormat/>
    <w:uiPriority w:val="0"/>
    <w:rPr>
      <w:rFonts w:ascii="Times New Roman" w:hAnsi="Times New Roman" w:eastAsia="汉仪书宋二简" w:cs="Times New Roman"/>
      <w:spacing w:val="20"/>
      <w:w w:val="110"/>
      <w:sz w:val="23"/>
      <w:szCs w:val="24"/>
    </w:rPr>
  </w:style>
  <w:style w:type="character" w:customStyle="1" w:styleId="21">
    <w:name w:val="页眉 Char"/>
    <w:basedOn w:val="11"/>
    <w:link w:val="7"/>
    <w:qFormat/>
    <w:uiPriority w:val="0"/>
    <w:rPr>
      <w:rFonts w:ascii="Times New Roman" w:hAnsi="Times New Roman" w:eastAsia="汉仪书宋二简" w:cs="Times New Roman"/>
      <w:spacing w:val="20"/>
      <w:w w:val="110"/>
      <w:sz w:val="23"/>
      <w:szCs w:val="24"/>
    </w:rPr>
  </w:style>
  <w:style w:type="character" w:customStyle="1" w:styleId="22">
    <w:name w:val="正文文本缩进 2 Char"/>
    <w:basedOn w:val="11"/>
    <w:link w:val="4"/>
    <w:qFormat/>
    <w:uiPriority w:val="0"/>
    <w:rPr>
      <w:rFonts w:ascii="Times New Roman" w:hAnsi="Times New Roman" w:eastAsia="汉仪书宋二简" w:cs="Times New Roman"/>
      <w:spacing w:val="20"/>
      <w:w w:val="110"/>
      <w:sz w:val="23"/>
      <w:szCs w:val="24"/>
    </w:rPr>
  </w:style>
  <w:style w:type="character" w:customStyle="1" w:styleId="23">
    <w:name w:val="正文文本缩进 3 Char"/>
    <w:basedOn w:val="11"/>
    <w:link w:val="8"/>
    <w:qFormat/>
    <w:uiPriority w:val="0"/>
    <w:rPr>
      <w:rFonts w:ascii="汉仪书宋二简" w:hAnsi="Times New Roman" w:eastAsia="汉仪书宋二简" w:cs="Times New Roman"/>
      <w:spacing w:val="20"/>
      <w:w w:val="110"/>
      <w:sz w:val="23"/>
      <w:szCs w:val="24"/>
    </w:rPr>
  </w:style>
  <w:style w:type="character" w:customStyle="1" w:styleId="24">
    <w:name w:val="批注框文本 Char"/>
    <w:basedOn w:val="11"/>
    <w:link w:val="5"/>
    <w:semiHidden/>
    <w:qFormat/>
    <w:uiPriority w:val="99"/>
    <w:rPr>
      <w:rFonts w:ascii="Times New Roman" w:hAnsi="Times New Roman" w:eastAsia="汉仪书宋二简" w:cs="Times New Roman"/>
      <w:spacing w:val="20"/>
      <w:w w:val="110"/>
      <w:sz w:val="18"/>
      <w:szCs w:val="18"/>
    </w:rPr>
  </w:style>
  <w:style w:type="character" w:customStyle="1" w:styleId="25">
    <w:name w:val="dijitarrowbuttoninner124"/>
    <w:basedOn w:val="11"/>
    <w:qFormat/>
    <w:uiPriority w:val="0"/>
    <w:rPr>
      <w:vanish/>
    </w:rPr>
  </w:style>
  <w:style w:type="character" w:customStyle="1" w:styleId="26">
    <w:name w:val="esriattributiondelim"/>
    <w:basedOn w:val="11"/>
    <w:qFormat/>
    <w:uiPriority w:val="0"/>
    <w:rPr>
      <w:vanish/>
    </w:rPr>
  </w:style>
  <w:style w:type="character" w:customStyle="1" w:styleId="27">
    <w:name w:val="messageleft"/>
    <w:basedOn w:val="11"/>
    <w:qFormat/>
    <w:uiPriority w:val="0"/>
  </w:style>
  <w:style w:type="character" w:customStyle="1" w:styleId="28">
    <w:name w:val="left"/>
    <w:basedOn w:val="11"/>
    <w:qFormat/>
    <w:uiPriority w:val="0"/>
  </w:style>
  <w:style w:type="character" w:customStyle="1" w:styleId="29">
    <w:name w:val="left1"/>
    <w:basedOn w:val="11"/>
    <w:qFormat/>
    <w:uiPriority w:val="0"/>
  </w:style>
  <w:style w:type="character" w:customStyle="1" w:styleId="30">
    <w:name w:val="right"/>
    <w:basedOn w:val="11"/>
    <w:qFormat/>
    <w:uiPriority w:val="0"/>
  </w:style>
  <w:style w:type="character" w:customStyle="1" w:styleId="31">
    <w:name w:val="righ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77682-6D17-4686-AF28-E88D38E32695}">
  <ds:schemaRefs/>
</ds:datastoreItem>
</file>

<file path=docProps/app.xml><?xml version="1.0" encoding="utf-8"?>
<Properties xmlns="http://schemas.openxmlformats.org/officeDocument/2006/extended-properties" xmlns:vt="http://schemas.openxmlformats.org/officeDocument/2006/docPropsVTypes">
  <Template>Normal</Template>
  <Company>szpl</Company>
  <Pages>21</Pages>
  <Words>1364</Words>
  <Characters>7777</Characters>
  <Lines>64</Lines>
  <Paragraphs>18</Paragraphs>
  <TotalTime>26</TotalTime>
  <ScaleCrop>false</ScaleCrop>
  <LinksUpToDate>false</LinksUpToDate>
  <CharactersWithSpaces>9123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2020-10-22T09:27:00Z</dcterms:created>
  <dc:creator>null</dc:creator>
  <cp:lastModifiedBy>王伟帆</cp:lastModifiedBy>
  <cp:lastPrinted>2021-10-25T06:38:45Z</cp:lastPrinted>
  <dcterms:modified xsi:type="dcterms:W3CDTF">2021-10-25T08:42:55Z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2624062F03A54C4CB9FBB2F74F7C6BE0</vt:lpwstr>
  </property>
</Properties>
</file>