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0"/>
        </w:tabs>
        <w:spacing w:line="400" w:lineRule="exact"/>
        <w:jc w:val="center"/>
        <w:rPr>
          <w:rStyle w:val="9"/>
          <w:rFonts w:asciiTheme="majorEastAsia" w:hAnsiTheme="majorEastAsia" w:eastAsiaTheme="majorEastAsia"/>
        </w:rPr>
      </w:pPr>
    </w:p>
    <w:p>
      <w:pPr>
        <w:tabs>
          <w:tab w:val="left" w:pos="8460"/>
        </w:tabs>
        <w:spacing w:line="400" w:lineRule="exact"/>
        <w:jc w:val="center"/>
        <w:rPr>
          <w:rFonts w:cs="Times New Roman" w:asciiTheme="majorEastAsia" w:hAnsiTheme="majorEastAsia" w:eastAsiaTheme="majorEastAsia"/>
          <w:spacing w:val="20"/>
          <w:w w:val="110"/>
          <w:kern w:val="10"/>
          <w:sz w:val="40"/>
          <w:szCs w:val="24"/>
        </w:rPr>
      </w:pPr>
      <w:r>
        <w:rPr>
          <w:rFonts w:hint="eastAsia" w:cs="Times New Roman" w:asciiTheme="majorEastAsia" w:hAnsiTheme="majorEastAsia" w:eastAsiaTheme="majorEastAsia"/>
          <w:spacing w:val="20"/>
          <w:w w:val="110"/>
          <w:kern w:val="10"/>
          <w:sz w:val="40"/>
          <w:szCs w:val="24"/>
        </w:rPr>
        <w:t>深圳市土地使用权出让公告</w:t>
      </w:r>
    </w:p>
    <w:p>
      <w:pPr>
        <w:tabs>
          <w:tab w:val="left" w:pos="8460"/>
        </w:tabs>
        <w:spacing w:line="400" w:lineRule="exact"/>
        <w:jc w:val="center"/>
        <w:rPr>
          <w:rFonts w:cs="Times New Roman" w:asciiTheme="minorEastAsia" w:hAnsiTheme="minorEastAsia"/>
          <w:spacing w:val="20"/>
          <w:w w:val="110"/>
          <w:kern w:val="10"/>
          <w:szCs w:val="24"/>
        </w:rPr>
      </w:pPr>
      <w:r>
        <w:rPr>
          <w:rFonts w:hint="eastAsia" w:cs="Times New Roman" w:asciiTheme="minorEastAsia" w:hAnsiTheme="minorEastAsia"/>
          <w:spacing w:val="20"/>
          <w:w w:val="110"/>
          <w:kern w:val="10"/>
          <w:sz w:val="23"/>
          <w:szCs w:val="24"/>
        </w:rPr>
        <w:t>深土交告</w:t>
      </w:r>
      <w:r>
        <w:rPr>
          <w:rFonts w:hint="eastAsia" w:cs="Times New Roman" w:asciiTheme="minorEastAsia" w:hAnsiTheme="minorEastAsia"/>
          <w:color w:val="000000"/>
          <w:spacing w:val="20"/>
          <w:w w:val="110"/>
          <w:kern w:val="10"/>
          <w:sz w:val="23"/>
          <w:szCs w:val="24"/>
        </w:rPr>
        <w:t>〔2021〕</w:t>
      </w:r>
      <w:r>
        <w:rPr>
          <w:rFonts w:hint="eastAsia" w:ascii="宋体" w:hAnsi="宋体" w:eastAsia="宋体" w:cs="Times New Roman"/>
          <w:color w:val="000000"/>
          <w:spacing w:val="20"/>
          <w:kern w:val="10"/>
          <w:sz w:val="23"/>
          <w:szCs w:val="23"/>
          <w:lang w:val="en-US" w:eastAsia="zh-CN"/>
        </w:rPr>
        <w:t>51</w:t>
      </w:r>
      <w:r>
        <w:rPr>
          <w:rFonts w:hint="eastAsia" w:cs="Times New Roman" w:asciiTheme="minorEastAsia" w:hAnsiTheme="minorEastAsia"/>
          <w:spacing w:val="20"/>
          <w:w w:val="110"/>
          <w:kern w:val="10"/>
          <w:sz w:val="23"/>
          <w:szCs w:val="24"/>
        </w:rPr>
        <w:t xml:space="preserve"> 号</w:t>
      </w:r>
    </w:p>
    <w:p>
      <w:pPr>
        <w:tabs>
          <w:tab w:val="left" w:pos="8460"/>
        </w:tabs>
        <w:spacing w:line="400" w:lineRule="exact"/>
        <w:jc w:val="center"/>
        <w:rPr>
          <w:rFonts w:ascii="汉仪书宋二简" w:hAnsi="Times New Roman" w:eastAsia="汉仪书宋二简" w:cs="Times New Roman"/>
          <w:spacing w:val="20"/>
          <w:w w:val="110"/>
          <w:kern w:val="10"/>
          <w:szCs w:val="24"/>
        </w:rPr>
      </w:pP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themeColor="text1"/>
          <w:spacing w:val="20"/>
          <w:kern w:val="10"/>
          <w:sz w:val="23"/>
          <w:szCs w:val="23"/>
        </w:rPr>
        <w:t>根据有关法律、法规，深圳市规划和自然资源局龙岗管理局（以下简称市规划和自然资源局龙岗管理局）委托深圳交易集团有限公司（深圳公共资源交易中心），在深圳市福田区红荔西路8007号土地房产交易大厦（以下简称交易大厦）3楼，以挂牌方式公开出让宗地代码为</w:t>
      </w:r>
      <w:r>
        <w:rPr>
          <w:rFonts w:hint="eastAsia" w:ascii="宋体" w:hAnsi="宋体" w:eastAsia="宋体" w:cs="Times New Roman"/>
          <w:color w:val="000000"/>
          <w:spacing w:val="20"/>
          <w:kern w:val="10"/>
          <w:sz w:val="23"/>
          <w:szCs w:val="23"/>
        </w:rPr>
        <w:t>440307604001GB00789宗地的使用权，公告期自</w:t>
      </w:r>
      <w:r>
        <w:rPr>
          <w:rFonts w:ascii="宋体" w:hAnsi="宋体" w:eastAsia="宋体" w:cs="Times New Roman"/>
          <w:color w:val="000000"/>
          <w:spacing w:val="20"/>
          <w:kern w:val="10"/>
          <w:sz w:val="23"/>
          <w:szCs w:val="23"/>
        </w:rPr>
        <w:t>20</w:t>
      </w:r>
      <w:r>
        <w:rPr>
          <w:rFonts w:hint="eastAsia" w:ascii="宋体" w:hAnsi="宋体" w:eastAsia="宋体" w:cs="Times New Roman"/>
          <w:color w:val="000000"/>
          <w:spacing w:val="20"/>
          <w:kern w:val="10"/>
          <w:sz w:val="23"/>
          <w:szCs w:val="23"/>
        </w:rPr>
        <w:t>21年</w:t>
      </w:r>
      <w:r>
        <w:rPr>
          <w:rFonts w:hint="eastAsia" w:ascii="宋体" w:hAnsi="宋体" w:eastAsia="宋体" w:cs="Times New Roman"/>
          <w:color w:val="000000"/>
          <w:spacing w:val="20"/>
          <w:kern w:val="10"/>
          <w:sz w:val="23"/>
          <w:szCs w:val="23"/>
          <w:lang w:val="en-US" w:eastAsia="zh-CN"/>
        </w:rPr>
        <w:t>10</w:t>
      </w:r>
      <w:r>
        <w:rPr>
          <w:rFonts w:hint="eastAsia" w:ascii="宋体" w:hAnsi="宋体" w:eastAsia="宋体" w:cs="Times New Roman"/>
          <w:color w:val="000000"/>
          <w:spacing w:val="20"/>
          <w:kern w:val="10"/>
          <w:sz w:val="23"/>
          <w:szCs w:val="23"/>
        </w:rPr>
        <w:t>月</w:t>
      </w:r>
      <w:r>
        <w:rPr>
          <w:rFonts w:hint="eastAsia" w:ascii="宋体" w:hAnsi="宋体" w:eastAsia="宋体" w:cs="Times New Roman"/>
          <w:color w:val="000000"/>
          <w:spacing w:val="20"/>
          <w:kern w:val="10"/>
          <w:sz w:val="23"/>
          <w:szCs w:val="23"/>
          <w:lang w:val="en-US" w:eastAsia="zh-CN"/>
        </w:rPr>
        <w:t>25</w:t>
      </w:r>
      <w:r>
        <w:rPr>
          <w:rFonts w:hint="eastAsia" w:ascii="宋体" w:hAnsi="宋体" w:eastAsia="宋体" w:cs="Times New Roman"/>
          <w:color w:val="000000"/>
          <w:spacing w:val="20"/>
          <w:kern w:val="10"/>
          <w:sz w:val="23"/>
          <w:szCs w:val="23"/>
        </w:rPr>
        <w:t>日至</w:t>
      </w:r>
      <w:r>
        <w:rPr>
          <w:rFonts w:ascii="宋体" w:hAnsi="宋体" w:eastAsia="宋体" w:cs="Times New Roman"/>
          <w:color w:val="000000"/>
          <w:spacing w:val="20"/>
          <w:kern w:val="10"/>
          <w:sz w:val="23"/>
          <w:szCs w:val="23"/>
        </w:rPr>
        <w:t>20</w:t>
      </w:r>
      <w:r>
        <w:rPr>
          <w:rFonts w:hint="eastAsia" w:ascii="宋体" w:hAnsi="宋体" w:eastAsia="宋体" w:cs="Times New Roman"/>
          <w:color w:val="000000"/>
          <w:spacing w:val="20"/>
          <w:kern w:val="10"/>
          <w:sz w:val="23"/>
          <w:szCs w:val="23"/>
        </w:rPr>
        <w:t>21年</w:t>
      </w:r>
      <w:r>
        <w:rPr>
          <w:rFonts w:hint="eastAsia" w:ascii="宋体" w:hAnsi="宋体" w:eastAsia="宋体" w:cs="Times New Roman"/>
          <w:color w:val="000000"/>
          <w:spacing w:val="20"/>
          <w:kern w:val="10"/>
          <w:sz w:val="23"/>
          <w:szCs w:val="23"/>
          <w:lang w:val="en-US" w:eastAsia="zh-CN"/>
        </w:rPr>
        <w:t>11</w:t>
      </w:r>
      <w:r>
        <w:rPr>
          <w:rFonts w:hint="eastAsia" w:ascii="宋体" w:hAnsi="宋体" w:eastAsia="宋体" w:cs="Times New Roman"/>
          <w:color w:val="000000"/>
          <w:spacing w:val="20"/>
          <w:kern w:val="10"/>
          <w:sz w:val="23"/>
          <w:szCs w:val="23"/>
        </w:rPr>
        <w:t>月</w:t>
      </w:r>
      <w:r>
        <w:rPr>
          <w:rFonts w:hint="eastAsia" w:ascii="宋体" w:hAnsi="宋体" w:eastAsia="宋体" w:cs="Times New Roman"/>
          <w:color w:val="000000"/>
          <w:spacing w:val="20"/>
          <w:kern w:val="10"/>
          <w:sz w:val="23"/>
          <w:szCs w:val="23"/>
          <w:lang w:val="en-US" w:eastAsia="zh-CN"/>
        </w:rPr>
        <w:t>13</w:t>
      </w:r>
      <w:r>
        <w:rPr>
          <w:rFonts w:hint="eastAsia" w:ascii="宋体" w:hAnsi="宋体" w:eastAsia="宋体" w:cs="Times New Roman"/>
          <w:color w:val="000000"/>
          <w:spacing w:val="20"/>
          <w:kern w:val="10"/>
          <w:sz w:val="23"/>
          <w:szCs w:val="23"/>
        </w:rPr>
        <w:t>日，挂牌期自</w:t>
      </w:r>
      <w:r>
        <w:rPr>
          <w:rFonts w:ascii="宋体" w:hAnsi="宋体" w:eastAsia="宋体" w:cs="Times New Roman"/>
          <w:color w:val="000000"/>
          <w:spacing w:val="20"/>
          <w:kern w:val="10"/>
          <w:sz w:val="23"/>
          <w:szCs w:val="23"/>
        </w:rPr>
        <w:t>20</w:t>
      </w:r>
      <w:r>
        <w:rPr>
          <w:rFonts w:hint="eastAsia" w:ascii="宋体" w:hAnsi="宋体" w:eastAsia="宋体" w:cs="Times New Roman"/>
          <w:color w:val="000000"/>
          <w:spacing w:val="20"/>
          <w:kern w:val="10"/>
          <w:sz w:val="23"/>
          <w:szCs w:val="23"/>
        </w:rPr>
        <w:t>21年</w:t>
      </w:r>
      <w:r>
        <w:rPr>
          <w:rFonts w:hint="eastAsia" w:ascii="宋体" w:hAnsi="宋体" w:eastAsia="宋体" w:cs="Times New Roman"/>
          <w:color w:val="000000"/>
          <w:spacing w:val="20"/>
          <w:kern w:val="10"/>
          <w:sz w:val="23"/>
          <w:szCs w:val="23"/>
          <w:lang w:val="en-US" w:eastAsia="zh-CN"/>
        </w:rPr>
        <w:t>11</w:t>
      </w:r>
      <w:r>
        <w:rPr>
          <w:rFonts w:hint="eastAsia" w:ascii="宋体" w:hAnsi="宋体" w:eastAsia="宋体" w:cs="Times New Roman"/>
          <w:color w:val="000000"/>
          <w:spacing w:val="20"/>
          <w:kern w:val="10"/>
          <w:sz w:val="23"/>
          <w:szCs w:val="23"/>
        </w:rPr>
        <w:t>月</w:t>
      </w:r>
      <w:r>
        <w:rPr>
          <w:rFonts w:hint="eastAsia" w:ascii="宋体" w:hAnsi="宋体" w:eastAsia="宋体" w:cs="Times New Roman"/>
          <w:color w:val="000000"/>
          <w:spacing w:val="20"/>
          <w:kern w:val="10"/>
          <w:sz w:val="23"/>
          <w:szCs w:val="23"/>
          <w:lang w:val="en-US" w:eastAsia="zh-CN"/>
        </w:rPr>
        <w:t>14</w:t>
      </w:r>
      <w:r>
        <w:rPr>
          <w:rFonts w:hint="eastAsia" w:ascii="宋体" w:hAnsi="宋体" w:eastAsia="宋体" w:cs="Times New Roman"/>
          <w:color w:val="000000"/>
          <w:spacing w:val="20"/>
          <w:kern w:val="10"/>
          <w:sz w:val="23"/>
          <w:szCs w:val="23"/>
        </w:rPr>
        <w:t>日至</w:t>
      </w:r>
      <w:r>
        <w:rPr>
          <w:rFonts w:ascii="宋体" w:hAnsi="宋体" w:eastAsia="宋体" w:cs="Times New Roman"/>
          <w:color w:val="000000"/>
          <w:spacing w:val="20"/>
          <w:kern w:val="10"/>
          <w:sz w:val="23"/>
          <w:szCs w:val="23"/>
        </w:rPr>
        <w:t>20</w:t>
      </w:r>
      <w:r>
        <w:rPr>
          <w:rFonts w:hint="eastAsia" w:ascii="宋体" w:hAnsi="宋体" w:eastAsia="宋体" w:cs="Times New Roman"/>
          <w:color w:val="000000"/>
          <w:spacing w:val="20"/>
          <w:kern w:val="10"/>
          <w:sz w:val="23"/>
          <w:szCs w:val="23"/>
        </w:rPr>
        <w:t>21年</w:t>
      </w:r>
      <w:r>
        <w:rPr>
          <w:rFonts w:hint="eastAsia" w:ascii="宋体" w:hAnsi="宋体" w:eastAsia="宋体" w:cs="Times New Roman"/>
          <w:color w:val="000000"/>
          <w:spacing w:val="20"/>
          <w:kern w:val="10"/>
          <w:sz w:val="23"/>
          <w:szCs w:val="23"/>
          <w:lang w:val="en-US" w:eastAsia="zh-CN"/>
        </w:rPr>
        <w:t>11</w:t>
      </w:r>
      <w:r>
        <w:rPr>
          <w:rFonts w:hint="eastAsia" w:ascii="宋体" w:hAnsi="宋体" w:eastAsia="宋体" w:cs="Times New Roman"/>
          <w:color w:val="000000"/>
          <w:spacing w:val="20"/>
          <w:kern w:val="10"/>
          <w:sz w:val="23"/>
          <w:szCs w:val="23"/>
        </w:rPr>
        <w:t>月</w:t>
      </w:r>
      <w:r>
        <w:rPr>
          <w:rFonts w:hint="eastAsia" w:ascii="宋体" w:hAnsi="宋体" w:eastAsia="宋体" w:cs="Times New Roman"/>
          <w:color w:val="000000"/>
          <w:spacing w:val="20"/>
          <w:kern w:val="10"/>
          <w:sz w:val="23"/>
          <w:szCs w:val="23"/>
          <w:lang w:val="en-US" w:eastAsia="zh-CN"/>
        </w:rPr>
        <w:t>23</w:t>
      </w:r>
      <w:r>
        <w:rPr>
          <w:rFonts w:hint="eastAsia" w:ascii="宋体" w:hAnsi="宋体" w:eastAsia="宋体" w:cs="Times New Roman"/>
          <w:color w:val="000000"/>
          <w:spacing w:val="20"/>
          <w:kern w:val="10"/>
          <w:sz w:val="23"/>
          <w:szCs w:val="23"/>
        </w:rPr>
        <w:t>日</w:t>
      </w:r>
      <w:r>
        <w:rPr>
          <w:rFonts w:hint="eastAsia" w:ascii="宋体" w:hAnsi="宋体" w:eastAsia="宋体" w:cs="Times New Roman"/>
          <w:color w:val="000000"/>
          <w:spacing w:val="20"/>
          <w:kern w:val="10"/>
          <w:sz w:val="23"/>
          <w:szCs w:val="23"/>
          <w:lang w:val="en-US" w:eastAsia="zh-CN"/>
        </w:rPr>
        <w:t>15</w:t>
      </w:r>
      <w:r>
        <w:rPr>
          <w:rFonts w:hint="eastAsia" w:ascii="宋体" w:hAnsi="宋体" w:eastAsia="宋体" w:cs="Times New Roman"/>
          <w:color w:val="000000"/>
          <w:spacing w:val="20"/>
          <w:kern w:val="10"/>
          <w:sz w:val="23"/>
          <w:szCs w:val="23"/>
        </w:rPr>
        <w:t>时止。现予公告。</w:t>
      </w:r>
    </w:p>
    <w:p>
      <w:pPr>
        <w:spacing w:line="400" w:lineRule="exact"/>
        <w:ind w:firstLine="542" w:firstLineChars="200"/>
        <w:rPr>
          <w:rFonts w:ascii="宋体" w:hAnsi="宋体" w:eastAsia="宋体" w:cs="Times New Roman"/>
          <w:b/>
          <w:color w:val="000000"/>
          <w:spacing w:val="20"/>
          <w:kern w:val="10"/>
          <w:sz w:val="23"/>
          <w:szCs w:val="23"/>
        </w:rPr>
      </w:pPr>
      <w:r>
        <w:rPr>
          <w:rFonts w:hint="eastAsia" w:ascii="宋体" w:hAnsi="宋体" w:eastAsia="宋体" w:cs="Times New Roman"/>
          <w:b/>
          <w:color w:val="000000"/>
          <w:spacing w:val="20"/>
          <w:kern w:val="10"/>
          <w:sz w:val="23"/>
          <w:szCs w:val="23"/>
        </w:rPr>
        <w:t>一、宗地情况</w:t>
      </w:r>
    </w:p>
    <w:tbl>
      <w:tblPr>
        <w:tblStyle w:val="7"/>
        <w:tblpPr w:leftFromText="180" w:rightFromText="180" w:vertAnchor="text" w:horzAnchor="page" w:tblpX="506" w:tblpY="142"/>
        <w:tblOverlap w:val="never"/>
        <w:tblW w:w="111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73"/>
        <w:gridCol w:w="844"/>
        <w:gridCol w:w="866"/>
        <w:gridCol w:w="1050"/>
        <w:gridCol w:w="1684"/>
        <w:gridCol w:w="933"/>
        <w:gridCol w:w="850"/>
        <w:gridCol w:w="883"/>
        <w:gridCol w:w="934"/>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21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宗地代码</w:t>
            </w:r>
          </w:p>
        </w:tc>
        <w:tc>
          <w:tcPr>
            <w:tcW w:w="8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宗地号</w:t>
            </w:r>
          </w:p>
        </w:tc>
        <w:tc>
          <w:tcPr>
            <w:tcW w:w="86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土地</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位置</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土地用途</w:t>
            </w:r>
          </w:p>
        </w:tc>
        <w:tc>
          <w:tcPr>
            <w:tcW w:w="16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准入行业类别</w:t>
            </w:r>
          </w:p>
        </w:tc>
        <w:tc>
          <w:tcPr>
            <w:tcW w:w="93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土地面积（平方米）</w:t>
            </w: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建筑面积（平方米）</w:t>
            </w:r>
          </w:p>
        </w:tc>
        <w:tc>
          <w:tcPr>
            <w:tcW w:w="88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挂牌起始价（人民币、万元）</w:t>
            </w:r>
          </w:p>
        </w:tc>
        <w:tc>
          <w:tcPr>
            <w:tcW w:w="9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竞买（投标）保证金（人民币、万元）</w:t>
            </w:r>
          </w:p>
        </w:tc>
        <w:tc>
          <w:tcPr>
            <w:tcW w:w="96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土地使用年限（年）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2" w:hRule="atLeast"/>
        </w:trPr>
        <w:tc>
          <w:tcPr>
            <w:tcW w:w="21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440307604001GB00789</w:t>
            </w:r>
          </w:p>
        </w:tc>
        <w:tc>
          <w:tcPr>
            <w:tcW w:w="8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G04404-0038</w:t>
            </w:r>
          </w:p>
        </w:tc>
        <w:tc>
          <w:tcPr>
            <w:tcW w:w="86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龙岗区南湾街道</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物流用地</w:t>
            </w:r>
          </w:p>
        </w:tc>
        <w:tc>
          <w:tcPr>
            <w:tcW w:w="16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7"/>
                <w:lang w:val="en-US" w:eastAsia="zh-CN" w:bidi="ar"/>
              </w:rPr>
              <w:t>现代物流业之供应链管理技术服务业（《深圳市产业结构调整优化和产业导向目录（2016年修订）》）</w:t>
            </w:r>
          </w:p>
        </w:tc>
        <w:tc>
          <w:tcPr>
            <w:tcW w:w="93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6252.26</w:t>
            </w: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汉仪书宋二简" w:hAnsi="汉仪书宋二简" w:eastAsia="汉仪书宋二简" w:cs="汉仪书宋二简"/>
                <w:i w:val="0"/>
                <w:iCs w:val="0"/>
                <w:color w:val="000000"/>
                <w:sz w:val="21"/>
                <w:szCs w:val="21"/>
                <w:u w:val="none"/>
              </w:rPr>
            </w:pPr>
            <w:r>
              <w:rPr>
                <w:rFonts w:hint="default" w:ascii="汉仪书宋二简" w:hAnsi="汉仪书宋二简" w:eastAsia="汉仪书宋二简" w:cs="汉仪书宋二简"/>
                <w:i w:val="0"/>
                <w:iCs w:val="0"/>
                <w:color w:val="000000"/>
                <w:kern w:val="0"/>
                <w:sz w:val="21"/>
                <w:szCs w:val="21"/>
                <w:u w:val="none"/>
                <w:lang w:val="en-US" w:eastAsia="zh-CN" w:bidi="ar"/>
              </w:rPr>
              <w:t>26260</w:t>
            </w:r>
          </w:p>
        </w:tc>
        <w:tc>
          <w:tcPr>
            <w:tcW w:w="88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3220</w:t>
            </w:r>
          </w:p>
        </w:tc>
        <w:tc>
          <w:tcPr>
            <w:tcW w:w="9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96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bl>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上述宗地的具体情况以《深圳市土地使用权出让合同书》（样本，以下简称《出让合同》）为准。</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二、宗地出让条件</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（一）竞得人须在成交后即时签订《成交确认书》。</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（二）签订《成交确认书》后，竞得人应向深圳市龙岗区</w:t>
      </w:r>
      <w:r>
        <w:rPr>
          <w:rFonts w:hint="eastAsia" w:ascii="宋体" w:hAnsi="宋体"/>
          <w:color w:val="000000"/>
          <w:spacing w:val="20"/>
          <w:kern w:val="10"/>
          <w:sz w:val="23"/>
          <w:szCs w:val="23"/>
          <w:lang w:val="en-US" w:eastAsia="zh-CN"/>
        </w:rPr>
        <w:t>投资推广和企业服务中心</w:t>
      </w:r>
      <w:r>
        <w:rPr>
          <w:rFonts w:hint="eastAsia" w:ascii="宋体" w:hAnsi="宋体"/>
          <w:color w:val="000000"/>
          <w:spacing w:val="20"/>
          <w:kern w:val="10"/>
          <w:sz w:val="23"/>
          <w:szCs w:val="23"/>
        </w:rPr>
        <w:t>（以下简称龙岗</w:t>
      </w:r>
      <w:r>
        <w:rPr>
          <w:rFonts w:hint="eastAsia" w:ascii="宋体" w:hAnsi="宋体"/>
          <w:color w:val="000000"/>
          <w:spacing w:val="20"/>
          <w:kern w:val="10"/>
          <w:sz w:val="23"/>
          <w:szCs w:val="23"/>
          <w:lang w:val="en-US" w:eastAsia="zh-CN"/>
        </w:rPr>
        <w:t>投服中心</w:t>
      </w:r>
      <w:r>
        <w:rPr>
          <w:rFonts w:hint="eastAsia" w:ascii="宋体" w:hAnsi="宋体"/>
          <w:color w:val="000000"/>
          <w:spacing w:val="20"/>
          <w:kern w:val="10"/>
          <w:sz w:val="23"/>
          <w:szCs w:val="23"/>
        </w:rPr>
        <w:t>）申请签订产业发展监管协议。</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（三）自签订《成交确认书》之日起15个工作日内，竞得人应持《成交确认书》和产业发展监管协议向市规划和自然资源局龙岗管理局申请签订《出让合同》，并自签订出让合同起</w:t>
      </w:r>
      <w:r>
        <w:rPr>
          <w:rFonts w:hint="eastAsia" w:ascii="宋体" w:hAnsi="宋体"/>
          <w:color w:val="000000" w:themeColor="text1"/>
          <w:spacing w:val="20"/>
          <w:kern w:val="10"/>
          <w:sz w:val="23"/>
          <w:szCs w:val="23"/>
        </w:rPr>
        <w:t>5个工作日</w:t>
      </w:r>
      <w:r>
        <w:rPr>
          <w:rFonts w:hint="eastAsia" w:ascii="宋体" w:hAnsi="宋体"/>
          <w:color w:val="000000"/>
          <w:spacing w:val="20"/>
          <w:kern w:val="10"/>
          <w:sz w:val="23"/>
          <w:szCs w:val="23"/>
        </w:rPr>
        <w:t>内一</w:t>
      </w:r>
      <w:bookmarkStart w:id="0" w:name="_GoBack"/>
      <w:bookmarkEnd w:id="0"/>
      <w:r>
        <w:rPr>
          <w:rFonts w:hint="eastAsia" w:ascii="宋体" w:hAnsi="宋体"/>
          <w:color w:val="000000"/>
          <w:spacing w:val="20"/>
          <w:kern w:val="10"/>
          <w:sz w:val="23"/>
          <w:szCs w:val="23"/>
        </w:rPr>
        <w:t>次性付款。</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（四）竞得人应遵守法律、法规和《出让合同》规定，严格按照土地用途和有关部门审定的规划设计方案使用和开发建设。</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（五）本次出让宗地以宗地为单位，不得改变土地用途，建设用地使用权及建筑物不得转让，初始登记后不得办理分证；允许抵押，但抵押金额不得超出合同剩余年期地价与建筑物残值之和</w:t>
      </w:r>
      <w:r>
        <w:rPr>
          <w:rFonts w:hint="eastAsia" w:ascii="宋体" w:hAnsi="宋体"/>
          <w:color w:val="000000"/>
          <w:spacing w:val="20"/>
          <w:kern w:val="10"/>
          <w:sz w:val="23"/>
          <w:szCs w:val="23"/>
          <w:lang w:eastAsia="zh-CN"/>
        </w:rPr>
        <w:t>；</w:t>
      </w:r>
      <w:r>
        <w:rPr>
          <w:rFonts w:hint="eastAsia" w:ascii="宋体" w:hAnsi="宋体"/>
          <w:color w:val="000000"/>
          <w:spacing w:val="20"/>
          <w:kern w:val="10"/>
          <w:sz w:val="23"/>
          <w:szCs w:val="23"/>
        </w:rPr>
        <w:t>具体产权要求详见出让合同。</w:t>
      </w:r>
    </w:p>
    <w:p>
      <w:pPr>
        <w:numPr>
          <w:ilvl w:val="0"/>
          <w:numId w:val="1"/>
        </w:numPr>
        <w:spacing w:line="400" w:lineRule="exact"/>
        <w:ind w:firstLine="540" w:firstLineChars="200"/>
        <w:rPr>
          <w:rFonts w:hint="eastAsia" w:ascii="宋体" w:hAnsi="宋体" w:eastAsia="宋体" w:cs="Times New Roman"/>
          <w:color w:val="000000" w:themeColor="text1"/>
          <w:spacing w:val="20"/>
          <w:kern w:val="10"/>
          <w:sz w:val="23"/>
          <w:szCs w:val="23"/>
        </w:rPr>
      </w:pPr>
      <w:r>
        <w:rPr>
          <w:rFonts w:hint="eastAsia" w:ascii="宋体" w:hAnsi="宋体" w:eastAsia="宋体" w:cs="Times New Roman"/>
          <w:color w:val="000000" w:themeColor="text1"/>
          <w:spacing w:val="20"/>
          <w:kern w:val="10"/>
          <w:sz w:val="23"/>
          <w:szCs w:val="23"/>
        </w:rPr>
        <w:t>竞得人须按地质灾害危险性评估报告的结论采取相应的地质灾害防治措施。</w:t>
      </w:r>
    </w:p>
    <w:p>
      <w:pPr>
        <w:numPr>
          <w:ilvl w:val="0"/>
          <w:numId w:val="1"/>
        </w:numPr>
        <w:spacing w:line="400" w:lineRule="exact"/>
        <w:ind w:firstLine="540" w:firstLineChars="200"/>
        <w:rPr>
          <w:rFonts w:hint="eastAsia" w:ascii="宋体" w:hAnsi="宋体" w:eastAsia="宋体" w:cs="Times New Roman"/>
          <w:color w:val="000000" w:themeColor="text1"/>
          <w:spacing w:val="20"/>
          <w:kern w:val="10"/>
          <w:sz w:val="23"/>
          <w:szCs w:val="23"/>
        </w:rPr>
      </w:pPr>
      <w:r>
        <w:rPr>
          <w:rFonts w:hint="eastAsia" w:ascii="宋体" w:hAnsi="宋体" w:eastAsia="宋体" w:cs="Times New Roman"/>
          <w:color w:val="000000" w:themeColor="text1"/>
          <w:spacing w:val="20"/>
          <w:kern w:val="10"/>
          <w:sz w:val="23"/>
          <w:szCs w:val="23"/>
        </w:rPr>
        <w:t>用地全部位于东深供水——深圳水库饮用水水源二级保护区。根据《深圳市人民政府关于深圳市饮用水源保护区优化调整事宜的通知（深府函〔2019〕258号）》的要求，该地块属拟调整为准水源保护区的范围。该项目在水源保护区调整正式生效前，需严格执行深府函〔2019〕258号的相关要求。</w:t>
      </w:r>
    </w:p>
    <w:p>
      <w:pPr>
        <w:numPr>
          <w:ilvl w:val="0"/>
          <w:numId w:val="1"/>
        </w:numPr>
        <w:spacing w:line="400" w:lineRule="exact"/>
        <w:ind w:firstLine="540" w:firstLineChars="200"/>
        <w:rPr>
          <w:rFonts w:hint="eastAsia" w:ascii="宋体" w:hAnsi="宋体" w:eastAsia="宋体" w:cs="Times New Roman"/>
          <w:color w:val="000000" w:themeColor="text1"/>
          <w:spacing w:val="20"/>
          <w:kern w:val="10"/>
          <w:sz w:val="23"/>
          <w:szCs w:val="23"/>
        </w:rPr>
      </w:pPr>
      <w:r>
        <w:rPr>
          <w:rFonts w:hint="eastAsia" w:ascii="宋体" w:hAnsi="宋体" w:eastAsia="宋体" w:cs="Times New Roman"/>
          <w:color w:val="000000" w:themeColor="text1"/>
          <w:spacing w:val="20"/>
          <w:kern w:val="10"/>
          <w:sz w:val="23"/>
          <w:szCs w:val="23"/>
        </w:rPr>
        <w:t>该宗地与龙岗区2020年水质提升工程二阶段正本清源小区康利城地块有交叉，项目进场施工前需与龙岗区水务局建管中心做好对接工作。</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三、竞买人主体资格要求</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具备下列条件的，可申请竞买（不接受联合竞买）本次出让宗地：</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（一）应为在深圳注册的企业法人。</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 xml:space="preserve">（二）应符合《深圳市工业及其他产业用地供应管理办法》（深府规〔2019〕4号）遴选要求。 </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四、竞买申请程序</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（一）申请主体资格审查</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竞买申请人应当在公告期内（工作日），向龙岗</w:t>
      </w:r>
      <w:r>
        <w:rPr>
          <w:rFonts w:hint="eastAsia" w:ascii="宋体" w:hAnsi="宋体"/>
          <w:color w:val="000000"/>
          <w:spacing w:val="20"/>
          <w:kern w:val="10"/>
          <w:sz w:val="23"/>
          <w:szCs w:val="23"/>
          <w:lang w:val="en-US" w:eastAsia="zh-CN"/>
        </w:rPr>
        <w:t>投服中心</w:t>
      </w:r>
      <w:r>
        <w:rPr>
          <w:rFonts w:hint="eastAsia" w:ascii="宋体" w:hAnsi="宋体"/>
          <w:color w:val="000000"/>
          <w:spacing w:val="20"/>
          <w:kern w:val="10"/>
          <w:sz w:val="23"/>
          <w:szCs w:val="23"/>
        </w:rPr>
        <w:t>提交能够满足前述资格要求的有关证明材料，申请主体资格审查。</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（二）网上注册</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竞买申请人应登录深圳土地矿业权交易平台（https://td.szggzy.com）进行网上注册。网上注册的程序和要求详见深圳土地矿业权交易平台网站中的操作指引。</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（三）申请竞买</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竞买申请人网上注册后，应按照操作</w:t>
      </w:r>
      <w:r>
        <w:rPr>
          <w:rFonts w:hint="eastAsia" w:ascii="宋体" w:hAnsi="宋体"/>
          <w:color w:val="000000"/>
          <w:spacing w:val="20"/>
          <w:kern w:val="10"/>
          <w:sz w:val="23"/>
          <w:szCs w:val="23"/>
          <w:lang w:eastAsia="zh-CN"/>
        </w:rPr>
        <w:t>指引</w:t>
      </w:r>
      <w:r>
        <w:rPr>
          <w:rFonts w:hint="eastAsia" w:ascii="宋体" w:hAnsi="宋体"/>
          <w:color w:val="000000"/>
          <w:spacing w:val="20"/>
          <w:kern w:val="10"/>
          <w:sz w:val="23"/>
          <w:szCs w:val="23"/>
        </w:rPr>
        <w:t>有关要求，选择意向竞买的宗地，提出竞买申请。</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（四）交纳竞买（投标）保证金</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竞买申请人提出竞买申请后，按入账申请单提示交纳竞买（投标）保证金，竞买（投标）保证金不得由其他单位或个人代交。具体详见操作</w:t>
      </w:r>
      <w:r>
        <w:rPr>
          <w:rFonts w:hint="eastAsia" w:ascii="宋体" w:hAnsi="宋体"/>
          <w:color w:val="000000"/>
          <w:spacing w:val="20"/>
          <w:kern w:val="10"/>
          <w:sz w:val="23"/>
          <w:szCs w:val="23"/>
          <w:lang w:eastAsia="zh-CN"/>
        </w:rPr>
        <w:t>指引</w:t>
      </w:r>
      <w:r>
        <w:rPr>
          <w:rFonts w:hint="eastAsia" w:ascii="宋体" w:hAnsi="宋体"/>
          <w:color w:val="000000"/>
          <w:spacing w:val="20"/>
          <w:kern w:val="10"/>
          <w:sz w:val="23"/>
          <w:szCs w:val="23"/>
        </w:rPr>
        <w:t>。</w:t>
      </w:r>
    </w:p>
    <w:p>
      <w:pPr>
        <w:spacing w:line="400" w:lineRule="exact"/>
        <w:ind w:firstLine="540" w:firstLineChars="200"/>
        <w:rPr>
          <w:rFonts w:hint="eastAsia" w:ascii="宋体" w:hAnsi="宋体"/>
          <w:color w:val="000000"/>
          <w:spacing w:val="20"/>
          <w:kern w:val="10"/>
          <w:sz w:val="23"/>
          <w:szCs w:val="23"/>
        </w:rPr>
      </w:pPr>
      <w:r>
        <w:rPr>
          <w:rFonts w:hint="eastAsia" w:ascii="宋体" w:hAnsi="宋体"/>
          <w:color w:val="000000"/>
          <w:spacing w:val="20"/>
          <w:kern w:val="10"/>
          <w:sz w:val="23"/>
          <w:szCs w:val="23"/>
        </w:rPr>
        <w:t>竞买申请人可通过深圳土地矿业权交易平台网站及时查询竞买（投标）保证金到账情况。竞买（投标）保证金的到账截止时间为2021年</w:t>
      </w:r>
      <w:r>
        <w:rPr>
          <w:rFonts w:hint="eastAsia" w:ascii="宋体" w:hAnsi="宋体"/>
          <w:color w:val="000000"/>
          <w:spacing w:val="20"/>
          <w:kern w:val="10"/>
          <w:sz w:val="23"/>
          <w:szCs w:val="23"/>
          <w:lang w:val="en-US" w:eastAsia="zh-CN"/>
        </w:rPr>
        <w:t>11</w:t>
      </w:r>
      <w:r>
        <w:rPr>
          <w:rFonts w:hint="eastAsia" w:ascii="宋体" w:hAnsi="宋体"/>
          <w:color w:val="000000"/>
          <w:spacing w:val="20"/>
          <w:kern w:val="10"/>
          <w:sz w:val="23"/>
          <w:szCs w:val="23"/>
        </w:rPr>
        <w:t>月</w:t>
      </w:r>
      <w:r>
        <w:rPr>
          <w:rFonts w:hint="eastAsia" w:ascii="宋体" w:hAnsi="宋体"/>
          <w:color w:val="000000"/>
          <w:spacing w:val="20"/>
          <w:kern w:val="10"/>
          <w:sz w:val="23"/>
          <w:szCs w:val="23"/>
          <w:lang w:val="en-US" w:eastAsia="zh-CN"/>
        </w:rPr>
        <w:t>21</w:t>
      </w:r>
      <w:r>
        <w:rPr>
          <w:rFonts w:hint="eastAsia" w:ascii="宋体" w:hAnsi="宋体"/>
          <w:color w:val="000000"/>
          <w:spacing w:val="20"/>
          <w:kern w:val="10"/>
          <w:sz w:val="23"/>
          <w:szCs w:val="23"/>
        </w:rPr>
        <w:t>日</w:t>
      </w:r>
      <w:r>
        <w:rPr>
          <w:rFonts w:hint="eastAsia" w:ascii="宋体" w:hAnsi="宋体"/>
          <w:color w:val="000000"/>
          <w:spacing w:val="20"/>
          <w:kern w:val="10"/>
          <w:sz w:val="23"/>
          <w:szCs w:val="23"/>
          <w:lang w:val="en-US" w:eastAsia="zh-CN"/>
        </w:rPr>
        <w:t>15</w:t>
      </w:r>
      <w:r>
        <w:rPr>
          <w:rFonts w:hint="eastAsia" w:ascii="宋体" w:hAnsi="宋体"/>
          <w:color w:val="000000"/>
          <w:spacing w:val="20"/>
          <w:kern w:val="10"/>
          <w:sz w:val="23"/>
          <w:szCs w:val="23"/>
        </w:rPr>
        <w:t>时</w:t>
      </w:r>
      <w:r>
        <w:rPr>
          <w:rFonts w:hint="eastAsia" w:ascii="宋体" w:hAnsi="宋体"/>
          <w:color w:val="000000"/>
          <w:spacing w:val="20"/>
          <w:kern w:val="10"/>
          <w:sz w:val="23"/>
          <w:szCs w:val="23"/>
          <w:lang w:val="en-US" w:eastAsia="zh-CN"/>
        </w:rPr>
        <w:t>整</w:t>
      </w:r>
      <w:r>
        <w:rPr>
          <w:rFonts w:hint="eastAsia" w:ascii="宋体" w:hAnsi="宋体"/>
          <w:color w:val="000000"/>
          <w:spacing w:val="20"/>
          <w:kern w:val="10"/>
          <w:sz w:val="23"/>
          <w:szCs w:val="23"/>
        </w:rPr>
        <w:t xml:space="preserve">（以深圳土地矿业权交易平台网站显示的银行到账时间为准）。      </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（五）申请确认竞买资格</w:t>
      </w:r>
    </w:p>
    <w:p>
      <w:pPr>
        <w:spacing w:line="400" w:lineRule="exact"/>
        <w:ind w:firstLine="540" w:firstLineChars="200"/>
        <w:rPr>
          <w:rFonts w:hint="eastAsia" w:ascii="宋体" w:hAnsi="宋体" w:eastAsiaTheme="minorEastAsia"/>
          <w:color w:val="000000"/>
          <w:spacing w:val="20"/>
          <w:kern w:val="10"/>
          <w:sz w:val="23"/>
          <w:szCs w:val="23"/>
          <w:lang w:eastAsia="zh-CN"/>
        </w:rPr>
      </w:pPr>
      <w:r>
        <w:rPr>
          <w:rFonts w:hint="eastAsia" w:ascii="宋体" w:hAnsi="宋体"/>
          <w:color w:val="000000"/>
          <w:spacing w:val="20"/>
          <w:kern w:val="10"/>
          <w:sz w:val="23"/>
          <w:szCs w:val="23"/>
        </w:rPr>
        <w:t>竞买申请人按时足额交纳竞买（投标）保证金后，可登录深圳土地矿业权交易平台网站查看《竞买申请受理回执》并打印该回执，2021年</w:t>
      </w:r>
      <w:r>
        <w:rPr>
          <w:rFonts w:hint="eastAsia" w:ascii="宋体" w:hAnsi="宋体"/>
          <w:color w:val="000000"/>
          <w:spacing w:val="20"/>
          <w:kern w:val="10"/>
          <w:sz w:val="23"/>
          <w:szCs w:val="23"/>
          <w:lang w:val="en-US" w:eastAsia="zh-CN"/>
        </w:rPr>
        <w:t>11</w:t>
      </w:r>
      <w:r>
        <w:rPr>
          <w:rFonts w:hint="eastAsia" w:ascii="宋体" w:hAnsi="宋体"/>
          <w:color w:val="000000"/>
          <w:spacing w:val="20"/>
          <w:kern w:val="10"/>
          <w:sz w:val="23"/>
          <w:szCs w:val="23"/>
        </w:rPr>
        <w:t>月</w:t>
      </w:r>
      <w:r>
        <w:rPr>
          <w:rFonts w:hint="eastAsia" w:ascii="宋体" w:hAnsi="宋体"/>
          <w:color w:val="000000"/>
          <w:spacing w:val="20"/>
          <w:kern w:val="10"/>
          <w:sz w:val="23"/>
          <w:szCs w:val="23"/>
          <w:lang w:val="en-US" w:eastAsia="zh-CN"/>
        </w:rPr>
        <w:t>23</w:t>
      </w:r>
      <w:r>
        <w:rPr>
          <w:rFonts w:hint="eastAsia" w:ascii="宋体" w:hAnsi="宋体"/>
          <w:color w:val="000000"/>
          <w:spacing w:val="20"/>
          <w:kern w:val="10"/>
          <w:sz w:val="23"/>
          <w:szCs w:val="23"/>
        </w:rPr>
        <w:t>日14时30分前（工作日），到交易大厦3楼土地业务受理窗口提交书面材料，申请确认竞买资格。申请确认竞买资格须提交的材料详见《深圳市土地使用权挂牌出让竞买须知》（以下简称《竞买须知》）</w:t>
      </w:r>
      <w:r>
        <w:rPr>
          <w:rFonts w:hint="eastAsia" w:ascii="宋体" w:hAnsi="宋体"/>
          <w:color w:val="000000"/>
          <w:spacing w:val="20"/>
          <w:kern w:val="10"/>
          <w:sz w:val="23"/>
          <w:szCs w:val="23"/>
          <w:lang w:eastAsia="zh-CN"/>
        </w:rPr>
        <w:t>。</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五、确定竞得人的办法</w:t>
      </w:r>
    </w:p>
    <w:p>
      <w:pPr>
        <w:spacing w:line="400" w:lineRule="exact"/>
        <w:ind w:firstLine="540" w:firstLineChars="200"/>
        <w:rPr>
          <w:rFonts w:hint="eastAsia" w:ascii="宋体" w:hAnsi="宋体"/>
          <w:color w:val="000000"/>
          <w:spacing w:val="20"/>
          <w:kern w:val="10"/>
          <w:sz w:val="23"/>
          <w:szCs w:val="23"/>
        </w:rPr>
      </w:pPr>
      <w:r>
        <w:rPr>
          <w:rFonts w:hint="eastAsia" w:ascii="宋体" w:hAnsi="宋体"/>
          <w:color w:val="000000"/>
          <w:spacing w:val="20"/>
          <w:kern w:val="10"/>
          <w:sz w:val="23"/>
          <w:szCs w:val="23"/>
        </w:rPr>
        <w:t>深圳土地矿业权交易平台在挂牌期内接受竞买人的电脑报价，电脑报价截止时间为2021年</w:t>
      </w:r>
      <w:r>
        <w:rPr>
          <w:rFonts w:hint="eastAsia" w:ascii="宋体" w:hAnsi="宋体"/>
          <w:color w:val="000000"/>
          <w:spacing w:val="20"/>
          <w:kern w:val="10"/>
          <w:sz w:val="23"/>
          <w:szCs w:val="23"/>
          <w:lang w:val="en-US" w:eastAsia="zh-CN"/>
        </w:rPr>
        <w:t>11</w:t>
      </w:r>
      <w:r>
        <w:rPr>
          <w:rFonts w:hint="eastAsia" w:ascii="宋体" w:hAnsi="宋体"/>
          <w:color w:val="000000"/>
          <w:spacing w:val="20"/>
          <w:kern w:val="10"/>
          <w:sz w:val="23"/>
          <w:szCs w:val="23"/>
        </w:rPr>
        <w:t>月</w:t>
      </w:r>
      <w:r>
        <w:rPr>
          <w:rFonts w:hint="eastAsia" w:ascii="宋体" w:hAnsi="宋体"/>
          <w:color w:val="000000"/>
          <w:spacing w:val="20"/>
          <w:kern w:val="10"/>
          <w:sz w:val="23"/>
          <w:szCs w:val="23"/>
          <w:lang w:val="en-US" w:eastAsia="zh-CN"/>
        </w:rPr>
        <w:t>23</w:t>
      </w:r>
      <w:r>
        <w:rPr>
          <w:rFonts w:hint="eastAsia" w:ascii="宋体" w:hAnsi="宋体"/>
          <w:color w:val="000000"/>
          <w:spacing w:val="20"/>
          <w:kern w:val="10"/>
          <w:sz w:val="23"/>
          <w:szCs w:val="23"/>
        </w:rPr>
        <w:t>日15时整。竞买人如需进行电脑报价，应到交易大厦3楼使用专用电脑报价终端进行报价，电脑报价的要求详见《竞买须知》。电脑报价截止时，属“1人竞买”的，将根据竞买人的电脑报价情况和《竞买须知》的规定确定竞得人；属“多人竞买”的，将在电脑报价截止时间届满后即时进入现场竞价程序，并以“价高者得”为原则确定竞得人。</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六、其他</w:t>
      </w:r>
    </w:p>
    <w:p>
      <w:pPr>
        <w:spacing w:line="440" w:lineRule="exact"/>
        <w:ind w:firstLine="540" w:firstLineChars="200"/>
        <w:rPr>
          <w:rFonts w:hint="eastAsia" w:ascii="宋体" w:hAnsi="宋体"/>
          <w:color w:val="000000"/>
          <w:spacing w:val="20"/>
          <w:kern w:val="10"/>
          <w:sz w:val="23"/>
          <w:szCs w:val="23"/>
        </w:rPr>
      </w:pPr>
      <w:r>
        <w:rPr>
          <w:rFonts w:hint="eastAsia" w:ascii="宋体" w:hAnsi="宋体"/>
          <w:color w:val="000000"/>
          <w:spacing w:val="20"/>
          <w:kern w:val="10"/>
          <w:sz w:val="23"/>
          <w:szCs w:val="23"/>
        </w:rPr>
        <w:t>本公告内容如有调整，将在深圳土地矿业权交易平台发布补充公告。本公告有关详细资料请参阅挂牌出让文件（包括但不限于本公告、《竞买须知》《成交确认书》《出让合同》、产业发展监管协议等）。本公告同时在深圳市规划和自然资源局、深圳土地矿业权交易平台网站发布，挂牌出让文件可在深圳土地矿业权交易平台下载。需咨询本次出让程序相关问题的，可以书面方式向深圳交易集团有限公司土地矿业权业务分公司提出；其他相关问题，请迳向相关职能部门提出。</w:t>
      </w:r>
    </w:p>
    <w:p>
      <w:pPr>
        <w:spacing w:line="44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深圳市规划和自然资源局龙岗管理局地址：</w:t>
      </w:r>
      <w:r>
        <w:rPr>
          <w:rFonts w:hint="eastAsia" w:ascii="宋体" w:hAnsi="宋体"/>
          <w:color w:val="000000"/>
          <w:spacing w:val="20"/>
          <w:sz w:val="23"/>
          <w:szCs w:val="23"/>
        </w:rPr>
        <w:t>深圳市龙岗中心城建设大厦；</w:t>
      </w:r>
      <w:r>
        <w:rPr>
          <w:rFonts w:hint="eastAsia" w:ascii="宋体" w:hAnsi="宋体"/>
          <w:color w:val="000000"/>
          <w:spacing w:val="20"/>
          <w:kern w:val="10"/>
          <w:sz w:val="23"/>
          <w:szCs w:val="23"/>
        </w:rPr>
        <w:t>咨询电话：（0755）289</w:t>
      </w:r>
      <w:r>
        <w:rPr>
          <w:rFonts w:hint="eastAsia" w:ascii="宋体" w:hAnsi="宋体"/>
          <w:color w:val="000000"/>
          <w:spacing w:val="20"/>
          <w:kern w:val="10"/>
          <w:sz w:val="23"/>
          <w:szCs w:val="23"/>
          <w:lang w:val="en-US" w:eastAsia="zh-CN"/>
        </w:rPr>
        <w:t>18920</w:t>
      </w:r>
      <w:r>
        <w:rPr>
          <w:rFonts w:hint="eastAsia" w:ascii="宋体" w:hAnsi="宋体"/>
          <w:color w:val="000000"/>
          <w:spacing w:val="20"/>
          <w:kern w:val="10"/>
          <w:sz w:val="23"/>
          <w:szCs w:val="23"/>
        </w:rPr>
        <w:t>。</w:t>
      </w:r>
    </w:p>
    <w:p>
      <w:pPr>
        <w:spacing w:line="440" w:lineRule="exact"/>
        <w:ind w:firstLine="540" w:firstLineChars="200"/>
        <w:rPr>
          <w:rFonts w:hint="eastAsia" w:ascii="宋体" w:hAnsi="宋体"/>
          <w:color w:val="000000"/>
          <w:spacing w:val="20"/>
          <w:kern w:val="10"/>
          <w:sz w:val="23"/>
          <w:szCs w:val="23"/>
        </w:rPr>
      </w:pPr>
      <w:r>
        <w:rPr>
          <w:rFonts w:hint="eastAsia" w:ascii="宋体" w:hAnsi="宋体"/>
          <w:color w:val="000000"/>
          <w:spacing w:val="20"/>
          <w:kern w:val="10"/>
          <w:sz w:val="23"/>
          <w:szCs w:val="23"/>
          <w:lang w:val="en-US" w:eastAsia="zh-CN"/>
        </w:rPr>
        <w:t>深圳市</w:t>
      </w:r>
      <w:r>
        <w:rPr>
          <w:rFonts w:hint="eastAsia" w:ascii="宋体" w:hAnsi="宋体"/>
          <w:color w:val="000000"/>
          <w:spacing w:val="20"/>
          <w:kern w:val="10"/>
          <w:sz w:val="23"/>
          <w:szCs w:val="23"/>
        </w:rPr>
        <w:t>龙岗区</w:t>
      </w:r>
      <w:r>
        <w:rPr>
          <w:rFonts w:hint="eastAsia" w:ascii="宋体" w:hAnsi="宋体"/>
          <w:color w:val="000000"/>
          <w:spacing w:val="20"/>
          <w:kern w:val="10"/>
          <w:sz w:val="23"/>
          <w:szCs w:val="23"/>
          <w:lang w:val="en-US" w:eastAsia="zh-CN"/>
        </w:rPr>
        <w:t>投资推广和企业服务中心</w:t>
      </w:r>
      <w:r>
        <w:rPr>
          <w:rFonts w:hint="eastAsia" w:ascii="宋体" w:hAnsi="宋体"/>
          <w:color w:val="000000"/>
          <w:spacing w:val="20"/>
          <w:kern w:val="10"/>
          <w:sz w:val="23"/>
          <w:szCs w:val="23"/>
        </w:rPr>
        <w:t>地址</w:t>
      </w:r>
      <w:r>
        <w:rPr>
          <w:rFonts w:hint="eastAsia" w:ascii="宋体" w:hAnsi="宋体"/>
          <w:color w:val="000000"/>
          <w:spacing w:val="20"/>
          <w:kern w:val="10"/>
          <w:sz w:val="23"/>
          <w:szCs w:val="23"/>
          <w:lang w:eastAsia="zh-CN"/>
        </w:rPr>
        <w:t>：</w:t>
      </w:r>
      <w:r>
        <w:rPr>
          <w:rFonts w:hint="eastAsia" w:ascii="宋体" w:hAnsi="宋体"/>
          <w:color w:val="000000"/>
          <w:spacing w:val="20"/>
          <w:kern w:val="10"/>
          <w:sz w:val="23"/>
          <w:szCs w:val="23"/>
        </w:rPr>
        <w:t>深圳市龙岗区清林路海关大厦东座1152；咨询电话：（0755）</w:t>
      </w:r>
      <w:r>
        <w:rPr>
          <w:rFonts w:hint="eastAsia" w:ascii="宋体" w:hAnsi="宋体"/>
          <w:color w:val="000000"/>
          <w:spacing w:val="20"/>
          <w:kern w:val="10"/>
          <w:sz w:val="23"/>
          <w:szCs w:val="23"/>
          <w:lang w:val="en-US" w:eastAsia="zh-CN"/>
        </w:rPr>
        <w:t>28949299</w:t>
      </w:r>
      <w:r>
        <w:rPr>
          <w:rFonts w:hint="eastAsia" w:ascii="宋体" w:hAnsi="宋体"/>
          <w:color w:val="000000"/>
          <w:spacing w:val="20"/>
          <w:kern w:val="10"/>
          <w:sz w:val="23"/>
          <w:szCs w:val="23"/>
        </w:rPr>
        <w:t>。</w:t>
      </w:r>
    </w:p>
    <w:p>
      <w:pPr>
        <w:spacing w:line="400" w:lineRule="exact"/>
        <w:ind w:firstLine="540" w:firstLineChars="200"/>
        <w:rPr>
          <w:rFonts w:hint="eastAsia" w:ascii="宋体" w:hAnsi="宋体"/>
          <w:color w:val="000000"/>
          <w:spacing w:val="20"/>
          <w:kern w:val="10"/>
          <w:sz w:val="23"/>
          <w:szCs w:val="23"/>
        </w:rPr>
      </w:pPr>
      <w:r>
        <w:rPr>
          <w:rFonts w:hint="eastAsia" w:ascii="宋体" w:hAnsi="宋体"/>
          <w:color w:val="000000"/>
          <w:spacing w:val="20"/>
          <w:kern w:val="10"/>
          <w:sz w:val="23"/>
          <w:szCs w:val="23"/>
        </w:rPr>
        <w:t>深圳交易集团有限公司土地矿业权业务分公司 地址：深圳市福田区红荔西路8007号土地房产交易大厦3楼；咨询电话：（0755）82713074、（0755）82713274；网址：https://td.szggzy.com。</w:t>
      </w:r>
    </w:p>
    <w:p>
      <w:pPr>
        <w:pStyle w:val="2"/>
        <w:spacing w:line="440" w:lineRule="exact"/>
        <w:ind w:firstLine="420" w:firstLineChars="200"/>
        <w:jc w:val="right"/>
        <w:rPr>
          <w:rFonts w:ascii="宋体" w:hAnsi="宋体" w:eastAsia="宋体"/>
          <w:color w:val="000000"/>
        </w:rPr>
      </w:pPr>
    </w:p>
    <w:p>
      <w:pPr>
        <w:pStyle w:val="6"/>
        <w:keepNext w:val="0"/>
        <w:keepLines w:val="0"/>
        <w:widowControl/>
        <w:suppressLineNumbers w:val="0"/>
        <w:spacing w:before="0" w:beforeAutospacing="0" w:after="20" w:afterAutospacing="0"/>
        <w:ind w:left="0" w:right="0" w:firstLine="0"/>
        <w:jc w:val="right"/>
        <w:rPr>
          <w:rFonts w:ascii="微软雅黑" w:hAnsi="微软雅黑" w:eastAsia="微软雅黑" w:cs="微软雅黑"/>
          <w:i w:val="0"/>
          <w:iCs w:val="0"/>
          <w:caps w:val="0"/>
          <w:color w:val="000000"/>
          <w:spacing w:val="0"/>
          <w:sz w:val="23"/>
          <w:szCs w:val="23"/>
        </w:rPr>
      </w:pPr>
      <w:r>
        <w:rPr>
          <w:rFonts w:hint="eastAsia" w:ascii="宋体" w:hAnsi="宋体" w:eastAsia="宋体" w:cs="宋体"/>
          <w:b/>
          <w:bCs/>
          <w:i w:val="0"/>
          <w:iCs w:val="0"/>
          <w:caps w:val="0"/>
          <w:color w:val="000000"/>
          <w:spacing w:val="0"/>
          <w:sz w:val="23"/>
          <w:szCs w:val="23"/>
        </w:rPr>
        <w:t>出让人：深圳市规划和自然资源局龙岗管理局</w:t>
      </w:r>
    </w:p>
    <w:p>
      <w:pPr>
        <w:pStyle w:val="6"/>
        <w:keepNext w:val="0"/>
        <w:keepLines w:val="0"/>
        <w:widowControl/>
        <w:suppressLineNumbers w:val="0"/>
        <w:spacing w:before="0" w:beforeAutospacing="0" w:after="20" w:afterAutospacing="0"/>
        <w:ind w:left="0" w:right="0" w:firstLine="0"/>
        <w:jc w:val="right"/>
        <w:rPr>
          <w:rFonts w:hint="eastAsia" w:ascii="微软雅黑" w:hAnsi="微软雅黑" w:eastAsia="微软雅黑" w:cs="微软雅黑"/>
          <w:i w:val="0"/>
          <w:iCs w:val="0"/>
          <w:caps w:val="0"/>
          <w:color w:val="000000"/>
          <w:spacing w:val="0"/>
          <w:sz w:val="23"/>
          <w:szCs w:val="23"/>
        </w:rPr>
      </w:pPr>
      <w:r>
        <w:rPr>
          <w:rFonts w:hint="eastAsia" w:ascii="宋体" w:hAnsi="宋体" w:eastAsia="宋体" w:cs="宋体"/>
          <w:b/>
          <w:bCs/>
          <w:i w:val="0"/>
          <w:iCs w:val="0"/>
          <w:caps w:val="0"/>
          <w:color w:val="000000"/>
          <w:spacing w:val="0"/>
          <w:sz w:val="23"/>
          <w:szCs w:val="23"/>
        </w:rPr>
        <w:t>交易机构：深圳交易集团有限公司</w:t>
      </w:r>
    </w:p>
    <w:p>
      <w:pPr>
        <w:pStyle w:val="6"/>
        <w:keepNext w:val="0"/>
        <w:keepLines w:val="0"/>
        <w:widowControl/>
        <w:suppressLineNumbers w:val="0"/>
        <w:spacing w:before="0" w:beforeAutospacing="0" w:after="20" w:afterAutospacing="0"/>
        <w:ind w:left="0" w:right="0" w:firstLine="0"/>
        <w:jc w:val="right"/>
        <w:rPr>
          <w:rFonts w:hint="eastAsia" w:ascii="微软雅黑" w:hAnsi="微软雅黑" w:eastAsia="微软雅黑" w:cs="微软雅黑"/>
          <w:i w:val="0"/>
          <w:iCs w:val="0"/>
          <w:caps w:val="0"/>
          <w:color w:val="000000"/>
          <w:spacing w:val="0"/>
          <w:sz w:val="23"/>
          <w:szCs w:val="23"/>
        </w:rPr>
      </w:pPr>
      <w:r>
        <w:rPr>
          <w:rFonts w:hint="eastAsia" w:ascii="宋体" w:hAnsi="宋体" w:eastAsia="宋体" w:cs="宋体"/>
          <w:b/>
          <w:bCs/>
          <w:i w:val="0"/>
          <w:iCs w:val="0"/>
          <w:caps w:val="0"/>
          <w:color w:val="000000"/>
          <w:spacing w:val="0"/>
          <w:sz w:val="23"/>
          <w:szCs w:val="23"/>
        </w:rPr>
        <w:t>（深圳公共资源交易中心）</w:t>
      </w:r>
    </w:p>
    <w:p>
      <w:pPr>
        <w:pStyle w:val="6"/>
        <w:keepNext w:val="0"/>
        <w:keepLines w:val="0"/>
        <w:widowControl/>
        <w:suppressLineNumbers w:val="0"/>
        <w:spacing w:before="0" w:beforeAutospacing="0" w:after="20" w:afterAutospacing="0"/>
        <w:ind w:left="0" w:right="0" w:firstLine="0"/>
        <w:jc w:val="right"/>
        <w:rPr>
          <w:rFonts w:hint="eastAsia" w:ascii="微软雅黑" w:hAnsi="微软雅黑" w:eastAsia="微软雅黑" w:cs="微软雅黑"/>
          <w:i w:val="0"/>
          <w:iCs w:val="0"/>
          <w:caps w:val="0"/>
          <w:color w:val="000000"/>
          <w:spacing w:val="0"/>
          <w:sz w:val="23"/>
          <w:szCs w:val="23"/>
        </w:rPr>
      </w:pPr>
      <w:r>
        <w:rPr>
          <w:rFonts w:hint="eastAsia" w:ascii="宋体" w:hAnsi="宋体" w:eastAsia="宋体" w:cs="宋体"/>
          <w:b/>
          <w:bCs/>
          <w:i w:val="0"/>
          <w:iCs w:val="0"/>
          <w:caps w:val="0"/>
          <w:color w:val="000000"/>
          <w:spacing w:val="0"/>
          <w:sz w:val="23"/>
          <w:szCs w:val="23"/>
        </w:rPr>
        <w:t>2021年</w:t>
      </w:r>
      <w:r>
        <w:rPr>
          <w:rFonts w:hint="eastAsia" w:ascii="宋体" w:hAnsi="宋体" w:eastAsia="宋体" w:cs="宋体"/>
          <w:b/>
          <w:bCs/>
          <w:i w:val="0"/>
          <w:iCs w:val="0"/>
          <w:caps w:val="0"/>
          <w:color w:val="000000"/>
          <w:spacing w:val="0"/>
          <w:sz w:val="23"/>
          <w:szCs w:val="23"/>
          <w:lang w:val="en-US" w:eastAsia="zh-CN"/>
        </w:rPr>
        <w:t>10</w:t>
      </w:r>
      <w:r>
        <w:rPr>
          <w:rFonts w:hint="eastAsia" w:ascii="宋体" w:hAnsi="宋体" w:eastAsia="宋体" w:cs="宋体"/>
          <w:b/>
          <w:bCs/>
          <w:i w:val="0"/>
          <w:iCs w:val="0"/>
          <w:caps w:val="0"/>
          <w:color w:val="000000"/>
          <w:spacing w:val="0"/>
          <w:sz w:val="23"/>
          <w:szCs w:val="23"/>
        </w:rPr>
        <w:t>月</w:t>
      </w:r>
      <w:r>
        <w:rPr>
          <w:rFonts w:hint="eastAsia" w:ascii="宋体" w:hAnsi="宋体" w:eastAsia="宋体" w:cs="宋体"/>
          <w:b/>
          <w:bCs/>
          <w:i w:val="0"/>
          <w:iCs w:val="0"/>
          <w:caps w:val="0"/>
          <w:color w:val="000000"/>
          <w:spacing w:val="0"/>
          <w:sz w:val="23"/>
          <w:szCs w:val="23"/>
          <w:lang w:val="en-US" w:eastAsia="zh-CN"/>
        </w:rPr>
        <w:t>25</w:t>
      </w:r>
      <w:r>
        <w:rPr>
          <w:rFonts w:hint="eastAsia" w:ascii="宋体" w:hAnsi="宋体" w:eastAsia="宋体" w:cs="宋体"/>
          <w:b/>
          <w:bCs/>
          <w:i w:val="0"/>
          <w:iCs w:val="0"/>
          <w:caps w:val="0"/>
          <w:color w:val="000000"/>
          <w:spacing w:val="0"/>
          <w:sz w:val="23"/>
          <w:szCs w:val="23"/>
        </w:rPr>
        <w:t>日</w:t>
      </w:r>
    </w:p>
    <w:p>
      <w:pPr>
        <w:wordWrap w:val="0"/>
        <w:jc w:val="right"/>
        <w:rPr>
          <w:rFonts w:ascii="宋体" w:hAnsi="宋体" w:eastAsia="宋体" w:cs="Times New Roman"/>
          <w:color w:val="000000"/>
          <w:spacing w:val="20"/>
          <w:kern w:val="10"/>
          <w:sz w:val="23"/>
          <w:szCs w:val="23"/>
        </w:rPr>
      </w:pPr>
      <w:r>
        <w:rPr>
          <w:rFonts w:hint="eastAsia" w:ascii="宋体" w:hAnsi="宋体" w:eastAsia="宋体" w:cs="Times New Roman"/>
          <w:b/>
          <w:color w:val="000000"/>
          <w:spacing w:val="20"/>
          <w:kern w:val="10"/>
          <w:sz w:val="23"/>
          <w:szCs w:val="23"/>
        </w:rPr>
        <w:t xml:space="preserve"> </w:t>
      </w:r>
    </w:p>
    <w:sectPr>
      <w:headerReference r:id="rId3" w:type="default"/>
      <w:footerReference r:id="rId5" w:type="default"/>
      <w:headerReference r:id="rId4" w:type="even"/>
      <w:footerReference r:id="rId6" w:type="even"/>
      <w:pgSz w:w="11907" w:h="16839"/>
      <w:pgMar w:top="1259" w:right="851" w:bottom="1616" w:left="1276" w:header="851" w:footer="635" w:gutter="0"/>
      <w:pgBorders>
        <w:top w:val="none" w:sz="0" w:space="0"/>
        <w:left w:val="none" w:sz="0" w:space="0"/>
        <w:bottom w:val="none" w:sz="0" w:space="0"/>
        <w:right w:val="none" w:sz="0" w:space="0"/>
      </w:pgBorders>
      <w:cols w:space="425" w:num="1"/>
      <w:docGrid w:type="lines"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汉仪书宋二简">
    <w:altName w:val="宋体"/>
    <w:panose1 w:val="00000000000000000000"/>
    <w:charset w:val="86"/>
    <w:family w:val="modern"/>
    <w:pitch w:val="default"/>
    <w:sig w:usb0="00000000" w:usb1="00000000" w:usb2="00000012"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B534F"/>
    <w:multiLevelType w:val="singleLevel"/>
    <w:tmpl w:val="B13B534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HorizontalSpacing w:val="1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6E06"/>
    <w:rsid w:val="00037853"/>
    <w:rsid w:val="0004121F"/>
    <w:rsid w:val="0006402A"/>
    <w:rsid w:val="00072C84"/>
    <w:rsid w:val="000B0504"/>
    <w:rsid w:val="000C36E8"/>
    <w:rsid w:val="000E31BB"/>
    <w:rsid w:val="000E624A"/>
    <w:rsid w:val="000F1E67"/>
    <w:rsid w:val="000F311D"/>
    <w:rsid w:val="000F3CAB"/>
    <w:rsid w:val="00100095"/>
    <w:rsid w:val="00134071"/>
    <w:rsid w:val="00145FAF"/>
    <w:rsid w:val="00147D19"/>
    <w:rsid w:val="00150C8E"/>
    <w:rsid w:val="0015556F"/>
    <w:rsid w:val="00181D49"/>
    <w:rsid w:val="001A0F00"/>
    <w:rsid w:val="001C1D76"/>
    <w:rsid w:val="001D1142"/>
    <w:rsid w:val="001D29DD"/>
    <w:rsid w:val="001D5C6A"/>
    <w:rsid w:val="001F23D0"/>
    <w:rsid w:val="00201F01"/>
    <w:rsid w:val="0024221C"/>
    <w:rsid w:val="00266CD7"/>
    <w:rsid w:val="0028196F"/>
    <w:rsid w:val="002847CD"/>
    <w:rsid w:val="00291F0A"/>
    <w:rsid w:val="002B6479"/>
    <w:rsid w:val="002B76DA"/>
    <w:rsid w:val="002C3912"/>
    <w:rsid w:val="003005DF"/>
    <w:rsid w:val="00324CD6"/>
    <w:rsid w:val="00342097"/>
    <w:rsid w:val="003443E5"/>
    <w:rsid w:val="003554E4"/>
    <w:rsid w:val="00360332"/>
    <w:rsid w:val="003719E4"/>
    <w:rsid w:val="003A3C90"/>
    <w:rsid w:val="003D4DCA"/>
    <w:rsid w:val="0040755A"/>
    <w:rsid w:val="00411FFE"/>
    <w:rsid w:val="00413EAE"/>
    <w:rsid w:val="0042004A"/>
    <w:rsid w:val="00420D15"/>
    <w:rsid w:val="00433889"/>
    <w:rsid w:val="00442EBF"/>
    <w:rsid w:val="00452253"/>
    <w:rsid w:val="00453AAC"/>
    <w:rsid w:val="00456E06"/>
    <w:rsid w:val="004B5CC7"/>
    <w:rsid w:val="004C5C0D"/>
    <w:rsid w:val="004C6700"/>
    <w:rsid w:val="004D6364"/>
    <w:rsid w:val="004E0D1B"/>
    <w:rsid w:val="004E4542"/>
    <w:rsid w:val="004E78FB"/>
    <w:rsid w:val="0053532A"/>
    <w:rsid w:val="005442F4"/>
    <w:rsid w:val="00544B8C"/>
    <w:rsid w:val="00553866"/>
    <w:rsid w:val="00555508"/>
    <w:rsid w:val="005568F7"/>
    <w:rsid w:val="00565A6F"/>
    <w:rsid w:val="005660D5"/>
    <w:rsid w:val="00590676"/>
    <w:rsid w:val="005951BB"/>
    <w:rsid w:val="005C2A3E"/>
    <w:rsid w:val="005E29BE"/>
    <w:rsid w:val="00611B7A"/>
    <w:rsid w:val="00615BE5"/>
    <w:rsid w:val="006340B8"/>
    <w:rsid w:val="006412D8"/>
    <w:rsid w:val="00647A78"/>
    <w:rsid w:val="00655F76"/>
    <w:rsid w:val="00661508"/>
    <w:rsid w:val="006669A1"/>
    <w:rsid w:val="00666F6A"/>
    <w:rsid w:val="006755D0"/>
    <w:rsid w:val="0068348E"/>
    <w:rsid w:val="0069314C"/>
    <w:rsid w:val="006A4B5F"/>
    <w:rsid w:val="006B6A16"/>
    <w:rsid w:val="006B7911"/>
    <w:rsid w:val="006D5A35"/>
    <w:rsid w:val="00702052"/>
    <w:rsid w:val="007119E2"/>
    <w:rsid w:val="00715CC0"/>
    <w:rsid w:val="00726104"/>
    <w:rsid w:val="00737519"/>
    <w:rsid w:val="00743991"/>
    <w:rsid w:val="0075221D"/>
    <w:rsid w:val="0076538F"/>
    <w:rsid w:val="00772B6A"/>
    <w:rsid w:val="00775C45"/>
    <w:rsid w:val="007A5216"/>
    <w:rsid w:val="007B2786"/>
    <w:rsid w:val="008135D1"/>
    <w:rsid w:val="00826C15"/>
    <w:rsid w:val="0083371F"/>
    <w:rsid w:val="008434EA"/>
    <w:rsid w:val="0084520C"/>
    <w:rsid w:val="00881ECA"/>
    <w:rsid w:val="00892D67"/>
    <w:rsid w:val="008A02B4"/>
    <w:rsid w:val="008B0F84"/>
    <w:rsid w:val="008C12D0"/>
    <w:rsid w:val="008E663B"/>
    <w:rsid w:val="00924C07"/>
    <w:rsid w:val="0095080F"/>
    <w:rsid w:val="009758DD"/>
    <w:rsid w:val="00977675"/>
    <w:rsid w:val="009918EB"/>
    <w:rsid w:val="009C59FF"/>
    <w:rsid w:val="009E5F9D"/>
    <w:rsid w:val="009F28D4"/>
    <w:rsid w:val="009F3E07"/>
    <w:rsid w:val="009F7622"/>
    <w:rsid w:val="00A16725"/>
    <w:rsid w:val="00A16E12"/>
    <w:rsid w:val="00A503D9"/>
    <w:rsid w:val="00A509B3"/>
    <w:rsid w:val="00A65CA0"/>
    <w:rsid w:val="00A70C62"/>
    <w:rsid w:val="00A7270D"/>
    <w:rsid w:val="00A81A64"/>
    <w:rsid w:val="00A90759"/>
    <w:rsid w:val="00A911DA"/>
    <w:rsid w:val="00A9221B"/>
    <w:rsid w:val="00AA6803"/>
    <w:rsid w:val="00AC0071"/>
    <w:rsid w:val="00AC01E5"/>
    <w:rsid w:val="00AE13D2"/>
    <w:rsid w:val="00AF1A72"/>
    <w:rsid w:val="00AF2EB3"/>
    <w:rsid w:val="00B3039B"/>
    <w:rsid w:val="00B3532E"/>
    <w:rsid w:val="00B61B85"/>
    <w:rsid w:val="00B64E39"/>
    <w:rsid w:val="00B75D48"/>
    <w:rsid w:val="00B77502"/>
    <w:rsid w:val="00B81DCC"/>
    <w:rsid w:val="00B90742"/>
    <w:rsid w:val="00BA4BC2"/>
    <w:rsid w:val="00BB2B73"/>
    <w:rsid w:val="00BC38F4"/>
    <w:rsid w:val="00BF3DD9"/>
    <w:rsid w:val="00C4283D"/>
    <w:rsid w:val="00C514BC"/>
    <w:rsid w:val="00C577BD"/>
    <w:rsid w:val="00C64E39"/>
    <w:rsid w:val="00CE6140"/>
    <w:rsid w:val="00D00EF8"/>
    <w:rsid w:val="00D07C92"/>
    <w:rsid w:val="00D11101"/>
    <w:rsid w:val="00D11673"/>
    <w:rsid w:val="00D218E0"/>
    <w:rsid w:val="00D21D39"/>
    <w:rsid w:val="00D47786"/>
    <w:rsid w:val="00D7087D"/>
    <w:rsid w:val="00D828DF"/>
    <w:rsid w:val="00D842BF"/>
    <w:rsid w:val="00D86F8D"/>
    <w:rsid w:val="00D944D0"/>
    <w:rsid w:val="00D960D0"/>
    <w:rsid w:val="00D96FA6"/>
    <w:rsid w:val="00D97E71"/>
    <w:rsid w:val="00DD1042"/>
    <w:rsid w:val="00DE3414"/>
    <w:rsid w:val="00E1107C"/>
    <w:rsid w:val="00E27FE2"/>
    <w:rsid w:val="00E64E73"/>
    <w:rsid w:val="00E6607A"/>
    <w:rsid w:val="00E805D9"/>
    <w:rsid w:val="00E928C6"/>
    <w:rsid w:val="00E9313A"/>
    <w:rsid w:val="00E9572D"/>
    <w:rsid w:val="00EA7394"/>
    <w:rsid w:val="00EB6867"/>
    <w:rsid w:val="00ED3A45"/>
    <w:rsid w:val="00F13F60"/>
    <w:rsid w:val="00F43521"/>
    <w:rsid w:val="00F61EC9"/>
    <w:rsid w:val="00F65150"/>
    <w:rsid w:val="00F77BA5"/>
    <w:rsid w:val="00F87ED0"/>
    <w:rsid w:val="00FD5D4F"/>
    <w:rsid w:val="00FF18C5"/>
    <w:rsid w:val="00FF4915"/>
    <w:rsid w:val="0B7070AA"/>
    <w:rsid w:val="12D04EEA"/>
    <w:rsid w:val="1C6C6C9A"/>
    <w:rsid w:val="1F205B9F"/>
    <w:rsid w:val="21421C65"/>
    <w:rsid w:val="23C621D4"/>
    <w:rsid w:val="24571010"/>
    <w:rsid w:val="27EA5017"/>
    <w:rsid w:val="28626BF0"/>
    <w:rsid w:val="34503A75"/>
    <w:rsid w:val="38D65D09"/>
    <w:rsid w:val="3CD87E00"/>
    <w:rsid w:val="433837DE"/>
    <w:rsid w:val="44250A8D"/>
    <w:rsid w:val="45CB5901"/>
    <w:rsid w:val="4BA015AB"/>
    <w:rsid w:val="520D3D90"/>
    <w:rsid w:val="65664F72"/>
    <w:rsid w:val="68397D26"/>
    <w:rsid w:val="6BEC3531"/>
    <w:rsid w:val="6C1176CB"/>
    <w:rsid w:val="6D956122"/>
    <w:rsid w:val="6DBB38AE"/>
    <w:rsid w:val="6FEC3DEB"/>
    <w:rsid w:val="71A7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6"/>
    <w:semiHidden/>
    <w:unhideWhenUsed/>
    <w:qFormat/>
    <w:uiPriority w:val="99"/>
    <w:pPr>
      <w:spacing w:after="120" w:line="480" w:lineRule="auto"/>
      <w:ind w:left="420" w:leftChars="200"/>
    </w:p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sz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000FF" w:themeColor="hyperlink"/>
      <w:u w:val="single"/>
    </w:rPr>
  </w:style>
  <w:style w:type="character" w:customStyle="1" w:styleId="12">
    <w:name w:val="页脚 Char"/>
    <w:basedOn w:val="8"/>
    <w:link w:val="4"/>
    <w:qFormat/>
    <w:uiPriority w:val="0"/>
    <w:rPr>
      <w:rFonts w:ascii="Times New Roman" w:hAnsi="Times New Roman" w:eastAsia="宋体" w:cs="Times New Roman"/>
      <w:sz w:val="18"/>
      <w:szCs w:val="18"/>
    </w:rPr>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正文文本缩进 2 Char"/>
    <w:basedOn w:val="8"/>
    <w:link w:val="2"/>
    <w:semiHidden/>
    <w:qFormat/>
    <w:uiPriority w:val="99"/>
  </w:style>
  <w:style w:type="character" w:customStyle="1" w:styleId="17">
    <w:name w:val="font21"/>
    <w:basedOn w:val="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F00FB-889D-4157-8999-64CC0C83409F}">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333</Words>
  <Characters>1904</Characters>
  <Lines>15</Lines>
  <Paragraphs>4</Paragraphs>
  <TotalTime>23</TotalTime>
  <ScaleCrop>false</ScaleCrop>
  <LinksUpToDate>false</LinksUpToDate>
  <CharactersWithSpaces>2233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2020-09-02T01:17:00Z</dcterms:created>
  <dc:creator>null</dc:creator>
  <cp:lastModifiedBy>YTFGS</cp:lastModifiedBy>
  <cp:lastPrinted>2021-10-18T06:50:00Z</cp:lastPrinted>
  <dcterms:modified xsi:type="dcterms:W3CDTF">2021-10-22T07:44:05Z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6BD555F6270F4E5991DA717C7F89EA73</vt:lpwstr>
  </property>
</Properties>
</file>