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Times New Roman" w:eastAsia="仿宋_GB2312" w:cs="Calibri"/>
          <w:b/>
          <w:sz w:val="32"/>
          <w:szCs w:val="32"/>
        </w:rPr>
      </w:pPr>
    </w:p>
    <w:p>
      <w:pPr>
        <w:jc w:val="center"/>
        <w:rPr>
          <w:rFonts w:ascii="仿宋_GB2312" w:hAnsi="Times New Roman" w:eastAsia="仿宋_GB2312" w:cs="Calibri"/>
          <w:b/>
          <w:sz w:val="32"/>
          <w:szCs w:val="32"/>
        </w:rPr>
      </w:pPr>
      <w:r>
        <w:rPr>
          <w:rFonts w:hint="eastAsia" w:ascii="仿宋_GB2312" w:hAnsi="Times New Roman" w:eastAsia="仿宋_GB2312" w:cs="Calibri"/>
          <w:b/>
          <w:sz w:val="32"/>
          <w:szCs w:val="32"/>
        </w:rPr>
        <w:t>关于[新大-东山地区]法定图则04-03等地块规划调整的通告</w:t>
      </w:r>
    </w:p>
    <w:p>
      <w:pPr>
        <w:jc w:val="center"/>
        <w:rPr>
          <w:rFonts w:ascii="仿宋_GB2312" w:hAnsi="Times New Roman" w:eastAsia="仿宋_GB2312" w:cs="Calibri"/>
          <w:b/>
          <w:sz w:val="32"/>
          <w:szCs w:val="32"/>
        </w:rPr>
      </w:pPr>
    </w:p>
    <w:p>
      <w:pPr>
        <w:ind w:firstLine="480" w:firstLineChars="150"/>
        <w:rPr>
          <w:rFonts w:ascii="仿宋_GB2312" w:hAnsi="Times New Roman" w:eastAsia="仿宋_GB2312" w:cs="Calibri"/>
          <w:sz w:val="32"/>
          <w:szCs w:val="32"/>
        </w:rPr>
      </w:pPr>
      <w:r>
        <w:rPr>
          <w:rFonts w:hint="eastAsia" w:ascii="仿宋_GB2312" w:hAnsi="Times New Roman" w:eastAsia="仿宋_GB2312" w:cs="Calibri"/>
          <w:sz w:val="32"/>
          <w:szCs w:val="32"/>
        </w:rPr>
        <w:t>依据《深圳市城市规划条例》，经深圳市城市规划委员会授权，法定图则委员会20</w:t>
      </w:r>
      <w:r>
        <w:rPr>
          <w:rFonts w:hint="eastAsia" w:ascii="仿宋_GB2312" w:hAnsi="Times New Roman" w:eastAsia="仿宋_GB2312" w:cs="Calibri"/>
          <w:sz w:val="32"/>
          <w:szCs w:val="32"/>
          <w:lang w:val="en-US" w:eastAsia="zh-CN"/>
        </w:rPr>
        <w:t>21</w:t>
      </w:r>
      <w:r>
        <w:rPr>
          <w:rFonts w:hint="eastAsia" w:ascii="仿宋_GB2312" w:hAnsi="Times New Roman" w:eastAsia="仿宋_GB2312" w:cs="Calibri"/>
          <w:sz w:val="32"/>
          <w:szCs w:val="32"/>
        </w:rPr>
        <w:t>年第</w:t>
      </w:r>
      <w:r>
        <w:rPr>
          <w:rFonts w:hint="eastAsia" w:ascii="仿宋_GB2312" w:hAnsi="Times New Roman" w:eastAsia="仿宋_GB2312" w:cs="Calibri"/>
          <w:sz w:val="32"/>
          <w:szCs w:val="32"/>
          <w:lang w:val="en-US" w:eastAsia="zh-CN"/>
        </w:rPr>
        <w:t>7</w:t>
      </w:r>
      <w:r>
        <w:rPr>
          <w:rFonts w:hint="eastAsia" w:ascii="仿宋_GB2312" w:hAnsi="Times New Roman" w:eastAsia="仿宋_GB2312" w:cs="Calibri"/>
          <w:sz w:val="32"/>
          <w:szCs w:val="32"/>
        </w:rPr>
        <w:t>次会议审批通过[新大-东山地区]法定图则04-03</w:t>
      </w:r>
      <w:r>
        <w:rPr>
          <w:rFonts w:hint="eastAsia" w:ascii="仿宋_GB2312" w:hAnsi="Times New Roman" w:eastAsia="仿宋_GB2312" w:cs="Calibri"/>
          <w:sz w:val="32"/>
          <w:szCs w:val="32"/>
          <w:lang w:eastAsia="zh-CN"/>
        </w:rPr>
        <w:t>、04-04、04-22</w:t>
      </w:r>
      <w:r>
        <w:rPr>
          <w:rFonts w:hint="eastAsia" w:ascii="仿宋_GB2312" w:hAnsi="Times New Roman" w:eastAsia="仿宋_GB2312" w:cs="Calibri"/>
          <w:sz w:val="32"/>
          <w:szCs w:val="32"/>
        </w:rPr>
        <w:t>地块规划调整事项，现予以公布：</w:t>
      </w:r>
    </w:p>
    <w:p>
      <w:pPr>
        <w:jc w:val="both"/>
      </w:pPr>
    </w:p>
    <w:p>
      <w:pPr>
        <w:jc w:val="center"/>
      </w:pPr>
      <w:r>
        <w:drawing>
          <wp:inline distT="0" distB="0" distL="114300" distR="114300">
            <wp:extent cx="5248275" cy="4904740"/>
            <wp:effectExtent l="0" t="0" r="9525" b="101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490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tbl>
      <w:tblPr>
        <w:tblStyle w:val="6"/>
        <w:tblW w:w="9498" w:type="dxa"/>
        <w:tblInd w:w="-22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6"/>
        <w:gridCol w:w="943"/>
        <w:gridCol w:w="1114"/>
        <w:gridCol w:w="1351"/>
        <w:gridCol w:w="835"/>
        <w:gridCol w:w="3021"/>
        <w:gridCol w:w="125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9498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华文细黑" w:hAnsi="华文细黑" w:eastAsia="华文细黑" w:cs="Arial"/>
                <w:b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hint="eastAsia" w:ascii="华文细黑" w:hAnsi="华文细黑" w:eastAsia="华文细黑" w:cs="Arial"/>
                <w:b/>
                <w:bCs/>
                <w:color w:val="000000"/>
                <w:kern w:val="24"/>
                <w:sz w:val="20"/>
                <w:szCs w:val="20"/>
              </w:rPr>
              <w:t>地块控制指标一览表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hint="eastAsia" w:ascii="华文细黑" w:hAnsi="华文细黑" w:eastAsia="华文细黑" w:cs="Arial"/>
                <w:b/>
                <w:bCs/>
                <w:color w:val="000000"/>
                <w:kern w:val="24"/>
                <w:sz w:val="20"/>
                <w:szCs w:val="20"/>
              </w:rPr>
              <w:t>地块编号</w:t>
            </w:r>
          </w:p>
        </w:tc>
        <w:tc>
          <w:tcPr>
            <w:tcW w:w="9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hint="eastAsia" w:ascii="华文细黑" w:hAnsi="华文细黑" w:eastAsia="华文细黑" w:cs="Arial"/>
                <w:b/>
                <w:bCs/>
                <w:color w:val="000000"/>
                <w:kern w:val="24"/>
                <w:sz w:val="20"/>
                <w:szCs w:val="20"/>
              </w:rPr>
              <w:t>用地代码</w:t>
            </w:r>
          </w:p>
        </w:tc>
        <w:tc>
          <w:tcPr>
            <w:tcW w:w="11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hint="eastAsia" w:ascii="华文细黑" w:hAnsi="华文细黑" w:eastAsia="华文细黑" w:cs="Arial"/>
                <w:b/>
                <w:bCs/>
                <w:color w:val="000000"/>
                <w:kern w:val="24"/>
                <w:sz w:val="20"/>
                <w:szCs w:val="20"/>
              </w:rPr>
              <w:t>用地性质</w:t>
            </w:r>
          </w:p>
        </w:tc>
        <w:tc>
          <w:tcPr>
            <w:tcW w:w="13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华文细黑" w:hAnsi="华文细黑" w:eastAsia="华文细黑" w:cs="Arial"/>
                <w:b/>
                <w:bCs/>
                <w:color w:val="000000"/>
                <w:kern w:val="24"/>
                <w:sz w:val="20"/>
                <w:szCs w:val="20"/>
              </w:rPr>
            </w:pPr>
            <w:r>
              <w:rPr>
                <w:rFonts w:hint="eastAsia" w:ascii="华文细黑" w:hAnsi="华文细黑" w:eastAsia="华文细黑" w:cs="Arial"/>
                <w:b/>
                <w:bCs/>
                <w:color w:val="000000"/>
                <w:kern w:val="24"/>
                <w:sz w:val="20"/>
                <w:szCs w:val="20"/>
              </w:rPr>
              <w:t>用地面积</w:t>
            </w:r>
          </w:p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hint="eastAsia" w:ascii="华文细黑" w:hAnsi="华文细黑" w:eastAsia="华文细黑" w:cs="Arial"/>
                <w:b/>
                <w:bCs/>
                <w:color w:val="000000"/>
                <w:kern w:val="24"/>
                <w:sz w:val="20"/>
                <w:szCs w:val="20"/>
              </w:rPr>
              <w:t>（㎡）</w:t>
            </w:r>
          </w:p>
        </w:tc>
        <w:tc>
          <w:tcPr>
            <w:tcW w:w="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hint="eastAsia" w:ascii="华文细黑" w:hAnsi="华文细黑" w:eastAsia="华文细黑" w:cs="Arial"/>
                <w:b/>
                <w:bCs/>
                <w:color w:val="000000"/>
                <w:kern w:val="24"/>
                <w:sz w:val="20"/>
                <w:szCs w:val="20"/>
              </w:rPr>
              <w:t>容积率</w:t>
            </w:r>
          </w:p>
        </w:tc>
        <w:tc>
          <w:tcPr>
            <w:tcW w:w="30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hint="eastAsia" w:ascii="华文细黑" w:hAnsi="华文细黑" w:eastAsia="华文细黑" w:cs="Arial"/>
                <w:b/>
                <w:bCs/>
                <w:color w:val="000000"/>
                <w:kern w:val="24"/>
                <w:sz w:val="20"/>
                <w:szCs w:val="20"/>
              </w:rPr>
              <w:t>配套设施设置</w:t>
            </w:r>
          </w:p>
        </w:tc>
        <w:tc>
          <w:tcPr>
            <w:tcW w:w="1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hint="eastAsia" w:ascii="华文细黑" w:hAnsi="华文细黑" w:eastAsia="华文细黑" w:cs="Arial"/>
                <w:b/>
                <w:bCs/>
                <w:color w:val="000000"/>
                <w:kern w:val="24"/>
                <w:sz w:val="20"/>
                <w:szCs w:val="20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04-03-1</w:t>
            </w:r>
          </w:p>
        </w:tc>
        <w:tc>
          <w:tcPr>
            <w:tcW w:w="9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R2</w:t>
            </w:r>
          </w:p>
        </w:tc>
        <w:tc>
          <w:tcPr>
            <w:tcW w:w="11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二类居住用地</w:t>
            </w:r>
          </w:p>
        </w:tc>
        <w:tc>
          <w:tcPr>
            <w:tcW w:w="13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60047.18</w:t>
            </w:r>
          </w:p>
        </w:tc>
        <w:tc>
          <w:tcPr>
            <w:tcW w:w="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0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bCs/>
                <w:kern w:val="24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文化活动室（1500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）、公交首末站（3000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）、公共充电站（1100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）、社区警务室（50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）、社区管理用房（300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）、社区体育活动场地（占地面积1000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，设置乒乓球场和篮球场）</w:t>
            </w:r>
          </w:p>
        </w:tc>
        <w:tc>
          <w:tcPr>
            <w:tcW w:w="1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规划（该地块开发建设时应保留用地内的山体，塑造小区生态景观特色）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04-03-2</w:t>
            </w:r>
          </w:p>
        </w:tc>
        <w:tc>
          <w:tcPr>
            <w:tcW w:w="9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GIC5</w:t>
            </w:r>
          </w:p>
        </w:tc>
        <w:tc>
          <w:tcPr>
            <w:tcW w:w="11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教育设施用地</w:t>
            </w:r>
          </w:p>
        </w:tc>
        <w:tc>
          <w:tcPr>
            <w:tcW w:w="13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14338.41</w:t>
            </w:r>
          </w:p>
        </w:tc>
        <w:tc>
          <w:tcPr>
            <w:tcW w:w="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——</w:t>
            </w:r>
          </w:p>
        </w:tc>
        <w:tc>
          <w:tcPr>
            <w:tcW w:w="30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bCs/>
                <w:kern w:val="24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九年一贯制学校（班级规模为27班）</w:t>
            </w:r>
          </w:p>
        </w:tc>
        <w:tc>
          <w:tcPr>
            <w:tcW w:w="1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——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04-03-3</w:t>
            </w:r>
          </w:p>
        </w:tc>
        <w:tc>
          <w:tcPr>
            <w:tcW w:w="9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R2</w:t>
            </w:r>
          </w:p>
        </w:tc>
        <w:tc>
          <w:tcPr>
            <w:tcW w:w="11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二类居住用地</w:t>
            </w:r>
          </w:p>
        </w:tc>
        <w:tc>
          <w:tcPr>
            <w:tcW w:w="13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69346.01</w:t>
            </w:r>
          </w:p>
        </w:tc>
        <w:tc>
          <w:tcPr>
            <w:tcW w:w="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2.0</w:t>
            </w:r>
          </w:p>
        </w:tc>
        <w:tc>
          <w:tcPr>
            <w:tcW w:w="30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bCs/>
                <w:kern w:val="24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18班幼儿园（建筑面积5800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，占地面积5400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）、社区健康服务中心（1500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）、再生资源回收站（100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）、社区菜市场（800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）、老年人日间照料中心（750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）、社区体育活动场地(占地面积1000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，设置羽毛球场和门球场）</w:t>
            </w:r>
          </w:p>
        </w:tc>
        <w:tc>
          <w:tcPr>
            <w:tcW w:w="1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规划（该地块开发建设时应保留用地内的山体，塑造小区生态景观特色）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04-04</w:t>
            </w:r>
          </w:p>
        </w:tc>
        <w:tc>
          <w:tcPr>
            <w:tcW w:w="9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R4</w:t>
            </w:r>
          </w:p>
        </w:tc>
        <w:tc>
          <w:tcPr>
            <w:tcW w:w="11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四类居住用地</w:t>
            </w:r>
          </w:p>
        </w:tc>
        <w:tc>
          <w:tcPr>
            <w:tcW w:w="13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12043.73</w:t>
            </w:r>
          </w:p>
        </w:tc>
        <w:tc>
          <w:tcPr>
            <w:tcW w:w="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——</w:t>
            </w:r>
          </w:p>
        </w:tc>
        <w:tc>
          <w:tcPr>
            <w:tcW w:w="30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bCs/>
                <w:kern w:val="24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篮球场</w:t>
            </w:r>
          </w:p>
        </w:tc>
        <w:tc>
          <w:tcPr>
            <w:tcW w:w="1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现状保留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04-22</w:t>
            </w:r>
          </w:p>
        </w:tc>
        <w:tc>
          <w:tcPr>
            <w:tcW w:w="9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R4</w:t>
            </w:r>
          </w:p>
        </w:tc>
        <w:tc>
          <w:tcPr>
            <w:tcW w:w="11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四类居住用地</w:t>
            </w:r>
          </w:p>
        </w:tc>
        <w:tc>
          <w:tcPr>
            <w:tcW w:w="13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21741.66</w:t>
            </w:r>
          </w:p>
        </w:tc>
        <w:tc>
          <w:tcPr>
            <w:tcW w:w="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——</w:t>
            </w:r>
          </w:p>
        </w:tc>
        <w:tc>
          <w:tcPr>
            <w:tcW w:w="30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bCs/>
                <w:kern w:val="24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——</w:t>
            </w:r>
          </w:p>
        </w:tc>
        <w:tc>
          <w:tcPr>
            <w:tcW w:w="1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现状保留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9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——</w:t>
            </w:r>
          </w:p>
        </w:tc>
        <w:tc>
          <w:tcPr>
            <w:tcW w:w="9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——</w:t>
            </w:r>
          </w:p>
        </w:tc>
        <w:tc>
          <w:tcPr>
            <w:tcW w:w="111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规划道路</w:t>
            </w:r>
          </w:p>
        </w:tc>
        <w:tc>
          <w:tcPr>
            <w:tcW w:w="13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8928.65</w:t>
            </w:r>
          </w:p>
        </w:tc>
        <w:tc>
          <w:tcPr>
            <w:tcW w:w="8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 w:themeColor="dark1"/>
                <w:kern w:val="24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——</w:t>
            </w:r>
          </w:p>
        </w:tc>
        <w:tc>
          <w:tcPr>
            <w:tcW w:w="30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bCs/>
                <w:kern w:val="24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——</w:t>
            </w:r>
          </w:p>
        </w:tc>
        <w:tc>
          <w:tcPr>
            <w:tcW w:w="1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——</w:t>
            </w:r>
          </w:p>
        </w:tc>
      </w:tr>
    </w:tbl>
    <w:p>
      <w:r>
        <w:rPr>
          <w:rFonts w:hint="eastAsia"/>
        </w:rPr>
        <w:t xml:space="preserve">                                                                  </w:t>
      </w:r>
    </w:p>
    <w:p>
      <w:pPr>
        <w:spacing w:before="120" w:after="120"/>
        <w:ind w:firstLine="480"/>
        <w:jc w:val="right"/>
        <w:rPr>
          <w:rFonts w:ascii="仿宋_GB2312" w:hAnsi="Times New Roman" w:eastAsia="仿宋_GB2312" w:cs="Calibri"/>
          <w:sz w:val="32"/>
          <w:szCs w:val="32"/>
        </w:rPr>
      </w:pPr>
      <w:r>
        <w:rPr>
          <w:rFonts w:hint="eastAsia"/>
        </w:rPr>
        <w:t xml:space="preserve">       </w:t>
      </w:r>
      <w:bookmarkStart w:id="0" w:name="_GoBack"/>
      <w:bookmarkEnd w:id="0"/>
      <w:r>
        <w:rPr>
          <w:rFonts w:hint="eastAsia"/>
        </w:rPr>
        <w:t xml:space="preserve">                            </w:t>
      </w:r>
      <w:r>
        <w:rPr>
          <w:rFonts w:hint="eastAsia" w:ascii="仿宋_GB2312" w:hAnsi="Times New Roman" w:eastAsia="仿宋_GB2312" w:cs="Calibri"/>
          <w:sz w:val="32"/>
          <w:szCs w:val="32"/>
        </w:rPr>
        <w:t>深圳市城市规划委员会</w:t>
      </w:r>
    </w:p>
    <w:p>
      <w:pPr>
        <w:spacing w:before="120" w:after="120"/>
        <w:ind w:firstLine="480"/>
        <w:jc w:val="right"/>
        <w:rPr>
          <w:rFonts w:ascii="仿宋_GB2312" w:hAnsi="Times New Roman" w:eastAsia="仿宋_GB2312" w:cs="Calibri"/>
          <w:sz w:val="32"/>
          <w:szCs w:val="32"/>
        </w:rPr>
      </w:pPr>
      <w:r>
        <w:rPr>
          <w:rFonts w:hint="eastAsia" w:ascii="仿宋_GB2312" w:hAnsi="Times New Roman" w:eastAsia="仿宋_GB2312" w:cs="Calibri"/>
          <w:sz w:val="32"/>
          <w:szCs w:val="32"/>
        </w:rPr>
        <w:t>深圳市规划和自然资源局</w:t>
      </w:r>
    </w:p>
    <w:p>
      <w:pPr>
        <w:jc w:val="right"/>
        <w:rPr>
          <w:rFonts w:hint="eastAsia" w:ascii="仿宋_GB2312" w:hAnsi="Times New Roman" w:eastAsia="仿宋_GB2312" w:cs="Calibri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Calibri"/>
          <w:sz w:val="32"/>
          <w:szCs w:val="32"/>
        </w:rPr>
        <w:t>20</w:t>
      </w:r>
      <w:r>
        <w:rPr>
          <w:rFonts w:hint="eastAsia" w:ascii="仿宋_GB2312" w:hAnsi="Times New Roman" w:eastAsia="仿宋_GB2312" w:cs="Calibri"/>
          <w:sz w:val="32"/>
          <w:szCs w:val="32"/>
          <w:lang w:val="en-US" w:eastAsia="zh-CN"/>
        </w:rPr>
        <w:t>21</w:t>
      </w:r>
      <w:r>
        <w:rPr>
          <w:rFonts w:hint="eastAsia" w:ascii="仿宋_GB2312" w:hAnsi="Times New Roman" w:eastAsia="仿宋_GB2312" w:cs="Calibri"/>
          <w:sz w:val="32"/>
          <w:szCs w:val="32"/>
        </w:rPr>
        <w:t>年</w:t>
      </w:r>
      <w:r>
        <w:rPr>
          <w:rFonts w:hint="eastAsia" w:ascii="仿宋_GB2312" w:hAnsi="Times New Roman" w:eastAsia="仿宋_GB2312" w:cs="Calibri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 w:cs="Calibri"/>
          <w:sz w:val="32"/>
          <w:szCs w:val="32"/>
        </w:rPr>
        <w:t>月</w:t>
      </w:r>
      <w:r>
        <w:rPr>
          <w:rFonts w:hint="eastAsia" w:ascii="仿宋_GB2312" w:hAnsi="Times New Roman" w:eastAsia="仿宋_GB2312" w:cs="Calibri"/>
          <w:sz w:val="32"/>
          <w:szCs w:val="32"/>
          <w:lang w:val="en-US" w:eastAsia="zh-CN"/>
        </w:rPr>
        <w:t>30</w:t>
      </w:r>
      <w:r>
        <w:rPr>
          <w:rFonts w:hint="eastAsia" w:ascii="仿宋_GB2312" w:hAnsi="Times New Roman" w:eastAsia="仿宋_GB2312" w:cs="Calibri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28C"/>
    <w:rsid w:val="00006A9A"/>
    <w:rsid w:val="00013F59"/>
    <w:rsid w:val="00042E5C"/>
    <w:rsid w:val="000541B7"/>
    <w:rsid w:val="00060226"/>
    <w:rsid w:val="000631FB"/>
    <w:rsid w:val="00091A53"/>
    <w:rsid w:val="000A17E0"/>
    <w:rsid w:val="000B4329"/>
    <w:rsid w:val="000B4EC8"/>
    <w:rsid w:val="000C1CDA"/>
    <w:rsid w:val="000C27FA"/>
    <w:rsid w:val="00112367"/>
    <w:rsid w:val="00122A44"/>
    <w:rsid w:val="00126058"/>
    <w:rsid w:val="0012676D"/>
    <w:rsid w:val="00147483"/>
    <w:rsid w:val="00183080"/>
    <w:rsid w:val="001903B9"/>
    <w:rsid w:val="0019306E"/>
    <w:rsid w:val="001A2895"/>
    <w:rsid w:val="001B2F17"/>
    <w:rsid w:val="001B3E83"/>
    <w:rsid w:val="001C3FB8"/>
    <w:rsid w:val="001D5957"/>
    <w:rsid w:val="001F1E17"/>
    <w:rsid w:val="001F7692"/>
    <w:rsid w:val="002153D7"/>
    <w:rsid w:val="0022034C"/>
    <w:rsid w:val="002250A5"/>
    <w:rsid w:val="00240E8D"/>
    <w:rsid w:val="00247B81"/>
    <w:rsid w:val="00256BAC"/>
    <w:rsid w:val="002728C8"/>
    <w:rsid w:val="00286FF6"/>
    <w:rsid w:val="00287499"/>
    <w:rsid w:val="002B41D8"/>
    <w:rsid w:val="002C4EC6"/>
    <w:rsid w:val="002C5C2B"/>
    <w:rsid w:val="002F1F97"/>
    <w:rsid w:val="002F205A"/>
    <w:rsid w:val="002F2C8E"/>
    <w:rsid w:val="00333E06"/>
    <w:rsid w:val="00341291"/>
    <w:rsid w:val="00341E7F"/>
    <w:rsid w:val="0035144E"/>
    <w:rsid w:val="003610F8"/>
    <w:rsid w:val="00364322"/>
    <w:rsid w:val="00376395"/>
    <w:rsid w:val="00380B84"/>
    <w:rsid w:val="003956C1"/>
    <w:rsid w:val="003A21FE"/>
    <w:rsid w:val="003B614F"/>
    <w:rsid w:val="003C52DE"/>
    <w:rsid w:val="003C7D90"/>
    <w:rsid w:val="003E1EF8"/>
    <w:rsid w:val="00411E6A"/>
    <w:rsid w:val="00413C87"/>
    <w:rsid w:val="0041674D"/>
    <w:rsid w:val="0041770C"/>
    <w:rsid w:val="00423120"/>
    <w:rsid w:val="00445577"/>
    <w:rsid w:val="00467515"/>
    <w:rsid w:val="00472DB9"/>
    <w:rsid w:val="0048020A"/>
    <w:rsid w:val="00487141"/>
    <w:rsid w:val="00494108"/>
    <w:rsid w:val="004D5746"/>
    <w:rsid w:val="004F0687"/>
    <w:rsid w:val="004F6D46"/>
    <w:rsid w:val="0052647C"/>
    <w:rsid w:val="00532CEA"/>
    <w:rsid w:val="0055401C"/>
    <w:rsid w:val="0056419E"/>
    <w:rsid w:val="00565EA5"/>
    <w:rsid w:val="0056651A"/>
    <w:rsid w:val="00573606"/>
    <w:rsid w:val="0057476E"/>
    <w:rsid w:val="00577B48"/>
    <w:rsid w:val="005B43C1"/>
    <w:rsid w:val="005C050E"/>
    <w:rsid w:val="005C708A"/>
    <w:rsid w:val="005D3F10"/>
    <w:rsid w:val="005F6C92"/>
    <w:rsid w:val="006414A2"/>
    <w:rsid w:val="006767F9"/>
    <w:rsid w:val="00681352"/>
    <w:rsid w:val="00687BA8"/>
    <w:rsid w:val="00694CDE"/>
    <w:rsid w:val="006B196D"/>
    <w:rsid w:val="006C78DC"/>
    <w:rsid w:val="00706A80"/>
    <w:rsid w:val="00732343"/>
    <w:rsid w:val="007469B4"/>
    <w:rsid w:val="00765558"/>
    <w:rsid w:val="00773569"/>
    <w:rsid w:val="007968CC"/>
    <w:rsid w:val="007A0C2C"/>
    <w:rsid w:val="007A1305"/>
    <w:rsid w:val="007C5125"/>
    <w:rsid w:val="007D46A8"/>
    <w:rsid w:val="008146CB"/>
    <w:rsid w:val="00824644"/>
    <w:rsid w:val="00826723"/>
    <w:rsid w:val="00832DCE"/>
    <w:rsid w:val="00834C4E"/>
    <w:rsid w:val="00837294"/>
    <w:rsid w:val="00837D90"/>
    <w:rsid w:val="008433AA"/>
    <w:rsid w:val="00843755"/>
    <w:rsid w:val="008604D3"/>
    <w:rsid w:val="00862663"/>
    <w:rsid w:val="00866132"/>
    <w:rsid w:val="00893083"/>
    <w:rsid w:val="008A0BD8"/>
    <w:rsid w:val="008A346E"/>
    <w:rsid w:val="008A6BC7"/>
    <w:rsid w:val="008B1BAB"/>
    <w:rsid w:val="008C5987"/>
    <w:rsid w:val="008E22B5"/>
    <w:rsid w:val="00903A2C"/>
    <w:rsid w:val="00926512"/>
    <w:rsid w:val="009509B6"/>
    <w:rsid w:val="00950B7F"/>
    <w:rsid w:val="009603F5"/>
    <w:rsid w:val="0096597C"/>
    <w:rsid w:val="00966FB8"/>
    <w:rsid w:val="0099670B"/>
    <w:rsid w:val="009B3556"/>
    <w:rsid w:val="009B77E8"/>
    <w:rsid w:val="009C7AB9"/>
    <w:rsid w:val="009F4999"/>
    <w:rsid w:val="00A31843"/>
    <w:rsid w:val="00A33048"/>
    <w:rsid w:val="00A346B2"/>
    <w:rsid w:val="00A437B1"/>
    <w:rsid w:val="00A50427"/>
    <w:rsid w:val="00A55940"/>
    <w:rsid w:val="00A726E1"/>
    <w:rsid w:val="00AA0B08"/>
    <w:rsid w:val="00AB5914"/>
    <w:rsid w:val="00AC144D"/>
    <w:rsid w:val="00AC3764"/>
    <w:rsid w:val="00AE1458"/>
    <w:rsid w:val="00AE1CA6"/>
    <w:rsid w:val="00B13F90"/>
    <w:rsid w:val="00B2686B"/>
    <w:rsid w:val="00B762A8"/>
    <w:rsid w:val="00B90161"/>
    <w:rsid w:val="00BB2AC8"/>
    <w:rsid w:val="00BD2A91"/>
    <w:rsid w:val="00C020CD"/>
    <w:rsid w:val="00C20EB6"/>
    <w:rsid w:val="00C307BA"/>
    <w:rsid w:val="00C468B0"/>
    <w:rsid w:val="00C52FF7"/>
    <w:rsid w:val="00C652CB"/>
    <w:rsid w:val="00C70D93"/>
    <w:rsid w:val="00C82097"/>
    <w:rsid w:val="00C8391B"/>
    <w:rsid w:val="00C87868"/>
    <w:rsid w:val="00C9244A"/>
    <w:rsid w:val="00CC7560"/>
    <w:rsid w:val="00D11CE7"/>
    <w:rsid w:val="00D2654B"/>
    <w:rsid w:val="00D33EBD"/>
    <w:rsid w:val="00D3499C"/>
    <w:rsid w:val="00D404E9"/>
    <w:rsid w:val="00D51AF2"/>
    <w:rsid w:val="00D54C31"/>
    <w:rsid w:val="00D703CE"/>
    <w:rsid w:val="00D76474"/>
    <w:rsid w:val="00D939CC"/>
    <w:rsid w:val="00DA55E8"/>
    <w:rsid w:val="00DC07BC"/>
    <w:rsid w:val="00DE559B"/>
    <w:rsid w:val="00E565FC"/>
    <w:rsid w:val="00E62314"/>
    <w:rsid w:val="00E7128C"/>
    <w:rsid w:val="00E745D2"/>
    <w:rsid w:val="00E85802"/>
    <w:rsid w:val="00EA66FF"/>
    <w:rsid w:val="00EB1003"/>
    <w:rsid w:val="00EB70D5"/>
    <w:rsid w:val="00EC2F5B"/>
    <w:rsid w:val="00EC5988"/>
    <w:rsid w:val="00ED3C05"/>
    <w:rsid w:val="00ED5775"/>
    <w:rsid w:val="00ED7CF5"/>
    <w:rsid w:val="00EE6268"/>
    <w:rsid w:val="00EE66A6"/>
    <w:rsid w:val="00EE675D"/>
    <w:rsid w:val="00EF3609"/>
    <w:rsid w:val="00F17005"/>
    <w:rsid w:val="00F17BB8"/>
    <w:rsid w:val="00F22566"/>
    <w:rsid w:val="00F2509B"/>
    <w:rsid w:val="00F3121A"/>
    <w:rsid w:val="00F34FB6"/>
    <w:rsid w:val="00F3692F"/>
    <w:rsid w:val="00F424A5"/>
    <w:rsid w:val="00F43A02"/>
    <w:rsid w:val="00F44E08"/>
    <w:rsid w:val="00F757EF"/>
    <w:rsid w:val="00F979E8"/>
    <w:rsid w:val="00FA0658"/>
    <w:rsid w:val="00FA627D"/>
    <w:rsid w:val="00FB099A"/>
    <w:rsid w:val="00FB546E"/>
    <w:rsid w:val="00FD312F"/>
    <w:rsid w:val="00FF607F"/>
    <w:rsid w:val="06893442"/>
    <w:rsid w:val="0F2447FE"/>
    <w:rsid w:val="16EB5D0C"/>
    <w:rsid w:val="19526764"/>
    <w:rsid w:val="204327F3"/>
    <w:rsid w:val="21710240"/>
    <w:rsid w:val="248D5A57"/>
    <w:rsid w:val="24DD0BE3"/>
    <w:rsid w:val="2D920226"/>
    <w:rsid w:val="2EFB6884"/>
    <w:rsid w:val="2F8E3BAD"/>
    <w:rsid w:val="51136786"/>
    <w:rsid w:val="5A560620"/>
    <w:rsid w:val="60810FBC"/>
    <w:rsid w:val="60CA23C4"/>
    <w:rsid w:val="637272A8"/>
    <w:rsid w:val="64367E1B"/>
    <w:rsid w:val="673B6C6B"/>
    <w:rsid w:val="6A67019D"/>
    <w:rsid w:val="735826DF"/>
    <w:rsid w:val="7537453F"/>
    <w:rsid w:val="7898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批注框文本 Char"/>
    <w:basedOn w:val="7"/>
    <w:link w:val="2"/>
    <w:qFormat/>
    <w:uiPriority w:val="99"/>
    <w:rPr>
      <w:sz w:val="18"/>
      <w:szCs w:val="18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ORG</Company>
  <Pages>2</Pages>
  <Words>57</Words>
  <Characters>326</Characters>
  <Lines>2</Lines>
  <Paragraphs>1</Paragraphs>
  <TotalTime>1</TotalTime>
  <ScaleCrop>false</ScaleCrop>
  <LinksUpToDate>false</LinksUpToDate>
  <CharactersWithSpaces>382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2019-08-07T01:31:00Z</dcterms:created>
  <dc:creator>谭权</dc:creator>
  <cp:lastModifiedBy>null</cp:lastModifiedBy>
  <dcterms:modified xsi:type="dcterms:W3CDTF">2021-10-19T09:02:20Z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