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spacing w:line="400" w:lineRule="exact"/>
        <w:jc w:val="center"/>
        <w:rPr>
          <w:rStyle w:val="10"/>
          <w:rFonts w:asciiTheme="majorEastAsia" w:hAnsiTheme="majorEastAsia" w:eastAsiaTheme="majorEastAsia"/>
        </w:rPr>
      </w:pPr>
    </w:p>
    <w:p>
      <w:pPr>
        <w:tabs>
          <w:tab w:val="left" w:pos="8460"/>
        </w:tabs>
        <w:spacing w:line="400" w:lineRule="exact"/>
        <w:jc w:val="center"/>
        <w:rPr>
          <w:rFonts w:cs="Times New Roman" w:asciiTheme="majorEastAsia" w:hAnsiTheme="majorEastAsia" w:eastAsiaTheme="majorEastAsia"/>
          <w:spacing w:val="20"/>
          <w:w w:val="110"/>
          <w:kern w:val="10"/>
          <w:sz w:val="40"/>
          <w:szCs w:val="24"/>
        </w:rPr>
      </w:pPr>
      <w:r>
        <w:rPr>
          <w:rFonts w:hint="eastAsia" w:cs="Times New Roman" w:asciiTheme="majorEastAsia" w:hAnsiTheme="majorEastAsia" w:eastAsiaTheme="majorEastAsia"/>
          <w:spacing w:val="20"/>
          <w:w w:val="110"/>
          <w:kern w:val="10"/>
          <w:sz w:val="40"/>
          <w:szCs w:val="24"/>
        </w:rPr>
        <w:t>深圳市土地使用权出让公告</w:t>
      </w:r>
    </w:p>
    <w:p>
      <w:pPr>
        <w:tabs>
          <w:tab w:val="left" w:pos="8460"/>
        </w:tabs>
        <w:spacing w:line="400" w:lineRule="exact"/>
        <w:jc w:val="center"/>
        <w:rPr>
          <w:rFonts w:cs="Times New Roman" w:asciiTheme="minorEastAsia" w:hAnsiTheme="minorEastAsia"/>
          <w:spacing w:val="20"/>
          <w:w w:val="110"/>
          <w:kern w:val="10"/>
          <w:szCs w:val="24"/>
        </w:rPr>
      </w:pPr>
      <w:r>
        <w:rPr>
          <w:rFonts w:hint="eastAsia" w:cs="Times New Roman" w:asciiTheme="minorEastAsia" w:hAnsiTheme="minorEastAsia"/>
          <w:spacing w:val="20"/>
          <w:w w:val="110"/>
          <w:kern w:val="10"/>
          <w:sz w:val="23"/>
          <w:szCs w:val="24"/>
        </w:rPr>
        <w:t>深土交告</w:t>
      </w:r>
      <w:r>
        <w:rPr>
          <w:rFonts w:hint="eastAsia" w:cs="Times New Roman" w:asciiTheme="minorEastAsia" w:hAnsiTheme="minorEastAsia"/>
          <w:color w:val="000000"/>
          <w:spacing w:val="20"/>
          <w:w w:val="110"/>
          <w:kern w:val="10"/>
          <w:sz w:val="23"/>
          <w:szCs w:val="24"/>
        </w:rPr>
        <w:t>〔2021〕</w:t>
      </w:r>
      <w:r>
        <w:rPr>
          <w:rFonts w:hint="eastAsia" w:ascii="宋体" w:hAnsi="宋体" w:eastAsia="宋体" w:cs="Times New Roman"/>
          <w:color w:val="000000"/>
          <w:spacing w:val="20"/>
          <w:kern w:val="10"/>
          <w:sz w:val="23"/>
          <w:szCs w:val="23"/>
          <w:lang w:val="en-US" w:eastAsia="zh-CN"/>
        </w:rPr>
        <w:t>49</w:t>
      </w:r>
      <w:r>
        <w:rPr>
          <w:rFonts w:hint="eastAsia" w:cs="Times New Roman" w:asciiTheme="minorEastAsia" w:hAnsiTheme="minorEastAsia"/>
          <w:spacing w:val="20"/>
          <w:w w:val="110"/>
          <w:kern w:val="10"/>
          <w:sz w:val="23"/>
          <w:szCs w:val="24"/>
        </w:rPr>
        <w:t>号</w:t>
      </w:r>
    </w:p>
    <w:p>
      <w:pPr>
        <w:tabs>
          <w:tab w:val="left" w:pos="8460"/>
        </w:tabs>
        <w:spacing w:line="400" w:lineRule="exact"/>
        <w:jc w:val="center"/>
        <w:rPr>
          <w:rFonts w:ascii="汉仪书宋二简" w:hAnsi="Times New Roman" w:eastAsia="汉仪书宋二简" w:cs="Times New Roman"/>
          <w:spacing w:val="20"/>
          <w:w w:val="110"/>
          <w:kern w:val="10"/>
          <w:szCs w:val="24"/>
        </w:rPr>
      </w:pP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themeColor="text1"/>
          <w:spacing w:val="20"/>
          <w:kern w:val="10"/>
          <w:sz w:val="23"/>
          <w:szCs w:val="23"/>
        </w:rPr>
        <w:t>根据有关法律、法规，深圳市规划和自然资源局坪山管理局（以下简称市规划和自然资源局坪山管理局）</w:t>
      </w:r>
      <w:r>
        <w:rPr>
          <w:rFonts w:hint="eastAsia" w:ascii="宋体" w:hAnsi="宋体" w:eastAsia="宋体" w:cs="Times New Roman"/>
          <w:color w:val="000000" w:themeColor="text1"/>
          <w:spacing w:val="20"/>
          <w:kern w:val="10"/>
          <w:sz w:val="23"/>
          <w:szCs w:val="23"/>
          <w:lang w:val="en-US" w:eastAsia="zh-CN"/>
        </w:rPr>
        <w:t>委托</w:t>
      </w:r>
      <w:r>
        <w:rPr>
          <w:rFonts w:hint="eastAsia" w:ascii="宋体" w:hAnsi="宋体" w:eastAsia="宋体" w:cs="Times New Roman"/>
          <w:color w:val="000000" w:themeColor="text1"/>
          <w:spacing w:val="20"/>
          <w:kern w:val="10"/>
          <w:sz w:val="23"/>
          <w:szCs w:val="23"/>
        </w:rPr>
        <w:t>深圳交易集团有限公司（深圳公共资源交易中心）</w:t>
      </w:r>
      <w:r>
        <w:rPr>
          <w:rFonts w:hint="eastAsia" w:ascii="宋体" w:hAnsi="宋体" w:eastAsia="宋体" w:cs="Times New Roman"/>
          <w:color w:val="000000" w:themeColor="text1"/>
          <w:spacing w:val="20"/>
          <w:kern w:val="10"/>
          <w:sz w:val="23"/>
          <w:szCs w:val="23"/>
        </w:rPr>
        <w:softHyphen/>
      </w:r>
      <w:r>
        <w:rPr>
          <w:rFonts w:hint="eastAsia" w:ascii="宋体" w:hAnsi="宋体" w:eastAsia="宋体" w:cs="Times New Roman"/>
          <w:color w:val="000000" w:themeColor="text1"/>
          <w:spacing w:val="20"/>
          <w:kern w:val="10"/>
          <w:sz w:val="23"/>
          <w:szCs w:val="23"/>
        </w:rPr>
        <w:softHyphen/>
      </w:r>
      <w:r>
        <w:rPr>
          <w:rFonts w:hint="eastAsia" w:ascii="宋体" w:hAnsi="宋体" w:eastAsia="宋体" w:cs="Times New Roman"/>
          <w:color w:val="000000" w:themeColor="text1"/>
          <w:spacing w:val="20"/>
          <w:kern w:val="10"/>
          <w:sz w:val="23"/>
          <w:szCs w:val="23"/>
        </w:rPr>
        <w:t>，在深圳市福田区红荔西路8007号土地房产交易大厦（以下简称交易大厦）3楼，以挂牌方式公开出让宗地代码为440307201011GB00467宗地的使用权，公告期自2021年</w:t>
      </w:r>
      <w:r>
        <w:rPr>
          <w:rFonts w:hint="eastAsia" w:ascii="宋体" w:hAnsi="宋体" w:eastAsia="宋体" w:cs="Times New Roman"/>
          <w:color w:val="000000" w:themeColor="text1"/>
          <w:spacing w:val="20"/>
          <w:kern w:val="10"/>
          <w:sz w:val="23"/>
          <w:szCs w:val="23"/>
          <w:lang w:val="en-US" w:eastAsia="zh-CN"/>
        </w:rPr>
        <w:t>10</w:t>
      </w:r>
      <w:r>
        <w:rPr>
          <w:rFonts w:hint="eastAsia" w:ascii="宋体" w:hAnsi="宋体" w:eastAsia="宋体" w:cs="Times New Roman"/>
          <w:color w:val="000000" w:themeColor="text1"/>
          <w:spacing w:val="20"/>
          <w:kern w:val="10"/>
          <w:sz w:val="23"/>
          <w:szCs w:val="23"/>
        </w:rPr>
        <w:t>月</w:t>
      </w:r>
      <w:r>
        <w:rPr>
          <w:rFonts w:hint="eastAsia" w:ascii="宋体" w:hAnsi="宋体" w:eastAsia="宋体" w:cs="Times New Roman"/>
          <w:color w:val="000000" w:themeColor="text1"/>
          <w:spacing w:val="20"/>
          <w:kern w:val="10"/>
          <w:sz w:val="23"/>
          <w:szCs w:val="23"/>
          <w:lang w:val="en-US" w:eastAsia="zh-CN"/>
        </w:rPr>
        <w:t>14</w:t>
      </w:r>
      <w:r>
        <w:rPr>
          <w:rFonts w:hint="eastAsia" w:ascii="宋体" w:hAnsi="宋体" w:eastAsia="宋体" w:cs="Times New Roman"/>
          <w:color w:val="000000" w:themeColor="text1"/>
          <w:spacing w:val="20"/>
          <w:kern w:val="10"/>
          <w:sz w:val="23"/>
          <w:szCs w:val="23"/>
        </w:rPr>
        <w:t>日至2021年</w:t>
      </w:r>
      <w:r>
        <w:rPr>
          <w:rFonts w:hint="eastAsia" w:ascii="宋体" w:hAnsi="宋体" w:eastAsia="宋体" w:cs="Times New Roman"/>
          <w:color w:val="000000" w:themeColor="text1"/>
          <w:spacing w:val="20"/>
          <w:kern w:val="10"/>
          <w:sz w:val="23"/>
          <w:szCs w:val="23"/>
          <w:lang w:val="en-US" w:eastAsia="zh-CN"/>
        </w:rPr>
        <w:t>11</w:t>
      </w:r>
      <w:r>
        <w:rPr>
          <w:rFonts w:hint="eastAsia" w:ascii="宋体" w:hAnsi="宋体" w:eastAsia="宋体" w:cs="Times New Roman"/>
          <w:color w:val="000000" w:themeColor="text1"/>
          <w:spacing w:val="20"/>
          <w:kern w:val="10"/>
          <w:sz w:val="23"/>
          <w:szCs w:val="23"/>
        </w:rPr>
        <w:t>月</w:t>
      </w:r>
      <w:r>
        <w:rPr>
          <w:rFonts w:hint="eastAsia" w:ascii="宋体" w:hAnsi="宋体" w:eastAsia="宋体" w:cs="Times New Roman"/>
          <w:color w:val="000000" w:themeColor="text1"/>
          <w:spacing w:val="20"/>
          <w:kern w:val="10"/>
          <w:sz w:val="23"/>
          <w:szCs w:val="23"/>
          <w:lang w:val="en-US" w:eastAsia="zh-CN"/>
        </w:rPr>
        <w:t>2</w:t>
      </w:r>
      <w:r>
        <w:rPr>
          <w:rFonts w:hint="eastAsia" w:ascii="宋体" w:hAnsi="宋体" w:eastAsia="宋体" w:cs="Times New Roman"/>
          <w:color w:val="000000" w:themeColor="text1"/>
          <w:spacing w:val="20"/>
          <w:kern w:val="10"/>
          <w:sz w:val="23"/>
          <w:szCs w:val="23"/>
        </w:rPr>
        <w:t>日，</w:t>
      </w:r>
      <w:r>
        <w:rPr>
          <w:rFonts w:hint="eastAsia" w:ascii="宋体" w:hAnsi="宋体" w:eastAsia="宋体" w:cs="Times New Roman"/>
          <w:color w:val="000000"/>
          <w:spacing w:val="20"/>
          <w:kern w:val="10"/>
          <w:sz w:val="23"/>
          <w:szCs w:val="23"/>
        </w:rPr>
        <w:t>挂牌期自</w:t>
      </w:r>
      <w:r>
        <w:rPr>
          <w:rFonts w:ascii="宋体" w:hAnsi="宋体" w:eastAsia="宋体" w:cs="Times New Roman"/>
          <w:color w:val="000000"/>
          <w:spacing w:val="20"/>
          <w:kern w:val="10"/>
          <w:sz w:val="23"/>
          <w:szCs w:val="23"/>
        </w:rPr>
        <w:t>20</w:t>
      </w:r>
      <w:r>
        <w:rPr>
          <w:rFonts w:hint="eastAsia" w:ascii="宋体" w:hAnsi="宋体" w:eastAsia="宋体" w:cs="Times New Roman"/>
          <w:color w:val="000000"/>
          <w:spacing w:val="20"/>
          <w:kern w:val="10"/>
          <w:sz w:val="23"/>
          <w:szCs w:val="23"/>
        </w:rPr>
        <w:t>21年</w:t>
      </w:r>
      <w:r>
        <w:rPr>
          <w:rFonts w:hint="eastAsia" w:ascii="宋体" w:hAnsi="宋体" w:eastAsia="宋体" w:cs="Times New Roman"/>
          <w:color w:val="000000"/>
          <w:spacing w:val="20"/>
          <w:kern w:val="10"/>
          <w:sz w:val="23"/>
          <w:szCs w:val="23"/>
          <w:lang w:val="en-US" w:eastAsia="zh-CN"/>
        </w:rPr>
        <w:t>11</w:t>
      </w:r>
      <w:r>
        <w:rPr>
          <w:rFonts w:hint="eastAsia" w:ascii="宋体" w:hAnsi="宋体" w:eastAsia="宋体" w:cs="Times New Roman"/>
          <w:color w:val="000000"/>
          <w:spacing w:val="20"/>
          <w:kern w:val="10"/>
          <w:sz w:val="23"/>
          <w:szCs w:val="23"/>
        </w:rPr>
        <w:t>月</w:t>
      </w:r>
      <w:r>
        <w:rPr>
          <w:rFonts w:hint="eastAsia" w:ascii="宋体" w:hAnsi="宋体" w:eastAsia="宋体" w:cs="Times New Roman"/>
          <w:color w:val="000000"/>
          <w:spacing w:val="20"/>
          <w:kern w:val="10"/>
          <w:sz w:val="23"/>
          <w:szCs w:val="23"/>
          <w:lang w:val="en-US" w:eastAsia="zh-CN"/>
        </w:rPr>
        <w:t>3</w:t>
      </w:r>
      <w:r>
        <w:rPr>
          <w:rFonts w:hint="eastAsia" w:ascii="宋体" w:hAnsi="宋体" w:eastAsia="宋体" w:cs="Times New Roman"/>
          <w:color w:val="000000"/>
          <w:spacing w:val="20"/>
          <w:kern w:val="10"/>
          <w:sz w:val="23"/>
          <w:szCs w:val="23"/>
        </w:rPr>
        <w:t>日至</w:t>
      </w:r>
      <w:r>
        <w:rPr>
          <w:rFonts w:ascii="宋体" w:hAnsi="宋体" w:eastAsia="宋体" w:cs="Times New Roman"/>
          <w:color w:val="000000"/>
          <w:spacing w:val="20"/>
          <w:kern w:val="10"/>
          <w:sz w:val="23"/>
          <w:szCs w:val="23"/>
        </w:rPr>
        <w:t>20</w:t>
      </w:r>
      <w:r>
        <w:rPr>
          <w:rFonts w:hint="eastAsia" w:ascii="宋体" w:hAnsi="宋体" w:eastAsia="宋体" w:cs="Times New Roman"/>
          <w:color w:val="000000"/>
          <w:spacing w:val="20"/>
          <w:kern w:val="10"/>
          <w:sz w:val="23"/>
          <w:szCs w:val="23"/>
        </w:rPr>
        <w:t>21年</w:t>
      </w:r>
      <w:r>
        <w:rPr>
          <w:rFonts w:hint="eastAsia" w:ascii="宋体" w:hAnsi="宋体" w:eastAsia="宋体" w:cs="Times New Roman"/>
          <w:color w:val="000000"/>
          <w:spacing w:val="20"/>
          <w:kern w:val="10"/>
          <w:sz w:val="23"/>
          <w:szCs w:val="23"/>
          <w:lang w:val="en-US" w:eastAsia="zh-CN"/>
        </w:rPr>
        <w:t>11</w:t>
      </w:r>
      <w:r>
        <w:rPr>
          <w:rFonts w:hint="eastAsia" w:ascii="宋体" w:hAnsi="宋体" w:eastAsia="宋体" w:cs="Times New Roman"/>
          <w:color w:val="000000"/>
          <w:spacing w:val="20"/>
          <w:kern w:val="10"/>
          <w:sz w:val="23"/>
          <w:szCs w:val="23"/>
        </w:rPr>
        <w:t>月</w:t>
      </w:r>
      <w:r>
        <w:rPr>
          <w:rFonts w:hint="eastAsia" w:ascii="宋体" w:hAnsi="宋体" w:eastAsia="宋体" w:cs="Times New Roman"/>
          <w:color w:val="000000"/>
          <w:spacing w:val="20"/>
          <w:kern w:val="10"/>
          <w:sz w:val="23"/>
          <w:szCs w:val="23"/>
          <w:lang w:val="en-US" w:eastAsia="zh-CN"/>
        </w:rPr>
        <w:t>12</w:t>
      </w:r>
      <w:r>
        <w:rPr>
          <w:rFonts w:hint="eastAsia" w:ascii="宋体" w:hAnsi="宋体" w:eastAsia="宋体" w:cs="Times New Roman"/>
          <w:color w:val="000000"/>
          <w:spacing w:val="20"/>
          <w:kern w:val="10"/>
          <w:sz w:val="23"/>
          <w:szCs w:val="23"/>
        </w:rPr>
        <w:t>日</w:t>
      </w:r>
      <w:r>
        <w:rPr>
          <w:rFonts w:hint="eastAsia" w:ascii="宋体" w:hAnsi="宋体" w:eastAsia="宋体" w:cs="Times New Roman"/>
          <w:color w:val="000000"/>
          <w:spacing w:val="20"/>
          <w:kern w:val="10"/>
          <w:sz w:val="23"/>
          <w:szCs w:val="23"/>
          <w:lang w:val="en-US" w:eastAsia="zh-CN"/>
        </w:rPr>
        <w:t>15</w:t>
      </w:r>
      <w:r>
        <w:rPr>
          <w:rFonts w:hint="eastAsia" w:ascii="宋体" w:hAnsi="宋体" w:eastAsia="宋体" w:cs="Times New Roman"/>
          <w:color w:val="000000"/>
          <w:spacing w:val="20"/>
          <w:kern w:val="10"/>
          <w:sz w:val="23"/>
          <w:szCs w:val="23"/>
        </w:rPr>
        <w:t>时止。现予公告。</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一、宗地情况</w:t>
      </w:r>
    </w:p>
    <w:tbl>
      <w:tblPr>
        <w:tblStyle w:val="7"/>
        <w:tblpPr w:leftFromText="180" w:rightFromText="180" w:vertAnchor="text" w:horzAnchor="margin" w:tblpX="-346" w:tblpY="323"/>
        <w:tblW w:w="10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75"/>
        <w:gridCol w:w="1263"/>
        <w:gridCol w:w="992"/>
        <w:gridCol w:w="1134"/>
        <w:gridCol w:w="1134"/>
        <w:gridCol w:w="1378"/>
        <w:gridCol w:w="850"/>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4" w:hRule="atLeast"/>
        </w:trPr>
        <w:tc>
          <w:tcPr>
            <w:tcW w:w="1231"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ind w:left="-491" w:leftChars="-234" w:firstLine="424" w:firstLineChars="211"/>
              <w:jc w:val="center"/>
              <w:rPr>
                <w:rFonts w:cs="Times New Roman" w:asciiTheme="minorEastAsia" w:hAnsiTheme="minorEastAsia"/>
                <w:b/>
                <w:color w:val="000000"/>
                <w:kern w:val="10"/>
                <w:sz w:val="20"/>
                <w:szCs w:val="20"/>
              </w:rPr>
            </w:pPr>
          </w:p>
          <w:p>
            <w:pPr>
              <w:tabs>
                <w:tab w:val="left" w:pos="8460"/>
              </w:tabs>
              <w:spacing w:line="280" w:lineRule="exact"/>
              <w:ind w:left="-491" w:leftChars="-234" w:firstLine="424" w:firstLineChars="211"/>
              <w:jc w:val="center"/>
              <w:rPr>
                <w:rFonts w:cs="Times New Roman" w:asciiTheme="minorEastAsia" w:hAnsiTheme="minorEastAsia"/>
                <w:b/>
                <w:color w:val="000000"/>
                <w:kern w:val="10"/>
                <w:sz w:val="20"/>
                <w:szCs w:val="20"/>
              </w:rPr>
            </w:pPr>
          </w:p>
          <w:p>
            <w:pPr>
              <w:tabs>
                <w:tab w:val="left" w:pos="8460"/>
              </w:tabs>
              <w:spacing w:line="280" w:lineRule="exact"/>
              <w:ind w:left="-491" w:leftChars="-234" w:firstLine="424" w:firstLineChars="211"/>
              <w:jc w:val="center"/>
              <w:rPr>
                <w:rFonts w:cs="Times New Roman" w:asciiTheme="minorEastAsia" w:hAnsiTheme="minorEastAsia"/>
                <w:b/>
                <w:color w:val="000000"/>
                <w:kern w:val="10"/>
                <w:sz w:val="20"/>
                <w:szCs w:val="20"/>
              </w:rPr>
            </w:pPr>
          </w:p>
          <w:p>
            <w:pPr>
              <w:tabs>
                <w:tab w:val="left" w:pos="8460"/>
              </w:tabs>
              <w:spacing w:line="280" w:lineRule="exact"/>
              <w:ind w:left="-491" w:leftChars="-234" w:firstLine="424" w:firstLineChars="211"/>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宗地代码</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ind w:left="-491" w:leftChars="-234" w:firstLine="424" w:firstLineChars="211"/>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宗地号</w:t>
            </w: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ind w:left="-302" w:leftChars="-144" w:firstLine="283" w:firstLineChars="141"/>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土地</w:t>
            </w:r>
          </w:p>
          <w:p>
            <w:pPr>
              <w:tabs>
                <w:tab w:val="left" w:pos="8460"/>
              </w:tabs>
              <w:spacing w:line="280" w:lineRule="exact"/>
              <w:ind w:left="-302" w:leftChars="-144" w:firstLine="283" w:firstLineChars="141"/>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位置</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土地</w:t>
            </w:r>
          </w:p>
          <w:p>
            <w:pPr>
              <w:tabs>
                <w:tab w:val="left" w:pos="8460"/>
              </w:tabs>
              <w:spacing w:line="280" w:lineRule="exact"/>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用途</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准入行业类别</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土地面积（平方米）</w:t>
            </w:r>
          </w:p>
        </w:tc>
        <w:tc>
          <w:tcPr>
            <w:tcW w:w="1378"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建筑面积</w:t>
            </w:r>
          </w:p>
          <w:p>
            <w:pPr>
              <w:tabs>
                <w:tab w:val="left" w:pos="8460"/>
              </w:tabs>
              <w:spacing w:line="280" w:lineRule="exact"/>
              <w:jc w:val="center"/>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（平方米）</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挂牌起始价（人民币、万元）</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竞买（投标）保证金（人民币、万元）</w:t>
            </w:r>
          </w:p>
        </w:tc>
        <w:tc>
          <w:tcPr>
            <w:tcW w:w="850" w:type="dxa"/>
            <w:tcBorders>
              <w:top w:val="single" w:color="auto" w:sz="4" w:space="0"/>
              <w:left w:val="single" w:color="auto" w:sz="4" w:space="0"/>
              <w:bottom w:val="single" w:color="auto" w:sz="4" w:space="0"/>
              <w:right w:val="single" w:color="auto" w:sz="4" w:space="0"/>
            </w:tcBorders>
          </w:tcPr>
          <w:p>
            <w:pPr>
              <w:spacing w:line="280" w:lineRule="exact"/>
              <w:rPr>
                <w:rFonts w:cs="Times New Roman" w:asciiTheme="minorEastAsia" w:hAnsiTheme="minorEastAsia"/>
                <w:b/>
                <w:color w:val="000000"/>
                <w:kern w:val="10"/>
                <w:sz w:val="20"/>
                <w:szCs w:val="20"/>
              </w:rPr>
            </w:pPr>
          </w:p>
          <w:p>
            <w:pPr>
              <w:spacing w:line="280" w:lineRule="exact"/>
              <w:rPr>
                <w:rFonts w:cs="Times New Roman" w:asciiTheme="minorEastAsia" w:hAnsiTheme="minorEastAsia"/>
                <w:b/>
                <w:color w:val="000000"/>
                <w:kern w:val="10"/>
                <w:sz w:val="20"/>
                <w:szCs w:val="20"/>
              </w:rPr>
            </w:pPr>
          </w:p>
          <w:p>
            <w:pPr>
              <w:spacing w:line="280" w:lineRule="exact"/>
              <w:rPr>
                <w:rFonts w:cs="Times New Roman" w:asciiTheme="minorEastAsia" w:hAnsiTheme="minorEastAsia"/>
                <w:b/>
                <w:color w:val="000000"/>
                <w:kern w:val="10"/>
                <w:sz w:val="20"/>
                <w:szCs w:val="20"/>
              </w:rPr>
            </w:pPr>
            <w:r>
              <w:rPr>
                <w:rFonts w:hint="eastAsia" w:cs="Times New Roman" w:asciiTheme="minorEastAsia" w:hAnsiTheme="minorEastAsia"/>
                <w:b/>
                <w:color w:val="000000"/>
                <w:kern w:val="10"/>
                <w:sz w:val="20"/>
                <w:szCs w:val="20"/>
              </w:rPr>
              <w:t>土地使用年限（年）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trPr>
        <w:tc>
          <w:tcPr>
            <w:tcW w:w="1231"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440307201011GB00467</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G14321-0115</w:t>
            </w:r>
          </w:p>
        </w:tc>
        <w:tc>
          <w:tcPr>
            <w:tcW w:w="1263"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坪山区坑梓街道</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普通工业用地</w:t>
            </w:r>
          </w:p>
        </w:tc>
        <w:tc>
          <w:tcPr>
            <w:tcW w:w="113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生物产业</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13775.62</w:t>
            </w:r>
          </w:p>
        </w:tc>
        <w:tc>
          <w:tcPr>
            <w:tcW w:w="1378"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55100</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3780</w:t>
            </w: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756</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cs="Times New Roman" w:asciiTheme="minorEastAsia" w:hAnsiTheme="minorEastAsia"/>
                <w:color w:val="000000"/>
                <w:kern w:val="10"/>
                <w:sz w:val="20"/>
                <w:szCs w:val="20"/>
              </w:rPr>
            </w:pPr>
            <w:r>
              <w:rPr>
                <w:rFonts w:hint="eastAsia" w:cs="Times New Roman" w:asciiTheme="minorEastAsia" w:hAnsiTheme="minorEastAsia"/>
                <w:color w:val="000000"/>
                <w:kern w:val="10"/>
                <w:sz w:val="20"/>
                <w:szCs w:val="20"/>
              </w:rPr>
              <w:t>20</w:t>
            </w:r>
          </w:p>
        </w:tc>
      </w:tr>
    </w:tbl>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上述宗地的具体情况以《深圳市土地使用权出让合同书》（样本，以下简称《出让合同》）为准。</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二、宗地出让条件</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（一）竞得人应按本公告规定签订《成交确认书》、产业发展监管协议和《出让合同》，并自签订《出让合同》之日起15个工作日内一次性付清成交价款。</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（二）竞得人应遵守法律、法规和《出让合同》规定，严格按照土地用途和有关部门审定的规划设计方案使用和开发建设。</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（三）本次出让宗地建设用地使用权及建筑物限整体转让，初始登记后不得办理分证；允许抵押。</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具体产权要求，以《出让合同》为准。</w:t>
      </w:r>
    </w:p>
    <w:p>
      <w:pPr>
        <w:numPr>
          <w:ilvl w:val="0"/>
          <w:numId w:val="1"/>
        </w:numPr>
        <w:spacing w:line="400" w:lineRule="exact"/>
        <w:ind w:firstLine="540" w:firstLineChars="200"/>
        <w:rPr>
          <w:rFonts w:hint="eastAsia"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本次出让宗地竞得人须按地质灾害危险性评估报告的结论采取相应的地质灾害防治措施。</w:t>
      </w:r>
    </w:p>
    <w:p>
      <w:pPr>
        <w:numPr>
          <w:ilvl w:val="0"/>
          <w:numId w:val="1"/>
        </w:numPr>
        <w:spacing w:line="400" w:lineRule="exact"/>
        <w:ind w:firstLine="540" w:firstLineChars="200"/>
        <w:rPr>
          <w:rFonts w:hint="eastAsia"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本次出让宗地须自《出让合同》签订之日起1.5年内开工，</w:t>
      </w:r>
      <w:r>
        <w:rPr>
          <w:rFonts w:hint="eastAsia" w:ascii="宋体" w:hAnsi="宋体" w:eastAsia="宋体" w:cs="Times New Roman"/>
          <w:color w:val="000000"/>
          <w:spacing w:val="20"/>
          <w:kern w:val="10"/>
          <w:sz w:val="23"/>
          <w:szCs w:val="23"/>
          <w:lang w:val="en-US" w:eastAsia="zh-CN"/>
        </w:rPr>
        <w:t>3.5</w:t>
      </w:r>
      <w:r>
        <w:rPr>
          <w:rFonts w:hint="eastAsia" w:ascii="宋体" w:hAnsi="宋体" w:eastAsia="宋体" w:cs="Times New Roman"/>
          <w:color w:val="000000"/>
          <w:spacing w:val="20"/>
          <w:kern w:val="10"/>
          <w:sz w:val="23"/>
          <w:szCs w:val="23"/>
        </w:rPr>
        <w:t>年内竣工。</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三、竞买人主体资格要求</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具备下列条件的，可独立申请竞买本次出让宗地</w:t>
      </w:r>
      <w:r>
        <w:rPr>
          <w:rFonts w:hint="eastAsia" w:ascii="宋体" w:hAnsi="宋体" w:eastAsia="宋体" w:cs="Times New Roman"/>
          <w:spacing w:val="20"/>
          <w:kern w:val="10"/>
          <w:sz w:val="23"/>
          <w:szCs w:val="23"/>
        </w:rPr>
        <w:t>（不接受联合竞买）</w:t>
      </w:r>
      <w:r>
        <w:rPr>
          <w:rFonts w:hint="eastAsia" w:ascii="宋体" w:hAnsi="宋体" w:eastAsia="宋体" w:cs="Times New Roman"/>
          <w:color w:val="000000"/>
          <w:spacing w:val="20"/>
          <w:kern w:val="10"/>
          <w:sz w:val="23"/>
          <w:szCs w:val="23"/>
        </w:rPr>
        <w:t>：</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（一）竞买申请人应当获得国家高新技术企业认证；</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（二）竞买申请人从事该地块准入行业不少于5年；</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（三）竞买申请人应为深圳注册的企业法人。</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四、竞买申请程序</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（一）竞买咨询</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有意参与竞买的企业可就产业监管协议等有关情况向深圳市坪山区投资推广服务署（以下简称坪山区投资推广服务署）咨询。</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（二）网上注册</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竞买申请人应登录深圳土地矿业权交易平台（https://td.szggzy.com）</w:t>
      </w:r>
      <w:r>
        <w:rPr>
          <w:rFonts w:ascii="宋体" w:hAnsi="宋体" w:eastAsia="宋体" w:cs="Times New Roman"/>
          <w:color w:val="000000"/>
          <w:spacing w:val="20"/>
          <w:kern w:val="10"/>
          <w:sz w:val="23"/>
          <w:szCs w:val="23"/>
        </w:rPr>
        <w:softHyphen/>
      </w:r>
      <w:r>
        <w:rPr>
          <w:rFonts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t>进行网上注册。网上注册的程序和要求详见深圳土地矿业权交易平台网站中的操作</w:t>
      </w:r>
      <w:r>
        <w:rPr>
          <w:rFonts w:hint="eastAsia" w:ascii="宋体" w:hAnsi="宋体" w:eastAsia="宋体" w:cs="Times New Roman"/>
          <w:color w:val="000000"/>
          <w:spacing w:val="20"/>
          <w:kern w:val="10"/>
          <w:sz w:val="23"/>
          <w:szCs w:val="23"/>
          <w:lang w:eastAsia="zh-CN"/>
        </w:rPr>
        <w:t>指引</w:t>
      </w:r>
      <w:r>
        <w:rPr>
          <w:rFonts w:hint="eastAsia" w:ascii="宋体" w:hAnsi="宋体" w:eastAsia="宋体" w:cs="Times New Roman"/>
          <w:color w:val="000000"/>
          <w:spacing w:val="20"/>
          <w:kern w:val="10"/>
          <w:sz w:val="23"/>
          <w:szCs w:val="23"/>
        </w:rPr>
        <w:t>。</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（三）申请竞买</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竞买申请人网上注册后，应按照操作</w:t>
      </w:r>
      <w:r>
        <w:rPr>
          <w:rFonts w:hint="eastAsia" w:ascii="宋体" w:hAnsi="宋体" w:eastAsia="宋体" w:cs="Times New Roman"/>
          <w:color w:val="000000"/>
          <w:spacing w:val="20"/>
          <w:kern w:val="10"/>
          <w:sz w:val="23"/>
          <w:szCs w:val="23"/>
          <w:lang w:eastAsia="zh-CN"/>
        </w:rPr>
        <w:t>指引</w:t>
      </w:r>
      <w:r>
        <w:rPr>
          <w:rFonts w:hint="eastAsia" w:ascii="宋体" w:hAnsi="宋体" w:eastAsia="宋体" w:cs="Times New Roman"/>
          <w:color w:val="000000"/>
          <w:spacing w:val="20"/>
          <w:kern w:val="10"/>
          <w:sz w:val="23"/>
          <w:szCs w:val="23"/>
        </w:rPr>
        <w:t>有关要求，选择意向竞买的宗地，提出竞买申请。</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（四）交纳竞买（投标）保证金</w:t>
      </w:r>
    </w:p>
    <w:p>
      <w:pPr>
        <w:spacing w:line="400" w:lineRule="exact"/>
        <w:ind w:firstLine="540" w:firstLineChars="200"/>
        <w:rPr>
          <w:rFonts w:hint="eastAsia"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竞买申请人提出竞买申请后，按入账申请单提示交纳竞买（投标）保证金，竞买（投标）保证金不得由其他单位或个人代交。具体详见操作</w:t>
      </w:r>
      <w:r>
        <w:rPr>
          <w:rFonts w:hint="eastAsia" w:ascii="宋体" w:hAnsi="宋体" w:eastAsia="宋体" w:cs="Times New Roman"/>
          <w:color w:val="000000"/>
          <w:spacing w:val="20"/>
          <w:kern w:val="10"/>
          <w:sz w:val="23"/>
          <w:szCs w:val="23"/>
          <w:lang w:eastAsia="zh-CN"/>
        </w:rPr>
        <w:t>指引</w:t>
      </w:r>
      <w:r>
        <w:rPr>
          <w:rFonts w:hint="eastAsia" w:ascii="宋体" w:hAnsi="宋体" w:eastAsia="宋体" w:cs="Times New Roman"/>
          <w:color w:val="000000"/>
          <w:spacing w:val="20"/>
          <w:kern w:val="10"/>
          <w:sz w:val="23"/>
          <w:szCs w:val="23"/>
        </w:rPr>
        <w:t>。</w:t>
      </w:r>
    </w:p>
    <w:p>
      <w:pPr>
        <w:spacing w:line="400" w:lineRule="exact"/>
        <w:ind w:firstLine="540" w:firstLineChars="200"/>
        <w:rPr>
          <w:rFonts w:hint="eastAsia"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竞买申请人可通过深圳土地矿业权交易平台网站</w:t>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t>及时查询竞买（投标）保证金到账情况。竞买（投标）保证金的到账截止时间为2021年</w:t>
      </w:r>
      <w:r>
        <w:rPr>
          <w:rFonts w:hint="eastAsia" w:ascii="宋体" w:hAnsi="宋体" w:eastAsia="宋体" w:cs="Times New Roman"/>
          <w:color w:val="000000"/>
          <w:spacing w:val="20"/>
          <w:kern w:val="10"/>
          <w:sz w:val="23"/>
          <w:szCs w:val="23"/>
          <w:lang w:val="en-US" w:eastAsia="zh-CN"/>
        </w:rPr>
        <w:t>11</w:t>
      </w:r>
      <w:r>
        <w:rPr>
          <w:rFonts w:hint="eastAsia" w:ascii="宋体" w:hAnsi="宋体" w:eastAsia="宋体" w:cs="Times New Roman"/>
          <w:color w:val="000000"/>
          <w:spacing w:val="20"/>
          <w:kern w:val="10"/>
          <w:sz w:val="23"/>
          <w:szCs w:val="23"/>
        </w:rPr>
        <w:t>月</w:t>
      </w:r>
      <w:r>
        <w:rPr>
          <w:rFonts w:hint="eastAsia" w:ascii="宋体" w:hAnsi="宋体" w:eastAsia="宋体" w:cs="Times New Roman"/>
          <w:color w:val="000000"/>
          <w:spacing w:val="20"/>
          <w:kern w:val="10"/>
          <w:sz w:val="23"/>
          <w:szCs w:val="23"/>
          <w:lang w:val="en-US" w:eastAsia="zh-CN"/>
        </w:rPr>
        <w:t>10</w:t>
      </w:r>
      <w:r>
        <w:rPr>
          <w:rFonts w:hint="eastAsia" w:ascii="宋体" w:hAnsi="宋体" w:eastAsia="宋体" w:cs="Times New Roman"/>
          <w:color w:val="000000"/>
          <w:spacing w:val="20"/>
          <w:kern w:val="10"/>
          <w:sz w:val="23"/>
          <w:szCs w:val="23"/>
        </w:rPr>
        <w:t>日</w:t>
      </w:r>
      <w:r>
        <w:rPr>
          <w:rFonts w:hint="eastAsia" w:ascii="宋体" w:hAnsi="宋体" w:eastAsia="宋体" w:cs="Times New Roman"/>
          <w:color w:val="000000"/>
          <w:spacing w:val="20"/>
          <w:kern w:val="10"/>
          <w:sz w:val="23"/>
          <w:szCs w:val="23"/>
          <w:lang w:val="en-US" w:eastAsia="zh-CN"/>
        </w:rPr>
        <w:t>15</w:t>
      </w:r>
      <w:r>
        <w:rPr>
          <w:rFonts w:hint="eastAsia" w:ascii="宋体" w:hAnsi="宋体" w:eastAsia="宋体" w:cs="Times New Roman"/>
          <w:color w:val="000000"/>
          <w:spacing w:val="20"/>
          <w:kern w:val="10"/>
          <w:sz w:val="23"/>
          <w:szCs w:val="23"/>
        </w:rPr>
        <w:t>时</w:t>
      </w:r>
      <w:r>
        <w:rPr>
          <w:rFonts w:hint="eastAsia" w:ascii="宋体" w:hAnsi="宋体" w:eastAsia="宋体" w:cs="Times New Roman"/>
          <w:color w:val="000000"/>
          <w:spacing w:val="20"/>
          <w:kern w:val="10"/>
          <w:sz w:val="23"/>
          <w:szCs w:val="23"/>
          <w:lang w:val="en-US" w:eastAsia="zh-CN"/>
        </w:rPr>
        <w:t>整</w:t>
      </w:r>
      <w:r>
        <w:rPr>
          <w:rFonts w:hint="eastAsia" w:ascii="宋体" w:hAnsi="宋体" w:eastAsia="宋体" w:cs="Times New Roman"/>
          <w:color w:val="000000"/>
          <w:spacing w:val="20"/>
          <w:kern w:val="10"/>
          <w:sz w:val="23"/>
          <w:szCs w:val="23"/>
        </w:rPr>
        <w:t>（以深圳土地矿业权交易平台网站</w:t>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t>显示的银行到账时间为准）。</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（五）申请确认竞买资格</w:t>
      </w:r>
    </w:p>
    <w:p>
      <w:pPr>
        <w:spacing w:line="400" w:lineRule="exact"/>
        <w:ind w:firstLine="540" w:firstLineChars="200"/>
        <w:rPr>
          <w:rFonts w:hint="eastAsia"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竞买申请人按时足额交纳竞买（投标）保证金后，可登录深圳土地矿业权交易平台网站</w:t>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t>查看《竞买申请受理回执》并打印该回执，在2021年</w:t>
      </w:r>
      <w:r>
        <w:rPr>
          <w:rFonts w:hint="eastAsia" w:ascii="宋体" w:hAnsi="宋体" w:eastAsia="宋体" w:cs="Times New Roman"/>
          <w:color w:val="000000"/>
          <w:spacing w:val="20"/>
          <w:kern w:val="10"/>
          <w:sz w:val="23"/>
          <w:szCs w:val="23"/>
          <w:lang w:val="en-US" w:eastAsia="zh-CN"/>
        </w:rPr>
        <w:t>11</w:t>
      </w:r>
      <w:r>
        <w:rPr>
          <w:rFonts w:hint="eastAsia" w:ascii="宋体" w:hAnsi="宋体" w:eastAsia="宋体" w:cs="Times New Roman"/>
          <w:color w:val="000000"/>
          <w:spacing w:val="20"/>
          <w:kern w:val="10"/>
          <w:sz w:val="23"/>
          <w:szCs w:val="23"/>
        </w:rPr>
        <w:t>月</w:t>
      </w:r>
      <w:r>
        <w:rPr>
          <w:rFonts w:hint="eastAsia" w:ascii="宋体" w:hAnsi="宋体" w:eastAsia="宋体" w:cs="Times New Roman"/>
          <w:color w:val="000000"/>
          <w:spacing w:val="20"/>
          <w:kern w:val="10"/>
          <w:sz w:val="23"/>
          <w:szCs w:val="23"/>
          <w:lang w:val="en-US" w:eastAsia="zh-CN"/>
        </w:rPr>
        <w:t>12</w:t>
      </w:r>
      <w:r>
        <w:rPr>
          <w:rFonts w:hint="eastAsia" w:ascii="宋体" w:hAnsi="宋体" w:eastAsia="宋体" w:cs="Times New Roman"/>
          <w:color w:val="000000"/>
          <w:spacing w:val="20"/>
          <w:kern w:val="10"/>
          <w:sz w:val="23"/>
          <w:szCs w:val="23"/>
        </w:rPr>
        <w:t>日</w:t>
      </w:r>
      <w:r>
        <w:rPr>
          <w:rFonts w:hint="eastAsia" w:ascii="宋体" w:hAnsi="宋体" w:eastAsia="宋体" w:cs="Times New Roman"/>
          <w:color w:val="000000"/>
          <w:spacing w:val="20"/>
          <w:kern w:val="10"/>
          <w:sz w:val="23"/>
          <w:szCs w:val="23"/>
          <w:lang w:val="en-US" w:eastAsia="zh-CN"/>
        </w:rPr>
        <w:t>14</w:t>
      </w:r>
      <w:r>
        <w:rPr>
          <w:rFonts w:hint="eastAsia" w:ascii="宋体" w:hAnsi="宋体" w:eastAsia="宋体" w:cs="Times New Roman"/>
          <w:color w:val="000000"/>
          <w:spacing w:val="20"/>
          <w:kern w:val="10"/>
          <w:sz w:val="23"/>
          <w:szCs w:val="23"/>
        </w:rPr>
        <w:t>时</w:t>
      </w:r>
      <w:r>
        <w:rPr>
          <w:rFonts w:hint="eastAsia" w:ascii="宋体" w:hAnsi="宋体" w:eastAsia="宋体" w:cs="Times New Roman"/>
          <w:color w:val="000000"/>
          <w:spacing w:val="20"/>
          <w:kern w:val="10"/>
          <w:sz w:val="23"/>
          <w:szCs w:val="23"/>
          <w:lang w:val="en-US" w:eastAsia="zh-CN"/>
        </w:rPr>
        <w:t>30</w:t>
      </w:r>
      <w:r>
        <w:rPr>
          <w:rFonts w:hint="eastAsia" w:ascii="宋体" w:hAnsi="宋体" w:eastAsia="宋体" w:cs="Times New Roman"/>
          <w:color w:val="000000"/>
          <w:spacing w:val="20"/>
          <w:kern w:val="10"/>
          <w:sz w:val="23"/>
          <w:szCs w:val="23"/>
        </w:rPr>
        <w:t>分前（工作日），到交易大厦3楼土地业务受理窗口提交书面材料，申请确认竞买资格。申请确认竞买资格须提交的材料详见《深圳市土地使用权挂牌出让竞买须知》（以下简称《竞买须知》）。</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五、确定竞得人的办法</w:t>
      </w:r>
    </w:p>
    <w:p>
      <w:pPr>
        <w:spacing w:line="400" w:lineRule="exact"/>
        <w:ind w:firstLine="540" w:firstLineChars="200"/>
        <w:rPr>
          <w:rFonts w:hint="eastAsia"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深圳土地矿业权交易平台</w:t>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t>在挂牌期内（工作日）接受竞买人的电脑报价，电脑报价截止时间为2021年</w:t>
      </w:r>
      <w:r>
        <w:rPr>
          <w:rFonts w:hint="eastAsia" w:ascii="宋体" w:hAnsi="宋体" w:eastAsia="宋体" w:cs="Times New Roman"/>
          <w:color w:val="000000"/>
          <w:spacing w:val="20"/>
          <w:kern w:val="10"/>
          <w:sz w:val="23"/>
          <w:szCs w:val="23"/>
          <w:lang w:val="en-US" w:eastAsia="zh-CN"/>
        </w:rPr>
        <w:t>11</w:t>
      </w:r>
      <w:r>
        <w:rPr>
          <w:rFonts w:hint="eastAsia" w:ascii="宋体" w:hAnsi="宋体" w:eastAsia="宋体" w:cs="Times New Roman"/>
          <w:color w:val="000000"/>
          <w:spacing w:val="20"/>
          <w:kern w:val="10"/>
          <w:sz w:val="23"/>
          <w:szCs w:val="23"/>
        </w:rPr>
        <w:t>月</w:t>
      </w:r>
      <w:r>
        <w:rPr>
          <w:rFonts w:hint="eastAsia" w:ascii="宋体" w:hAnsi="宋体" w:eastAsia="宋体" w:cs="Times New Roman"/>
          <w:color w:val="000000"/>
          <w:spacing w:val="20"/>
          <w:kern w:val="10"/>
          <w:sz w:val="23"/>
          <w:szCs w:val="23"/>
          <w:lang w:val="en-US" w:eastAsia="zh-CN"/>
        </w:rPr>
        <w:t>12</w:t>
      </w:r>
      <w:r>
        <w:rPr>
          <w:rFonts w:hint="eastAsia" w:ascii="宋体" w:hAnsi="宋体" w:eastAsia="宋体" w:cs="Times New Roman"/>
          <w:color w:val="000000"/>
          <w:spacing w:val="20"/>
          <w:kern w:val="10"/>
          <w:sz w:val="23"/>
          <w:szCs w:val="23"/>
        </w:rPr>
        <w:t>日</w:t>
      </w:r>
      <w:r>
        <w:rPr>
          <w:rFonts w:hint="eastAsia" w:ascii="宋体" w:hAnsi="宋体" w:eastAsia="宋体" w:cs="Times New Roman"/>
          <w:color w:val="000000"/>
          <w:spacing w:val="20"/>
          <w:kern w:val="10"/>
          <w:sz w:val="23"/>
          <w:szCs w:val="23"/>
          <w:lang w:val="en-US" w:eastAsia="zh-CN"/>
        </w:rPr>
        <w:t>15</w:t>
      </w:r>
      <w:r>
        <w:rPr>
          <w:rFonts w:hint="eastAsia" w:ascii="宋体" w:hAnsi="宋体" w:eastAsia="宋体" w:cs="Times New Roman"/>
          <w:color w:val="000000"/>
          <w:spacing w:val="20"/>
          <w:kern w:val="10"/>
          <w:sz w:val="23"/>
          <w:szCs w:val="23"/>
        </w:rPr>
        <w:t>时整。竞买人如需进行电脑报价的，应到交易大厦3楼</w:t>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softHyphen/>
      </w:r>
      <w:r>
        <w:rPr>
          <w:rFonts w:hint="eastAsia" w:ascii="宋体" w:hAnsi="宋体" w:eastAsia="宋体" w:cs="Times New Roman"/>
          <w:color w:val="000000"/>
          <w:spacing w:val="20"/>
          <w:kern w:val="10"/>
          <w:sz w:val="23"/>
          <w:szCs w:val="23"/>
        </w:rPr>
        <w:t>使用专用电脑报价终端进行报价，电脑报价的要求详见《竞买须知》。电脑报价截止时，属“1人竞买”的，将根据竞买人的电脑报价情况和《竞买须知》的规定确定竞得人；属“多人竞买”的，将在电脑报价截止时间届满后即时进入现场竞价程序，并以“价高者得”为原则确定竞得人。</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六、成交确认</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竞得人应在成交后即时签订《成交确认书》。</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七、竞买资格条件核实</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竞得人应自签订《成交确认书》之日起5个工作日内，向坪山区投资推广服务署提出竞买资格条件核实申请。</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八、签订产业发展监管协议</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经审查，符合竞买资格条件的竞得人，应自签订《成交确认书》之日起10个工作日内，与坪山区投资推广服务署签订产业发展监管协议。</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九、签订出让合同</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已通过竞买资格条件核实的竞得人，应自签订《成交确认书》之日起15个工作日内，持《成交确认书》和竞买资格条件核实文件，向市规划和自然资源局坪山管理局申请签订《出让合同》。</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未通过竞买资格条件核实的竞得人，取消其竞得资格，竞买（投标）保证金不予退还。</w:t>
      </w:r>
    </w:p>
    <w:p>
      <w:pPr>
        <w:spacing w:line="400" w:lineRule="exact"/>
        <w:ind w:firstLine="542" w:firstLineChars="200"/>
        <w:rPr>
          <w:rFonts w:ascii="宋体" w:hAnsi="宋体" w:eastAsia="宋体" w:cs="Times New Roman"/>
          <w:b/>
          <w:color w:val="000000"/>
          <w:spacing w:val="20"/>
          <w:kern w:val="10"/>
          <w:sz w:val="23"/>
          <w:szCs w:val="23"/>
        </w:rPr>
      </w:pPr>
      <w:r>
        <w:rPr>
          <w:rFonts w:hint="eastAsia" w:ascii="宋体" w:hAnsi="宋体" w:eastAsia="宋体" w:cs="Times New Roman"/>
          <w:b/>
          <w:color w:val="000000"/>
          <w:spacing w:val="20"/>
          <w:kern w:val="10"/>
          <w:sz w:val="23"/>
          <w:szCs w:val="23"/>
        </w:rPr>
        <w:t>十、其他</w:t>
      </w:r>
    </w:p>
    <w:p>
      <w:pPr>
        <w:spacing w:line="400" w:lineRule="exact"/>
        <w:ind w:firstLine="540" w:firstLineChars="200"/>
        <w:rPr>
          <w:rFonts w:hint="eastAsia"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本公告内容如有调整，将在深圳土地矿业权交易平台发布补充公告。本公告有关详细资料请参阅挂牌出让文件（包括但不限于本公告、《竞买须知》《成交确认书》《出让合同》、产业发展监管协议等）。本公告同时在</w:t>
      </w:r>
      <w:r>
        <w:rPr>
          <w:rFonts w:hint="eastAsia" w:ascii="宋体" w:hAnsi="宋体" w:eastAsia="宋体" w:cs="Times New Roman"/>
          <w:color w:val="000000"/>
          <w:spacing w:val="20"/>
          <w:kern w:val="10"/>
          <w:sz w:val="23"/>
          <w:szCs w:val="23"/>
          <w:lang w:val="en-US" w:eastAsia="zh-CN"/>
        </w:rPr>
        <w:t>深圳</w:t>
      </w:r>
      <w:r>
        <w:rPr>
          <w:rFonts w:hint="eastAsia" w:ascii="宋体" w:hAnsi="宋体" w:eastAsia="宋体" w:cs="Times New Roman"/>
          <w:color w:val="000000"/>
          <w:spacing w:val="20"/>
          <w:kern w:val="10"/>
          <w:sz w:val="23"/>
          <w:szCs w:val="23"/>
        </w:rPr>
        <w:t>市规划和自然资源局、深圳土地矿业权交易平台网站发布，挂牌出让文件可在深圳土地矿业权交易平台下载。需咨询本次出让程序相关问题的，可以书面方式向深圳交易集团有限公司土地矿业权业务分公司提出；其他相关问题，请迳向相关职能部门提出。</w:t>
      </w:r>
    </w:p>
    <w:p>
      <w:pPr>
        <w:spacing w:line="400" w:lineRule="exact"/>
        <w:ind w:firstLine="540" w:firstLineChars="200"/>
        <w:rPr>
          <w:rFonts w:ascii="宋体" w:hAnsi="宋体" w:eastAsia="宋体" w:cs="Times New Roman"/>
          <w:color w:val="000000"/>
          <w:spacing w:val="20"/>
          <w:kern w:val="10"/>
          <w:sz w:val="23"/>
          <w:szCs w:val="23"/>
        </w:rPr>
      </w:pP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lang w:val="en-US" w:eastAsia="zh-CN"/>
        </w:rPr>
        <w:t>深圳</w:t>
      </w:r>
      <w:r>
        <w:rPr>
          <w:rFonts w:ascii="宋体" w:hAnsi="宋体" w:eastAsia="宋体" w:cs="Times New Roman"/>
          <w:color w:val="000000"/>
          <w:spacing w:val="20"/>
          <w:kern w:val="10"/>
          <w:sz w:val="23"/>
          <w:szCs w:val="23"/>
        </w:rPr>
        <w:t>市规划</w:t>
      </w:r>
      <w:r>
        <w:rPr>
          <w:rFonts w:hint="eastAsia" w:ascii="宋体" w:hAnsi="宋体" w:eastAsia="宋体" w:cs="Times New Roman"/>
          <w:color w:val="000000"/>
          <w:spacing w:val="20"/>
          <w:kern w:val="10"/>
          <w:sz w:val="23"/>
          <w:szCs w:val="23"/>
        </w:rPr>
        <w:t>和自然资源局坪山</w:t>
      </w:r>
      <w:r>
        <w:rPr>
          <w:rFonts w:ascii="宋体" w:hAnsi="宋体" w:eastAsia="宋体" w:cs="Times New Roman"/>
          <w:color w:val="000000"/>
          <w:spacing w:val="20"/>
          <w:kern w:val="10"/>
          <w:sz w:val="23"/>
          <w:szCs w:val="23"/>
        </w:rPr>
        <w:t>管理局</w:t>
      </w:r>
      <w:r>
        <w:rPr>
          <w:rFonts w:hint="eastAsia" w:ascii="宋体" w:hAnsi="宋体" w:eastAsia="宋体" w:cs="Times New Roman"/>
          <w:color w:val="000000"/>
          <w:spacing w:val="20"/>
          <w:kern w:val="10"/>
          <w:sz w:val="23"/>
          <w:szCs w:val="23"/>
          <w:lang w:val="en-US" w:eastAsia="zh-CN"/>
        </w:rPr>
        <w:t xml:space="preserve"> </w:t>
      </w:r>
      <w:r>
        <w:rPr>
          <w:rFonts w:ascii="宋体" w:hAnsi="宋体" w:eastAsia="宋体" w:cs="Times New Roman"/>
          <w:color w:val="000000"/>
          <w:spacing w:val="20"/>
          <w:kern w:val="10"/>
          <w:sz w:val="23"/>
          <w:szCs w:val="23"/>
        </w:rPr>
        <w:t>地址：</w:t>
      </w:r>
      <w:r>
        <w:rPr>
          <w:rFonts w:hint="eastAsia" w:ascii="宋体" w:hAnsi="宋体" w:eastAsia="宋体" w:cs="Times New Roman"/>
          <w:color w:val="000000"/>
          <w:spacing w:val="20"/>
          <w:kern w:val="10"/>
          <w:sz w:val="23"/>
          <w:szCs w:val="23"/>
        </w:rPr>
        <w:t>深圳市坪山区龙坪路6号；咨询电话：（0755）28298133。</w:t>
      </w:r>
    </w:p>
    <w:p>
      <w:pPr>
        <w:spacing w:line="400" w:lineRule="exact"/>
        <w:ind w:firstLine="540" w:firstLineChars="200"/>
        <w:rPr>
          <w:rFonts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lang w:val="en-US" w:eastAsia="zh-CN"/>
        </w:rPr>
        <w:t>深圳市</w:t>
      </w:r>
      <w:bookmarkStart w:id="0" w:name="_GoBack"/>
      <w:bookmarkEnd w:id="0"/>
      <w:r>
        <w:rPr>
          <w:rFonts w:hint="eastAsia" w:ascii="宋体" w:hAnsi="宋体" w:eastAsia="宋体" w:cs="Times New Roman"/>
          <w:color w:val="000000"/>
          <w:spacing w:val="20"/>
          <w:kern w:val="10"/>
          <w:sz w:val="23"/>
          <w:szCs w:val="23"/>
        </w:rPr>
        <w:t>坪山区投资推广服务署</w:t>
      </w:r>
      <w:r>
        <w:rPr>
          <w:rFonts w:hint="eastAsia" w:ascii="宋体" w:hAnsi="宋体" w:eastAsia="宋体" w:cs="Times New Roman"/>
          <w:color w:val="000000"/>
          <w:spacing w:val="20"/>
          <w:kern w:val="10"/>
          <w:sz w:val="23"/>
          <w:szCs w:val="23"/>
          <w:lang w:val="en-US" w:eastAsia="zh-CN"/>
        </w:rPr>
        <w:t xml:space="preserve"> </w:t>
      </w:r>
      <w:r>
        <w:rPr>
          <w:rFonts w:ascii="宋体" w:hAnsi="宋体" w:eastAsia="宋体" w:cs="Times New Roman"/>
          <w:color w:val="000000"/>
          <w:spacing w:val="20"/>
          <w:kern w:val="10"/>
          <w:sz w:val="23"/>
          <w:szCs w:val="23"/>
        </w:rPr>
        <w:t>地址：深圳市</w:t>
      </w:r>
      <w:r>
        <w:rPr>
          <w:rFonts w:hint="eastAsia" w:ascii="宋体" w:hAnsi="宋体" w:eastAsia="宋体" w:cs="Times New Roman"/>
          <w:color w:val="000000"/>
          <w:spacing w:val="20"/>
          <w:kern w:val="10"/>
          <w:sz w:val="23"/>
          <w:szCs w:val="23"/>
        </w:rPr>
        <w:t>坪山区坪山大道333号区委区政府523室</w:t>
      </w:r>
      <w:r>
        <w:rPr>
          <w:rFonts w:ascii="宋体" w:hAnsi="宋体" w:eastAsia="宋体" w:cs="Times New Roman"/>
          <w:color w:val="000000"/>
          <w:spacing w:val="20"/>
          <w:kern w:val="10"/>
          <w:sz w:val="23"/>
          <w:szCs w:val="23"/>
        </w:rPr>
        <w:t>；咨询电话：（0755）</w:t>
      </w:r>
      <w:r>
        <w:rPr>
          <w:rFonts w:hint="eastAsia" w:ascii="宋体" w:hAnsi="宋体" w:eastAsia="宋体" w:cs="Times New Roman"/>
          <w:color w:val="000000"/>
          <w:spacing w:val="20"/>
          <w:kern w:val="10"/>
          <w:sz w:val="23"/>
          <w:szCs w:val="23"/>
        </w:rPr>
        <w:t>84622752</w:t>
      </w:r>
      <w:r>
        <w:rPr>
          <w:rFonts w:ascii="宋体" w:hAnsi="宋体" w:eastAsia="宋体" w:cs="Times New Roman"/>
          <w:color w:val="000000"/>
          <w:spacing w:val="20"/>
          <w:kern w:val="10"/>
          <w:sz w:val="23"/>
          <w:szCs w:val="23"/>
        </w:rPr>
        <w:t>。</w:t>
      </w:r>
    </w:p>
    <w:p>
      <w:pPr>
        <w:spacing w:line="400" w:lineRule="exact"/>
        <w:ind w:firstLine="540" w:firstLineChars="200"/>
        <w:rPr>
          <w:rFonts w:hint="eastAsia" w:ascii="宋体" w:hAnsi="宋体" w:eastAsia="宋体" w:cs="Times New Roman"/>
          <w:color w:val="000000"/>
          <w:spacing w:val="20"/>
          <w:kern w:val="10"/>
          <w:sz w:val="23"/>
          <w:szCs w:val="23"/>
        </w:rPr>
      </w:pPr>
      <w:r>
        <w:rPr>
          <w:rFonts w:hint="eastAsia" w:ascii="宋体" w:hAnsi="宋体" w:eastAsia="宋体" w:cs="Times New Roman"/>
          <w:color w:val="000000"/>
          <w:spacing w:val="20"/>
          <w:kern w:val="10"/>
          <w:sz w:val="23"/>
          <w:szCs w:val="23"/>
        </w:rPr>
        <w:t>深圳交易集团有限公司土地矿业权业务分公司 地址：深圳市福田区红荔西路8007号土地房产交易大厦3楼；咨询电话：（0755）82713074、（0755）82713274；网址：</w:t>
      </w:r>
      <w:r>
        <w:rPr>
          <w:rFonts w:hint="eastAsia" w:ascii="宋体" w:hAnsi="宋体" w:eastAsia="宋体" w:cs="Times New Roman"/>
          <w:color w:val="000000"/>
          <w:spacing w:val="20"/>
          <w:kern w:val="10"/>
          <w:sz w:val="23"/>
          <w:szCs w:val="23"/>
        </w:rPr>
        <w:fldChar w:fldCharType="begin"/>
      </w:r>
      <w:r>
        <w:rPr>
          <w:rFonts w:hint="eastAsia" w:ascii="宋体" w:hAnsi="宋体" w:eastAsia="宋体" w:cs="Times New Roman"/>
          <w:color w:val="000000"/>
          <w:spacing w:val="20"/>
          <w:kern w:val="10"/>
          <w:sz w:val="23"/>
          <w:szCs w:val="23"/>
        </w:rPr>
        <w:instrText xml:space="preserve"> HYPERLINK "https://td.szggzy.com。" </w:instrText>
      </w:r>
      <w:r>
        <w:rPr>
          <w:rFonts w:hint="eastAsia" w:ascii="宋体" w:hAnsi="宋体" w:eastAsia="宋体" w:cs="Times New Roman"/>
          <w:color w:val="000000"/>
          <w:spacing w:val="20"/>
          <w:kern w:val="10"/>
          <w:sz w:val="23"/>
          <w:szCs w:val="23"/>
        </w:rPr>
        <w:fldChar w:fldCharType="separate"/>
      </w:r>
      <w:r>
        <w:rPr>
          <w:rFonts w:hint="eastAsia" w:ascii="宋体" w:hAnsi="宋体" w:eastAsia="宋体" w:cs="Times New Roman"/>
          <w:color w:val="000000"/>
          <w:spacing w:val="20"/>
          <w:kern w:val="10"/>
          <w:sz w:val="23"/>
          <w:szCs w:val="23"/>
        </w:rPr>
        <w:t>https://td.szggzy.com。</w:t>
      </w:r>
      <w:r>
        <w:rPr>
          <w:rFonts w:hint="eastAsia" w:ascii="宋体" w:hAnsi="宋体" w:eastAsia="宋体" w:cs="Times New Roman"/>
          <w:color w:val="000000"/>
          <w:spacing w:val="20"/>
          <w:kern w:val="10"/>
          <w:sz w:val="23"/>
          <w:szCs w:val="23"/>
        </w:rPr>
        <w:fldChar w:fldCharType="end"/>
      </w:r>
    </w:p>
    <w:p>
      <w:pPr>
        <w:jc w:val="right"/>
        <w:rPr>
          <w:rFonts w:hint="eastAsia" w:ascii="宋体" w:hAnsi="宋体" w:eastAsia="宋体" w:cs="宋体"/>
          <w:b/>
          <w:bCs/>
          <w:i w:val="0"/>
          <w:iCs w:val="0"/>
          <w:caps w:val="0"/>
          <w:color w:val="000000"/>
          <w:spacing w:val="0"/>
          <w:kern w:val="2"/>
          <w:sz w:val="22"/>
          <w:szCs w:val="22"/>
          <w:lang w:val="en-US" w:eastAsia="zh-CN" w:bidi="ar-SA"/>
        </w:rPr>
      </w:pPr>
    </w:p>
    <w:p>
      <w:pPr>
        <w:jc w:val="right"/>
        <w:rPr>
          <w:rFonts w:hint="eastAsia" w:ascii="宋体" w:hAnsi="宋体" w:eastAsia="宋体" w:cs="宋体"/>
          <w:b/>
          <w:bCs/>
          <w:i w:val="0"/>
          <w:iCs w:val="0"/>
          <w:caps w:val="0"/>
          <w:color w:val="000000"/>
          <w:spacing w:val="0"/>
          <w:kern w:val="2"/>
          <w:sz w:val="22"/>
          <w:szCs w:val="22"/>
          <w:lang w:val="en-US" w:eastAsia="zh-CN" w:bidi="ar-SA"/>
        </w:rPr>
      </w:pPr>
    </w:p>
    <w:p>
      <w:pPr>
        <w:jc w:val="right"/>
        <w:rPr>
          <w:rFonts w:hint="eastAsia" w:ascii="宋体" w:hAnsi="宋体" w:eastAsia="宋体" w:cs="宋体"/>
          <w:b/>
          <w:bCs/>
          <w:i w:val="0"/>
          <w:iCs w:val="0"/>
          <w:caps w:val="0"/>
          <w:color w:val="000000"/>
          <w:spacing w:val="0"/>
          <w:kern w:val="2"/>
          <w:sz w:val="22"/>
          <w:szCs w:val="22"/>
          <w:lang w:val="en-US" w:eastAsia="zh-CN" w:bidi="ar-SA"/>
        </w:rPr>
      </w:pPr>
      <w:r>
        <w:rPr>
          <w:rFonts w:hint="eastAsia" w:ascii="宋体" w:hAnsi="宋体" w:eastAsia="宋体" w:cs="宋体"/>
          <w:b/>
          <w:bCs/>
          <w:i w:val="0"/>
          <w:iCs w:val="0"/>
          <w:caps w:val="0"/>
          <w:color w:val="000000"/>
          <w:spacing w:val="0"/>
          <w:kern w:val="2"/>
          <w:sz w:val="22"/>
          <w:szCs w:val="22"/>
          <w:lang w:val="en-US" w:eastAsia="zh-CN" w:bidi="ar-SA"/>
        </w:rPr>
        <w:t>出让人：深圳市规划和自然资源局坪山管理局</w:t>
      </w:r>
    </w:p>
    <w:p>
      <w:pPr>
        <w:pStyle w:val="6"/>
        <w:keepNext w:val="0"/>
        <w:keepLines w:val="0"/>
        <w:widowControl/>
        <w:suppressLineNumbers w:val="0"/>
        <w:spacing w:before="0" w:beforeAutospacing="0" w:after="20" w:afterAutospacing="0"/>
        <w:ind w:left="0" w:right="0" w:firstLine="0"/>
        <w:jc w:val="right"/>
        <w:rPr>
          <w:rFonts w:hint="eastAsia" w:ascii="宋体" w:hAnsi="宋体" w:eastAsia="宋体" w:cs="宋体"/>
          <w:b/>
          <w:bCs/>
          <w:i w:val="0"/>
          <w:iCs w:val="0"/>
          <w:caps w:val="0"/>
          <w:color w:val="000000"/>
          <w:spacing w:val="0"/>
          <w:kern w:val="2"/>
          <w:sz w:val="22"/>
          <w:szCs w:val="22"/>
          <w:lang w:val="en-US" w:eastAsia="zh-CN" w:bidi="ar-SA"/>
        </w:rPr>
      </w:pPr>
      <w:r>
        <w:rPr>
          <w:rFonts w:hint="eastAsia" w:ascii="宋体" w:hAnsi="宋体" w:eastAsia="宋体" w:cs="宋体"/>
          <w:b/>
          <w:bCs/>
          <w:i w:val="0"/>
          <w:iCs w:val="0"/>
          <w:caps w:val="0"/>
          <w:color w:val="000000"/>
          <w:spacing w:val="0"/>
          <w:kern w:val="2"/>
          <w:sz w:val="22"/>
          <w:szCs w:val="22"/>
          <w:lang w:val="en-US" w:eastAsia="zh-CN" w:bidi="ar-SA"/>
        </w:rPr>
        <w:t>交易机构：深圳交易集团有限公司</w:t>
      </w:r>
    </w:p>
    <w:p>
      <w:pPr>
        <w:pStyle w:val="6"/>
        <w:keepNext w:val="0"/>
        <w:keepLines w:val="0"/>
        <w:widowControl/>
        <w:suppressLineNumbers w:val="0"/>
        <w:spacing w:before="0" w:beforeAutospacing="0" w:after="20" w:afterAutospacing="0"/>
        <w:ind w:left="0" w:right="0" w:firstLine="0"/>
        <w:jc w:val="right"/>
        <w:rPr>
          <w:rFonts w:hint="eastAsia" w:ascii="宋体" w:hAnsi="宋体" w:eastAsia="宋体" w:cs="宋体"/>
          <w:b/>
          <w:bCs/>
          <w:i w:val="0"/>
          <w:iCs w:val="0"/>
          <w:caps w:val="0"/>
          <w:color w:val="000000"/>
          <w:spacing w:val="0"/>
          <w:kern w:val="2"/>
          <w:sz w:val="22"/>
          <w:szCs w:val="22"/>
          <w:lang w:val="en-US" w:eastAsia="zh-CN" w:bidi="ar-SA"/>
        </w:rPr>
      </w:pPr>
      <w:r>
        <w:rPr>
          <w:rFonts w:hint="eastAsia" w:ascii="宋体" w:hAnsi="宋体" w:eastAsia="宋体" w:cs="宋体"/>
          <w:b/>
          <w:bCs/>
          <w:i w:val="0"/>
          <w:iCs w:val="0"/>
          <w:caps w:val="0"/>
          <w:color w:val="000000"/>
          <w:spacing w:val="0"/>
          <w:kern w:val="2"/>
          <w:sz w:val="22"/>
          <w:szCs w:val="22"/>
          <w:lang w:val="en-US" w:eastAsia="zh-CN" w:bidi="ar-SA"/>
        </w:rPr>
        <w:t>（深圳公共资源交易中心）</w:t>
      </w:r>
    </w:p>
    <w:p>
      <w:pPr>
        <w:pStyle w:val="6"/>
        <w:keepNext w:val="0"/>
        <w:keepLines w:val="0"/>
        <w:widowControl/>
        <w:suppressLineNumbers w:val="0"/>
        <w:spacing w:before="0" w:beforeAutospacing="0" w:after="20" w:afterAutospacing="0"/>
        <w:ind w:left="0" w:right="0" w:firstLine="0"/>
        <w:jc w:val="right"/>
        <w:rPr>
          <w:rFonts w:hint="eastAsia" w:ascii="宋体" w:hAnsi="宋体" w:eastAsia="宋体" w:cs="宋体"/>
          <w:b/>
          <w:bCs/>
          <w:i w:val="0"/>
          <w:iCs w:val="0"/>
          <w:caps w:val="0"/>
          <w:color w:val="000000"/>
          <w:spacing w:val="0"/>
          <w:kern w:val="2"/>
          <w:sz w:val="22"/>
          <w:szCs w:val="22"/>
          <w:lang w:val="en-US" w:eastAsia="zh-CN" w:bidi="ar-SA"/>
        </w:rPr>
      </w:pPr>
      <w:r>
        <w:rPr>
          <w:rFonts w:hint="eastAsia" w:ascii="宋体" w:hAnsi="宋体" w:eastAsia="宋体" w:cs="宋体"/>
          <w:b/>
          <w:bCs/>
          <w:i w:val="0"/>
          <w:iCs w:val="0"/>
          <w:caps w:val="0"/>
          <w:color w:val="000000"/>
          <w:spacing w:val="0"/>
          <w:kern w:val="2"/>
          <w:sz w:val="22"/>
          <w:szCs w:val="22"/>
          <w:lang w:val="en-US" w:eastAsia="zh-CN" w:bidi="ar-SA"/>
        </w:rPr>
        <w:t>2021年10月14日</w:t>
      </w:r>
    </w:p>
    <w:sectPr>
      <w:headerReference r:id="rId3" w:type="default"/>
      <w:footerReference r:id="rId5" w:type="default"/>
      <w:headerReference r:id="rId4" w:type="even"/>
      <w:footerReference r:id="rId6" w:type="even"/>
      <w:pgSz w:w="11907" w:h="16839"/>
      <w:pgMar w:top="1259" w:right="851" w:bottom="1616" w:left="1276" w:header="851" w:footer="635" w:gutter="0"/>
      <w:cols w:space="425" w:num="1"/>
      <w:docGrid w:type="line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DF299"/>
    <w:multiLevelType w:val="singleLevel"/>
    <w:tmpl w:val="56EDF29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HorizontalSpacing w:val="1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6E06"/>
    <w:rsid w:val="00037853"/>
    <w:rsid w:val="0004121F"/>
    <w:rsid w:val="0006402A"/>
    <w:rsid w:val="00072C84"/>
    <w:rsid w:val="000B0504"/>
    <w:rsid w:val="000E31BB"/>
    <w:rsid w:val="000E624A"/>
    <w:rsid w:val="000F311D"/>
    <w:rsid w:val="00134071"/>
    <w:rsid w:val="00145FAF"/>
    <w:rsid w:val="0015556F"/>
    <w:rsid w:val="00181D49"/>
    <w:rsid w:val="001A0F00"/>
    <w:rsid w:val="001C1D76"/>
    <w:rsid w:val="001D1142"/>
    <w:rsid w:val="001D29DD"/>
    <w:rsid w:val="001F23D0"/>
    <w:rsid w:val="00201F01"/>
    <w:rsid w:val="0024221C"/>
    <w:rsid w:val="00266CD7"/>
    <w:rsid w:val="0028196F"/>
    <w:rsid w:val="002847CD"/>
    <w:rsid w:val="00291F0A"/>
    <w:rsid w:val="002B6479"/>
    <w:rsid w:val="002B76DA"/>
    <w:rsid w:val="002C3912"/>
    <w:rsid w:val="002E40C2"/>
    <w:rsid w:val="003005DF"/>
    <w:rsid w:val="00324CD6"/>
    <w:rsid w:val="00342097"/>
    <w:rsid w:val="003443E5"/>
    <w:rsid w:val="003554E4"/>
    <w:rsid w:val="00360332"/>
    <w:rsid w:val="003719E4"/>
    <w:rsid w:val="003A3C90"/>
    <w:rsid w:val="0040755A"/>
    <w:rsid w:val="00411FFE"/>
    <w:rsid w:val="00420D15"/>
    <w:rsid w:val="00442EBF"/>
    <w:rsid w:val="00452253"/>
    <w:rsid w:val="00453AAC"/>
    <w:rsid w:val="00456E06"/>
    <w:rsid w:val="00464E23"/>
    <w:rsid w:val="004C5C0D"/>
    <w:rsid w:val="004D6364"/>
    <w:rsid w:val="004E0D1B"/>
    <w:rsid w:val="004E4542"/>
    <w:rsid w:val="0053532A"/>
    <w:rsid w:val="00544B8C"/>
    <w:rsid w:val="00553866"/>
    <w:rsid w:val="00555508"/>
    <w:rsid w:val="005568F7"/>
    <w:rsid w:val="00565A6F"/>
    <w:rsid w:val="005660D5"/>
    <w:rsid w:val="00590676"/>
    <w:rsid w:val="005951BB"/>
    <w:rsid w:val="0059743B"/>
    <w:rsid w:val="005C2A3E"/>
    <w:rsid w:val="005E29BE"/>
    <w:rsid w:val="005E3DF3"/>
    <w:rsid w:val="00611B7A"/>
    <w:rsid w:val="00615BE5"/>
    <w:rsid w:val="006340B8"/>
    <w:rsid w:val="006412D8"/>
    <w:rsid w:val="00647A78"/>
    <w:rsid w:val="00655F76"/>
    <w:rsid w:val="006669A1"/>
    <w:rsid w:val="00666F6A"/>
    <w:rsid w:val="006755D0"/>
    <w:rsid w:val="0068348E"/>
    <w:rsid w:val="0069314C"/>
    <w:rsid w:val="006A4B5F"/>
    <w:rsid w:val="006B6A16"/>
    <w:rsid w:val="006B7911"/>
    <w:rsid w:val="006D5A35"/>
    <w:rsid w:val="00702052"/>
    <w:rsid w:val="007119E2"/>
    <w:rsid w:val="00715CC0"/>
    <w:rsid w:val="00726104"/>
    <w:rsid w:val="00737519"/>
    <w:rsid w:val="00743991"/>
    <w:rsid w:val="0075221D"/>
    <w:rsid w:val="0076538F"/>
    <w:rsid w:val="00772B6A"/>
    <w:rsid w:val="00775C45"/>
    <w:rsid w:val="007A5216"/>
    <w:rsid w:val="007B1157"/>
    <w:rsid w:val="007B2786"/>
    <w:rsid w:val="008135D1"/>
    <w:rsid w:val="00826C15"/>
    <w:rsid w:val="008328D8"/>
    <w:rsid w:val="0083371F"/>
    <w:rsid w:val="0083739D"/>
    <w:rsid w:val="008434EA"/>
    <w:rsid w:val="0084520C"/>
    <w:rsid w:val="00881ECA"/>
    <w:rsid w:val="008A02B4"/>
    <w:rsid w:val="008A203C"/>
    <w:rsid w:val="008E663B"/>
    <w:rsid w:val="00911B87"/>
    <w:rsid w:val="00924C07"/>
    <w:rsid w:val="0095080F"/>
    <w:rsid w:val="009758DD"/>
    <w:rsid w:val="00977675"/>
    <w:rsid w:val="009918EB"/>
    <w:rsid w:val="009C59FF"/>
    <w:rsid w:val="009E5F9D"/>
    <w:rsid w:val="009F28D4"/>
    <w:rsid w:val="009F3E07"/>
    <w:rsid w:val="009F7622"/>
    <w:rsid w:val="00A16725"/>
    <w:rsid w:val="00A16E12"/>
    <w:rsid w:val="00A500AE"/>
    <w:rsid w:val="00A503D9"/>
    <w:rsid w:val="00A70C62"/>
    <w:rsid w:val="00A7270D"/>
    <w:rsid w:val="00A81A64"/>
    <w:rsid w:val="00A90759"/>
    <w:rsid w:val="00A911DA"/>
    <w:rsid w:val="00A9221B"/>
    <w:rsid w:val="00AA6803"/>
    <w:rsid w:val="00AC0071"/>
    <w:rsid w:val="00AC01E5"/>
    <w:rsid w:val="00AE13D2"/>
    <w:rsid w:val="00AF1A72"/>
    <w:rsid w:val="00AF2EB3"/>
    <w:rsid w:val="00B3532E"/>
    <w:rsid w:val="00B615E6"/>
    <w:rsid w:val="00B61B85"/>
    <w:rsid w:val="00B64E39"/>
    <w:rsid w:val="00B75D48"/>
    <w:rsid w:val="00B81DCC"/>
    <w:rsid w:val="00B90742"/>
    <w:rsid w:val="00B92E59"/>
    <w:rsid w:val="00BA4BC2"/>
    <w:rsid w:val="00BB2B73"/>
    <w:rsid w:val="00BC38F4"/>
    <w:rsid w:val="00BF3DD9"/>
    <w:rsid w:val="00C4283D"/>
    <w:rsid w:val="00C514BC"/>
    <w:rsid w:val="00C577BD"/>
    <w:rsid w:val="00C64E39"/>
    <w:rsid w:val="00CE6140"/>
    <w:rsid w:val="00D00EF8"/>
    <w:rsid w:val="00D07C92"/>
    <w:rsid w:val="00D11101"/>
    <w:rsid w:val="00D11673"/>
    <w:rsid w:val="00D218E0"/>
    <w:rsid w:val="00D21D39"/>
    <w:rsid w:val="00D47786"/>
    <w:rsid w:val="00D7087D"/>
    <w:rsid w:val="00D828DF"/>
    <w:rsid w:val="00D86F8D"/>
    <w:rsid w:val="00D944D0"/>
    <w:rsid w:val="00D96FA6"/>
    <w:rsid w:val="00DD1042"/>
    <w:rsid w:val="00DE3414"/>
    <w:rsid w:val="00DF4AEC"/>
    <w:rsid w:val="00E1107C"/>
    <w:rsid w:val="00E27FE2"/>
    <w:rsid w:val="00E64E73"/>
    <w:rsid w:val="00E6607A"/>
    <w:rsid w:val="00E805D9"/>
    <w:rsid w:val="00E928C6"/>
    <w:rsid w:val="00E9313A"/>
    <w:rsid w:val="00E9572D"/>
    <w:rsid w:val="00EA7394"/>
    <w:rsid w:val="00EB6867"/>
    <w:rsid w:val="00ED3A45"/>
    <w:rsid w:val="00F13F60"/>
    <w:rsid w:val="00F43521"/>
    <w:rsid w:val="00F61EC9"/>
    <w:rsid w:val="00F65150"/>
    <w:rsid w:val="00F77BA5"/>
    <w:rsid w:val="00FD5D4F"/>
    <w:rsid w:val="00FF18C5"/>
    <w:rsid w:val="01013B94"/>
    <w:rsid w:val="02682A23"/>
    <w:rsid w:val="08006621"/>
    <w:rsid w:val="096241D0"/>
    <w:rsid w:val="10E8669B"/>
    <w:rsid w:val="123429D3"/>
    <w:rsid w:val="1326370C"/>
    <w:rsid w:val="1568216F"/>
    <w:rsid w:val="1D714CFB"/>
    <w:rsid w:val="22141287"/>
    <w:rsid w:val="23A15238"/>
    <w:rsid w:val="2AC72871"/>
    <w:rsid w:val="2C7F39B2"/>
    <w:rsid w:val="2C881804"/>
    <w:rsid w:val="2F111EC1"/>
    <w:rsid w:val="302E082E"/>
    <w:rsid w:val="30B97134"/>
    <w:rsid w:val="33717F2B"/>
    <w:rsid w:val="341B309E"/>
    <w:rsid w:val="342D6FDA"/>
    <w:rsid w:val="39FC6ECC"/>
    <w:rsid w:val="439B7619"/>
    <w:rsid w:val="581F63A8"/>
    <w:rsid w:val="62617F56"/>
    <w:rsid w:val="6EA242D7"/>
    <w:rsid w:val="73F90C3A"/>
    <w:rsid w:val="742B787C"/>
    <w:rsid w:val="74360342"/>
    <w:rsid w:val="77285B4F"/>
    <w:rsid w:val="7CB75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7"/>
    <w:semiHidden/>
    <w:unhideWhenUsed/>
    <w:qFormat/>
    <w:uiPriority w:val="99"/>
    <w:pPr>
      <w:spacing w:after="120" w:line="480" w:lineRule="auto"/>
      <w:ind w:left="420" w:leftChars="200"/>
    </w:p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sz w:val="24"/>
    </w:rPr>
  </w:style>
  <w:style w:type="table" w:styleId="8">
    <w:name w:val="Table Grid"/>
    <w:basedOn w:val="7"/>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basedOn w:val="9"/>
    <w:unhideWhenUsed/>
    <w:qFormat/>
    <w:uiPriority w:val="99"/>
    <w:rPr>
      <w:color w:val="0000FF" w:themeColor="hyperlink"/>
      <w:u w:val="single"/>
    </w:rPr>
  </w:style>
  <w:style w:type="character" w:customStyle="1" w:styleId="13">
    <w:name w:val="页脚 Char"/>
    <w:basedOn w:val="9"/>
    <w:link w:val="4"/>
    <w:qFormat/>
    <w:uiPriority w:val="0"/>
    <w:rPr>
      <w:rFonts w:ascii="Times New Roman" w:hAnsi="Times New Roman" w:eastAsia="宋体" w:cs="Times New Roman"/>
      <w:sz w:val="18"/>
      <w:szCs w:val="18"/>
    </w:rPr>
  </w:style>
  <w:style w:type="character" w:customStyle="1" w:styleId="14">
    <w:name w:val="批注框文本 Char"/>
    <w:basedOn w:val="9"/>
    <w:link w:val="3"/>
    <w:semiHidden/>
    <w:qFormat/>
    <w:uiPriority w:val="99"/>
    <w:rPr>
      <w:sz w:val="18"/>
      <w:szCs w:val="18"/>
    </w:rPr>
  </w:style>
  <w:style w:type="character" w:customStyle="1" w:styleId="15">
    <w:name w:val="页眉 Char"/>
    <w:basedOn w:val="9"/>
    <w:link w:val="5"/>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正文文本缩进 2 Char"/>
    <w:basedOn w:val="9"/>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FA9E39-A6C3-4CA3-B028-3DC0BA6BF9E0}">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316</Words>
  <Characters>1805</Characters>
  <Lines>15</Lines>
  <Paragraphs>4</Paragraphs>
  <TotalTime>31</TotalTime>
  <ScaleCrop>false</ScaleCrop>
  <LinksUpToDate>false</LinksUpToDate>
  <CharactersWithSpaces>2117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2020-09-02T01:17:00Z</dcterms:created>
  <dc:creator>null</dc:creator>
  <cp:lastModifiedBy>Lee 1</cp:lastModifiedBy>
  <cp:lastPrinted>2020-09-02T01:40:00Z</cp:lastPrinted>
  <dcterms:modified xsi:type="dcterms:W3CDTF">2021-10-13T04:13:02Z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