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bCs/>
          <w:color w:val="auto"/>
          <w:sz w:val="32"/>
          <w:szCs w:val="32"/>
          <w:highlight w:val="none"/>
        </w:rPr>
      </w:pPr>
    </w:p>
    <w:p>
      <w:pPr>
        <w:adjustRightInd w:val="0"/>
        <w:snapToGrid w:val="0"/>
        <w:spacing w:line="560" w:lineRule="exact"/>
        <w:jc w:val="right"/>
        <w:rPr>
          <w:rFonts w:hint="eastAsia" w:ascii="楷体_GB2312" w:hAnsi="宋体" w:eastAsia="楷体_GB2312"/>
          <w:b/>
          <w:bCs/>
          <w:color w:val="auto"/>
          <w:highlight w:val="none"/>
        </w:rPr>
      </w:pPr>
      <w:r>
        <w:rPr>
          <w:rFonts w:hint="eastAsia" w:ascii="仿宋_GB2312" w:hAnsi="宋体" w:eastAsia="仿宋_GB2312"/>
          <w:color w:val="auto"/>
          <w:sz w:val="28"/>
          <w:szCs w:val="28"/>
          <w:highlight w:val="none"/>
        </w:rPr>
        <w:t>深坪产监协〔202</w:t>
      </w:r>
      <w:r>
        <w:rPr>
          <w:rFonts w:hint="eastAsia" w:ascii="仿宋_GB2312" w:hAnsi="宋体" w:eastAsia="仿宋_GB2312"/>
          <w:color w:val="auto"/>
          <w:sz w:val="28"/>
          <w:szCs w:val="28"/>
          <w:highlight w:val="none"/>
          <w:lang w:val="en-US" w:eastAsia="zh-CN"/>
        </w:rPr>
        <w:t>1</w:t>
      </w:r>
      <w:r>
        <w:rPr>
          <w:rFonts w:hint="eastAsia" w:ascii="仿宋_GB2312" w:hAnsi="宋体" w:eastAsia="仿宋_GB2312"/>
          <w:color w:val="auto"/>
          <w:sz w:val="28"/>
          <w:szCs w:val="28"/>
          <w:highlight w:val="none"/>
        </w:rPr>
        <w:t>〕第   号</w:t>
      </w:r>
    </w:p>
    <w:p>
      <w:pPr>
        <w:adjustRightInd w:val="0"/>
        <w:snapToGrid w:val="0"/>
        <w:spacing w:line="560" w:lineRule="exact"/>
        <w:jc w:val="center"/>
        <w:rPr>
          <w:rFonts w:hint="eastAsia" w:ascii="楷体_GB2312" w:hAnsi="宋体" w:eastAsia="楷体_GB2312"/>
          <w:b/>
          <w:bCs/>
          <w:color w:val="auto"/>
          <w:highlight w:val="none"/>
        </w:rPr>
      </w:pPr>
    </w:p>
    <w:p>
      <w:pPr>
        <w:adjustRightInd w:val="0"/>
        <w:snapToGrid w:val="0"/>
        <w:spacing w:line="560" w:lineRule="exact"/>
        <w:jc w:val="center"/>
        <w:rPr>
          <w:rFonts w:hint="eastAsia" w:ascii="楷体_GB2312" w:hAnsi="宋体" w:eastAsia="楷体_GB2312"/>
          <w:b/>
          <w:bCs/>
          <w:color w:val="auto"/>
          <w:highlight w:val="none"/>
        </w:rPr>
      </w:pPr>
    </w:p>
    <w:p>
      <w:pPr>
        <w:adjustRightInd w:val="0"/>
        <w:snapToGrid w:val="0"/>
        <w:spacing w:line="560" w:lineRule="exact"/>
        <w:jc w:val="center"/>
        <w:rPr>
          <w:rFonts w:hint="eastAsia" w:ascii="楷体_GB2312" w:hAnsi="宋体" w:eastAsia="楷体_GB2312"/>
          <w:b/>
          <w:bCs/>
          <w:color w:val="auto"/>
          <w:sz w:val="48"/>
          <w:szCs w:val="48"/>
          <w:highlight w:val="none"/>
        </w:rPr>
      </w:pPr>
    </w:p>
    <w:p>
      <w:pPr>
        <w:adjustRightInd w:val="0"/>
        <w:snapToGrid w:val="0"/>
        <w:spacing w:line="560" w:lineRule="exact"/>
        <w:jc w:val="center"/>
        <w:rPr>
          <w:rFonts w:hint="eastAsia" w:ascii="楷体_GB2312" w:hAnsi="宋体" w:eastAsia="楷体_GB2312"/>
          <w:b/>
          <w:bCs/>
          <w:color w:val="auto"/>
          <w:sz w:val="48"/>
          <w:szCs w:val="48"/>
          <w:highlight w:val="none"/>
        </w:rPr>
      </w:pPr>
      <w:r>
        <w:rPr>
          <w:rFonts w:hint="eastAsia" w:ascii="楷体_GB2312" w:hAnsi="宋体" w:eastAsia="楷体_GB2312"/>
          <w:b/>
          <w:bCs/>
          <w:color w:val="auto"/>
          <w:sz w:val="48"/>
          <w:szCs w:val="48"/>
          <w:highlight w:val="none"/>
        </w:rPr>
        <w:t>深圳市坪山区产业用地</w:t>
      </w:r>
    </w:p>
    <w:p>
      <w:pPr>
        <w:adjustRightInd w:val="0"/>
        <w:snapToGrid w:val="0"/>
        <w:spacing w:line="560" w:lineRule="exact"/>
        <w:jc w:val="center"/>
        <w:rPr>
          <w:rFonts w:hint="eastAsia" w:ascii="楷体_GB2312" w:hAnsi="宋体" w:eastAsia="楷体_GB2312"/>
          <w:b/>
          <w:bCs/>
          <w:color w:val="auto"/>
          <w:sz w:val="48"/>
          <w:szCs w:val="48"/>
          <w:highlight w:val="none"/>
        </w:rPr>
      </w:pPr>
      <w:r>
        <w:rPr>
          <w:rFonts w:hint="eastAsia" w:ascii="楷体_GB2312" w:hAnsi="宋体" w:eastAsia="楷体_GB2312"/>
          <w:b/>
          <w:bCs/>
          <w:color w:val="auto"/>
          <w:sz w:val="48"/>
          <w:szCs w:val="48"/>
          <w:highlight w:val="none"/>
        </w:rPr>
        <w:t>建设和使用监管协议书</w:t>
      </w:r>
    </w:p>
    <w:p>
      <w:pPr>
        <w:adjustRightInd w:val="0"/>
        <w:snapToGrid w:val="0"/>
        <w:spacing w:line="560" w:lineRule="exact"/>
        <w:jc w:val="center"/>
        <w:rPr>
          <w:rFonts w:hint="eastAsia" w:ascii="楷体_GB2312" w:hAnsi="宋体" w:eastAsia="楷体_GB2312"/>
          <w:color w:val="auto"/>
          <w:sz w:val="32"/>
          <w:highlight w:val="none"/>
        </w:rPr>
      </w:pPr>
      <w:r>
        <w:rPr>
          <w:rFonts w:hint="eastAsia" w:ascii="楷体_GB2312" w:hAnsi="宋体" w:eastAsia="楷体_GB2312"/>
          <w:color w:val="auto"/>
          <w:sz w:val="32"/>
          <w:highlight w:val="none"/>
        </w:rPr>
        <w:t xml:space="preserve">                           </w:t>
      </w:r>
    </w:p>
    <w:p>
      <w:pPr>
        <w:adjustRightInd w:val="0"/>
        <w:snapToGrid w:val="0"/>
        <w:spacing w:line="560" w:lineRule="exact"/>
        <w:jc w:val="center"/>
        <w:rPr>
          <w:rFonts w:hint="eastAsia" w:ascii="楷体_GB2312" w:hAnsi="宋体" w:eastAsia="楷体_GB2312"/>
          <w:b/>
          <w:bCs/>
          <w:color w:val="auto"/>
          <w:sz w:val="32"/>
          <w:highlight w:val="none"/>
        </w:rPr>
      </w:pPr>
    </w:p>
    <w:p>
      <w:pPr>
        <w:adjustRightInd w:val="0"/>
        <w:snapToGrid w:val="0"/>
        <w:spacing w:line="560" w:lineRule="exact"/>
        <w:jc w:val="center"/>
        <w:rPr>
          <w:rFonts w:hint="eastAsia" w:ascii="楷体_GB2312" w:hAnsi="宋体" w:eastAsia="楷体_GB2312"/>
          <w:b/>
          <w:bCs/>
          <w:color w:val="auto"/>
          <w:sz w:val="32"/>
          <w:highlight w:val="none"/>
        </w:rPr>
      </w:pPr>
    </w:p>
    <w:p>
      <w:pPr>
        <w:adjustRightInd w:val="0"/>
        <w:snapToGrid w:val="0"/>
        <w:spacing w:line="560" w:lineRule="exact"/>
        <w:jc w:val="center"/>
        <w:rPr>
          <w:rFonts w:hint="eastAsia" w:ascii="楷体_GB2312" w:hAnsi="宋体" w:eastAsia="楷体_GB2312"/>
          <w:b/>
          <w:bCs/>
          <w:color w:val="auto"/>
          <w:sz w:val="32"/>
          <w:highlight w:val="none"/>
        </w:rPr>
      </w:pPr>
    </w:p>
    <w:p>
      <w:pPr>
        <w:adjustRightInd w:val="0"/>
        <w:snapToGrid w:val="0"/>
        <w:spacing w:line="560" w:lineRule="exact"/>
        <w:jc w:val="center"/>
        <w:rPr>
          <w:rFonts w:hint="eastAsia" w:ascii="楷体_GB2312" w:hAnsi="宋体" w:eastAsia="楷体_GB2312"/>
          <w:b/>
          <w:bCs/>
          <w:color w:val="auto"/>
          <w:sz w:val="32"/>
          <w:highlight w:val="none"/>
        </w:rPr>
      </w:pPr>
    </w:p>
    <w:p>
      <w:pPr>
        <w:adjustRightInd w:val="0"/>
        <w:snapToGrid w:val="0"/>
        <w:spacing w:line="560" w:lineRule="exact"/>
        <w:jc w:val="center"/>
        <w:rPr>
          <w:rFonts w:hint="eastAsia" w:ascii="楷体_GB2312" w:hAnsi="宋体" w:eastAsia="楷体_GB2312"/>
          <w:b/>
          <w:bCs/>
          <w:color w:val="auto"/>
          <w:sz w:val="32"/>
          <w:highlight w:val="none"/>
        </w:rPr>
      </w:pPr>
    </w:p>
    <w:p>
      <w:pPr>
        <w:adjustRightInd w:val="0"/>
        <w:snapToGrid w:val="0"/>
        <w:spacing w:line="560" w:lineRule="exact"/>
        <w:ind w:firstLine="630" w:firstLineChars="196"/>
        <w:rPr>
          <w:rFonts w:hint="eastAsia" w:ascii="楷体_GB2312" w:hAnsi="宋体" w:eastAsia="楷体_GB2312"/>
          <w:color w:val="auto"/>
          <w:sz w:val="32"/>
          <w:highlight w:val="none"/>
          <w:u w:val="single"/>
          <w:lang w:val="en-US" w:eastAsia="zh-CN"/>
        </w:rPr>
      </w:pPr>
      <w:r>
        <w:rPr>
          <w:rFonts w:hint="eastAsia" w:ascii="楷体_GB2312" w:hAnsi="宋体" w:eastAsia="楷体_GB2312"/>
          <w:b/>
          <w:bCs/>
          <w:color w:val="auto"/>
          <w:sz w:val="32"/>
          <w:highlight w:val="none"/>
        </w:rPr>
        <w:t>宗地编号/用地方案号：</w:t>
      </w:r>
      <w:r>
        <w:rPr>
          <w:rFonts w:hint="eastAsia" w:ascii="楷体_GB2312" w:hAnsi="宋体" w:eastAsia="楷体_GB2312"/>
          <w:b/>
          <w:bCs/>
          <w:color w:val="auto"/>
          <w:sz w:val="32"/>
          <w:highlight w:val="none"/>
          <w:u w:val="single"/>
        </w:rPr>
        <w:t xml:space="preserve">  </w:t>
      </w:r>
      <w:r>
        <w:rPr>
          <w:rFonts w:hint="eastAsia" w:ascii="楷体_GB2312" w:hAnsi="宋体" w:eastAsia="楷体_GB2312"/>
          <w:b/>
          <w:bCs/>
          <w:color w:val="auto"/>
          <w:sz w:val="32"/>
          <w:highlight w:val="none"/>
          <w:u w:val="single"/>
          <w:lang w:val="en-US" w:eastAsia="zh-CN"/>
        </w:rPr>
        <w:t xml:space="preserve">            </w:t>
      </w:r>
      <w:r>
        <w:rPr>
          <w:rFonts w:hint="eastAsia" w:ascii="楷体_GB2312" w:hAnsi="宋体" w:eastAsia="楷体_GB2312"/>
          <w:color w:val="auto"/>
          <w:sz w:val="32"/>
          <w:highlight w:val="none"/>
          <w:u w:val="single"/>
        </w:rPr>
        <w:t xml:space="preserve">       </w:t>
      </w:r>
      <w:r>
        <w:rPr>
          <w:rFonts w:hint="eastAsia" w:ascii="楷体_GB2312" w:hAnsi="宋体" w:eastAsia="楷体_GB2312"/>
          <w:color w:val="auto"/>
          <w:sz w:val="32"/>
          <w:highlight w:val="none"/>
          <w:u w:val="single"/>
          <w:lang w:val="en-US" w:eastAsia="zh-CN"/>
        </w:rPr>
        <w:t xml:space="preserve"> </w:t>
      </w:r>
    </w:p>
    <w:p>
      <w:pPr>
        <w:tabs>
          <w:tab w:val="left" w:pos="7200"/>
        </w:tabs>
        <w:adjustRightInd w:val="0"/>
        <w:snapToGrid w:val="0"/>
        <w:spacing w:line="560" w:lineRule="exact"/>
        <w:ind w:left="2566" w:leftChars="304" w:hanging="1928" w:hangingChars="600"/>
        <w:rPr>
          <w:rFonts w:hint="eastAsia" w:ascii="楷体_GB2312" w:hAnsi="宋体" w:eastAsia="楷体_GB2312"/>
          <w:b/>
          <w:bCs/>
          <w:color w:val="auto"/>
          <w:sz w:val="32"/>
          <w:highlight w:val="none"/>
          <w:u w:val="single"/>
        </w:rPr>
      </w:pPr>
      <w:r>
        <w:rPr>
          <w:rFonts w:hint="eastAsia" w:ascii="楷体_GB2312" w:hAnsi="宋体" w:eastAsia="楷体_GB2312"/>
          <w:b/>
          <w:bCs/>
          <w:color w:val="auto"/>
          <w:sz w:val="32"/>
          <w:highlight w:val="none"/>
        </w:rPr>
        <w:t>项目名称：</w:t>
      </w:r>
      <w:r>
        <w:rPr>
          <w:rFonts w:hint="eastAsia" w:ascii="楷体_GB2312" w:hAnsi="宋体" w:eastAsia="楷体_GB2312"/>
          <w:b/>
          <w:bCs/>
          <w:color w:val="auto"/>
          <w:sz w:val="32"/>
          <w:highlight w:val="none"/>
          <w:u w:val="single"/>
        </w:rPr>
        <w:t xml:space="preserve">                           </w:t>
      </w:r>
      <w:r>
        <w:rPr>
          <w:rFonts w:hint="eastAsia" w:ascii="楷体_GB2312" w:hAnsi="宋体" w:eastAsia="楷体_GB2312"/>
          <w:bCs/>
          <w:color w:val="auto"/>
          <w:sz w:val="30"/>
          <w:szCs w:val="30"/>
          <w:highlight w:val="none"/>
          <w:u w:val="single"/>
        </w:rPr>
        <w:t xml:space="preserve">      </w:t>
      </w:r>
    </w:p>
    <w:p>
      <w:pPr>
        <w:tabs>
          <w:tab w:val="left" w:pos="7200"/>
        </w:tabs>
        <w:adjustRightInd w:val="0"/>
        <w:snapToGrid w:val="0"/>
        <w:spacing w:line="560" w:lineRule="exact"/>
        <w:ind w:firstLine="643" w:firstLineChars="200"/>
        <w:rPr>
          <w:rFonts w:hint="eastAsia" w:ascii="楷体_GB2312" w:hAnsi="宋体" w:eastAsia="楷体_GB2312"/>
          <w:bCs/>
          <w:color w:val="auto"/>
          <w:sz w:val="30"/>
          <w:szCs w:val="30"/>
          <w:highlight w:val="none"/>
          <w:u w:val="single"/>
        </w:rPr>
      </w:pPr>
      <w:r>
        <w:rPr>
          <w:rFonts w:hint="eastAsia" w:ascii="楷体_GB2312" w:hAnsi="宋体" w:eastAsia="楷体_GB2312"/>
          <w:b/>
          <w:bCs/>
          <w:color w:val="auto"/>
          <w:sz w:val="32"/>
          <w:szCs w:val="32"/>
          <w:highlight w:val="none"/>
        </w:rPr>
        <w:t>项目单位：</w:t>
      </w:r>
      <w:r>
        <w:rPr>
          <w:rFonts w:hint="eastAsia" w:ascii="楷体_GB2312" w:hAnsi="宋体" w:eastAsia="楷体_GB2312"/>
          <w:b/>
          <w:bCs/>
          <w:color w:val="auto"/>
          <w:sz w:val="32"/>
          <w:highlight w:val="none"/>
          <w:u w:val="single"/>
        </w:rPr>
        <w:t xml:space="preserve">                           </w:t>
      </w:r>
      <w:r>
        <w:rPr>
          <w:rFonts w:hint="eastAsia" w:ascii="楷体_GB2312" w:hAnsi="宋体" w:eastAsia="楷体_GB2312"/>
          <w:bCs/>
          <w:color w:val="auto"/>
          <w:sz w:val="30"/>
          <w:szCs w:val="30"/>
          <w:highlight w:val="none"/>
          <w:u w:val="single"/>
        </w:rPr>
        <w:t xml:space="preserve">      </w:t>
      </w:r>
    </w:p>
    <w:p>
      <w:pPr>
        <w:adjustRightInd w:val="0"/>
        <w:snapToGrid w:val="0"/>
        <w:spacing w:line="560" w:lineRule="exact"/>
        <w:ind w:firstLine="630" w:firstLineChars="196"/>
        <w:rPr>
          <w:rFonts w:hint="eastAsia" w:ascii="楷体_GB2312" w:hAnsi="宋体" w:eastAsia="楷体_GB2312"/>
          <w:bCs/>
          <w:color w:val="auto"/>
          <w:sz w:val="30"/>
          <w:szCs w:val="30"/>
          <w:highlight w:val="none"/>
          <w:u w:val="single"/>
        </w:rPr>
      </w:pPr>
      <w:r>
        <w:rPr>
          <w:rFonts w:hint="eastAsia" w:ascii="楷体_GB2312" w:hAnsi="宋体" w:eastAsia="楷体_GB2312"/>
          <w:b/>
          <w:bCs/>
          <w:color w:val="auto"/>
          <w:sz w:val="32"/>
          <w:highlight w:val="none"/>
        </w:rPr>
        <w:t>土地出让合同编号：</w:t>
      </w:r>
      <w:r>
        <w:rPr>
          <w:rFonts w:hint="eastAsia" w:ascii="楷体_GB2312" w:hAnsi="宋体" w:eastAsia="楷体_GB2312"/>
          <w:b/>
          <w:bCs/>
          <w:color w:val="auto"/>
          <w:sz w:val="32"/>
          <w:highlight w:val="none"/>
          <w:u w:val="single"/>
        </w:rPr>
        <w:t xml:space="preserve">                     </w:t>
      </w:r>
      <w:r>
        <w:rPr>
          <w:rFonts w:hint="eastAsia" w:ascii="楷体_GB2312" w:hAnsi="宋体" w:eastAsia="楷体_GB2312"/>
          <w:color w:val="auto"/>
          <w:sz w:val="32"/>
          <w:highlight w:val="none"/>
          <w:u w:val="single"/>
        </w:rPr>
        <w:t xml:space="preserve"> </w:t>
      </w:r>
      <w:r>
        <w:rPr>
          <w:rFonts w:hint="eastAsia" w:ascii="楷体_GB2312" w:hAnsi="宋体" w:eastAsia="楷体_GB2312"/>
          <w:b/>
          <w:bCs/>
          <w:color w:val="auto"/>
          <w:sz w:val="32"/>
          <w:highlight w:val="none"/>
          <w:u w:val="single"/>
        </w:rPr>
        <w:t xml:space="preserve">   </w:t>
      </w:r>
    </w:p>
    <w:p>
      <w:pPr>
        <w:adjustRightInd w:val="0"/>
        <w:snapToGrid w:val="0"/>
        <w:spacing w:line="560" w:lineRule="exact"/>
        <w:rPr>
          <w:rFonts w:hint="eastAsia" w:ascii="楷体_GB2312" w:hAnsi="宋体" w:eastAsia="楷体_GB2312"/>
          <w:b/>
          <w:bCs/>
          <w:color w:val="auto"/>
          <w:sz w:val="32"/>
          <w:highlight w:val="none"/>
        </w:rPr>
      </w:pPr>
    </w:p>
    <w:p>
      <w:pPr>
        <w:adjustRightInd w:val="0"/>
        <w:snapToGrid w:val="0"/>
        <w:spacing w:line="560" w:lineRule="exact"/>
        <w:ind w:firstLine="956" w:firstLineChars="299"/>
        <w:jc w:val="center"/>
        <w:rPr>
          <w:rFonts w:hint="eastAsia" w:ascii="楷体_GB2312" w:hAnsi="宋体" w:eastAsia="楷体_GB2312"/>
          <w:color w:val="auto"/>
          <w:sz w:val="32"/>
          <w:highlight w:val="none"/>
        </w:rPr>
      </w:pPr>
    </w:p>
    <w:p>
      <w:pPr>
        <w:adjustRightInd w:val="0"/>
        <w:snapToGrid w:val="0"/>
        <w:spacing w:line="560" w:lineRule="exact"/>
        <w:ind w:firstLine="956" w:firstLineChars="299"/>
        <w:jc w:val="center"/>
        <w:rPr>
          <w:rFonts w:hint="eastAsia" w:ascii="楷体_GB2312" w:hAnsi="宋体" w:eastAsia="楷体_GB2312"/>
          <w:color w:val="auto"/>
          <w:sz w:val="32"/>
          <w:highlight w:val="none"/>
        </w:rPr>
      </w:pPr>
    </w:p>
    <w:p>
      <w:pPr>
        <w:adjustRightInd w:val="0"/>
        <w:snapToGrid w:val="0"/>
        <w:spacing w:line="560" w:lineRule="exact"/>
        <w:ind w:firstLine="956" w:firstLineChars="299"/>
        <w:jc w:val="center"/>
        <w:rPr>
          <w:rFonts w:hint="eastAsia" w:ascii="楷体_GB2312" w:hAnsi="宋体" w:eastAsia="楷体_GB2312"/>
          <w:color w:val="auto"/>
          <w:sz w:val="32"/>
          <w:highlight w:val="none"/>
        </w:rPr>
      </w:pPr>
    </w:p>
    <w:p>
      <w:pPr>
        <w:adjustRightInd w:val="0"/>
        <w:snapToGrid w:val="0"/>
        <w:spacing w:line="560" w:lineRule="exact"/>
        <w:rPr>
          <w:rFonts w:hint="eastAsia" w:ascii="楷体_GB2312" w:hAnsi="宋体" w:eastAsia="楷体_GB2312"/>
          <w:color w:val="auto"/>
          <w:sz w:val="32"/>
          <w:highlight w:val="none"/>
        </w:rPr>
      </w:pPr>
    </w:p>
    <w:p>
      <w:pPr>
        <w:adjustRightInd w:val="0"/>
        <w:snapToGrid w:val="0"/>
        <w:spacing w:line="560" w:lineRule="exact"/>
        <w:jc w:val="center"/>
        <w:rPr>
          <w:rFonts w:hint="eastAsia" w:ascii="楷体_GB2312" w:hAnsi="宋体" w:eastAsia="楷体_GB2312"/>
          <w:b/>
          <w:bCs/>
          <w:color w:val="auto"/>
          <w:highlight w:val="none"/>
        </w:rPr>
      </w:pPr>
      <w:r>
        <w:rPr>
          <w:rFonts w:hint="eastAsia" w:ascii="楷体_GB2312" w:hAnsi="宋体" w:eastAsia="楷体_GB2312"/>
          <w:b/>
          <w:bCs/>
          <w:color w:val="auto"/>
          <w:sz w:val="32"/>
          <w:highlight w:val="none"/>
        </w:rPr>
        <w:br w:type="page"/>
      </w:r>
    </w:p>
    <w:p>
      <w:pPr>
        <w:adjustRightInd w:val="0"/>
        <w:snapToGrid w:val="0"/>
        <w:spacing w:line="560" w:lineRule="exact"/>
        <w:jc w:val="center"/>
        <w:rPr>
          <w:rFonts w:ascii="楷体_GB2312" w:hAnsi="宋体" w:eastAsia="楷体_GB2312"/>
          <w:bCs/>
          <w:color w:val="auto"/>
          <w:sz w:val="44"/>
          <w:szCs w:val="44"/>
          <w:highlight w:val="none"/>
        </w:rPr>
      </w:pPr>
      <w:r>
        <w:rPr>
          <w:rFonts w:hint="eastAsia" w:ascii="楷体_GB2312" w:hAnsi="宋体" w:eastAsia="楷体_GB2312"/>
          <w:bCs/>
          <w:color w:val="auto"/>
          <w:sz w:val="44"/>
          <w:szCs w:val="44"/>
          <w:highlight w:val="none"/>
        </w:rPr>
        <w:t>深圳市坪山区</w:t>
      </w:r>
    </w:p>
    <w:p>
      <w:pPr>
        <w:adjustRightInd w:val="0"/>
        <w:snapToGrid w:val="0"/>
        <w:spacing w:line="560" w:lineRule="exact"/>
        <w:jc w:val="center"/>
        <w:rPr>
          <w:rFonts w:hint="eastAsia" w:ascii="楷体_GB2312" w:hAnsi="宋体" w:eastAsia="楷体_GB2312"/>
          <w:bCs/>
          <w:color w:val="auto"/>
          <w:sz w:val="44"/>
          <w:szCs w:val="44"/>
          <w:highlight w:val="none"/>
        </w:rPr>
      </w:pPr>
      <w:r>
        <w:rPr>
          <w:rFonts w:hint="eastAsia" w:ascii="楷体_GB2312" w:hAnsi="宋体" w:eastAsia="楷体_GB2312"/>
          <w:bCs/>
          <w:color w:val="auto"/>
          <w:sz w:val="44"/>
          <w:szCs w:val="44"/>
          <w:highlight w:val="none"/>
        </w:rPr>
        <w:t>产业用地建设和使用监管协议书</w:t>
      </w:r>
    </w:p>
    <w:p>
      <w:pPr>
        <w:adjustRightInd w:val="0"/>
        <w:snapToGrid w:val="0"/>
        <w:spacing w:line="560" w:lineRule="exact"/>
        <w:jc w:val="center"/>
        <w:rPr>
          <w:rFonts w:hint="eastAsia" w:ascii="楷体_GB2312" w:hAnsi="宋体" w:eastAsia="楷体_GB2312"/>
          <w:b/>
          <w:bCs/>
          <w:color w:val="auto"/>
          <w:highlight w:val="none"/>
        </w:rPr>
      </w:pPr>
      <w:r>
        <w:rPr>
          <w:rFonts w:hint="eastAsia" w:ascii="仿宋_GB2312" w:hAnsi="宋体" w:eastAsia="仿宋_GB2312"/>
          <w:color w:val="auto"/>
          <w:sz w:val="28"/>
          <w:szCs w:val="28"/>
          <w:highlight w:val="none"/>
        </w:rPr>
        <w:t>深坪产监协〔202</w:t>
      </w:r>
      <w:r>
        <w:rPr>
          <w:rFonts w:hint="eastAsia" w:ascii="仿宋_GB2312" w:hAnsi="宋体" w:eastAsia="仿宋_GB2312"/>
          <w:color w:val="auto"/>
          <w:sz w:val="28"/>
          <w:szCs w:val="28"/>
          <w:highlight w:val="none"/>
          <w:lang w:val="en-US" w:eastAsia="zh-CN"/>
        </w:rPr>
        <w:t>1</w:t>
      </w:r>
      <w:r>
        <w:rPr>
          <w:rFonts w:hint="eastAsia" w:ascii="仿宋_GB2312" w:hAnsi="宋体" w:eastAsia="仿宋_GB2312"/>
          <w:color w:val="auto"/>
          <w:sz w:val="28"/>
          <w:szCs w:val="28"/>
          <w:highlight w:val="none"/>
        </w:rPr>
        <w:t>〕第   号</w:t>
      </w:r>
    </w:p>
    <w:p>
      <w:pPr>
        <w:adjustRightInd w:val="0"/>
        <w:snapToGrid w:val="0"/>
        <w:spacing w:line="560" w:lineRule="exact"/>
        <w:rPr>
          <w:rFonts w:ascii="楷体_GB2312" w:hAnsi="宋体" w:eastAsia="楷体_GB2312"/>
          <w:b/>
          <w:bCs/>
          <w:color w:val="auto"/>
          <w:sz w:val="30"/>
          <w:szCs w:val="30"/>
          <w:highlight w:val="none"/>
        </w:rPr>
      </w:pPr>
    </w:p>
    <w:p>
      <w:pPr>
        <w:pStyle w:val="2"/>
        <w:adjustRightInd w:val="0"/>
        <w:snapToGrid w:val="0"/>
        <w:spacing w:line="560" w:lineRule="exact"/>
        <w:ind w:firstLine="573"/>
        <w:rPr>
          <w:rFonts w:hint="eastAsia" w:ascii="楷体_GB2312" w:eastAsia="楷体_GB2312"/>
          <w:color w:val="auto"/>
          <w:sz w:val="30"/>
          <w:szCs w:val="30"/>
          <w:highlight w:val="none"/>
        </w:rPr>
      </w:pPr>
      <w:r>
        <w:rPr>
          <w:rFonts w:hint="eastAsia" w:ascii="楷体_GB2312" w:eastAsia="楷体_GB2312"/>
          <w:color w:val="auto"/>
          <w:sz w:val="30"/>
          <w:szCs w:val="30"/>
          <w:highlight w:val="none"/>
        </w:rPr>
        <w:t>为加强产业用地建设和使用管理，切实履行《深圳市土地使用权出让公告》（深土交告</w:t>
      </w:r>
      <w:r>
        <w:rPr>
          <w:rFonts w:hint="eastAsia" w:ascii="仿宋_GB2312" w:eastAsia="仿宋_GB2312"/>
          <w:color w:val="auto"/>
          <w:sz w:val="28"/>
          <w:szCs w:val="28"/>
          <w:highlight w:val="none"/>
        </w:rPr>
        <w:t>〔202</w:t>
      </w:r>
      <w:r>
        <w:rPr>
          <w:rFonts w:hint="eastAsia" w:ascii="仿宋_GB2312" w:eastAsia="仿宋_GB2312"/>
          <w:color w:val="auto"/>
          <w:sz w:val="28"/>
          <w:szCs w:val="28"/>
          <w:highlight w:val="none"/>
          <w:lang w:val="en-US" w:eastAsia="zh-CN"/>
        </w:rPr>
        <w:t>1</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XX</w:t>
      </w:r>
      <w:r>
        <w:rPr>
          <w:rFonts w:hint="eastAsia" w:ascii="仿宋_GB2312" w:eastAsia="仿宋_GB2312"/>
          <w:color w:val="auto"/>
          <w:sz w:val="28"/>
          <w:szCs w:val="28"/>
          <w:highlight w:val="none"/>
        </w:rPr>
        <w:t>号</w:t>
      </w:r>
      <w:r>
        <w:rPr>
          <w:rFonts w:hint="eastAsia" w:ascii="楷体_GB2312" w:eastAsia="楷体_GB2312"/>
          <w:color w:val="auto"/>
          <w:sz w:val="30"/>
          <w:szCs w:val="30"/>
          <w:highlight w:val="none"/>
        </w:rPr>
        <w:t>）相应宗地的项目准入条件要求及土地管理规定中对产业监管的相关要求，保证坪山区产业发展需要，经甲乙双方同意，订立本协议。</w:t>
      </w:r>
    </w:p>
    <w:p>
      <w:pPr>
        <w:adjustRightInd w:val="0"/>
        <w:snapToGrid w:val="0"/>
        <w:spacing w:line="560" w:lineRule="exact"/>
        <w:rPr>
          <w:rFonts w:hint="eastAsia" w:ascii="楷体_GB2312" w:hAnsi="宋体" w:eastAsia="楷体_GB2312"/>
          <w:b/>
          <w:bCs/>
          <w:color w:val="auto"/>
          <w:sz w:val="30"/>
          <w:szCs w:val="30"/>
          <w:highlight w:val="none"/>
        </w:rPr>
      </w:pPr>
    </w:p>
    <w:p>
      <w:pPr>
        <w:adjustRightInd w:val="0"/>
        <w:snapToGrid w:val="0"/>
        <w:spacing w:line="560" w:lineRule="exact"/>
        <w:ind w:left="17" w:firstLine="602" w:firstLineChars="200"/>
        <w:outlineLvl w:val="0"/>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一、本协议双方当事人</w:t>
      </w:r>
    </w:p>
    <w:p>
      <w:pPr>
        <w:adjustRightInd w:val="0"/>
        <w:snapToGrid w:val="0"/>
        <w:spacing w:line="560" w:lineRule="exact"/>
        <w:rPr>
          <w:rFonts w:hint="eastAsia" w:ascii="楷体_GB2312" w:hAnsi="宋体" w:eastAsia="楷体_GB2312"/>
          <w:i/>
          <w:color w:val="auto"/>
          <w:sz w:val="30"/>
          <w:szCs w:val="30"/>
          <w:highlight w:val="none"/>
        </w:rPr>
      </w:pPr>
    </w:p>
    <w:p>
      <w:pPr>
        <w:adjustRightInd w:val="0"/>
        <w:snapToGrid w:val="0"/>
        <w:spacing w:line="560" w:lineRule="exact"/>
        <w:ind w:left="630" w:leftChars="300"/>
        <w:rPr>
          <w:rFonts w:hint="eastAsia" w:ascii="楷体_GB2312" w:hAnsi="宋体" w:eastAsia="楷体_GB2312"/>
          <w:color w:val="auto"/>
          <w:sz w:val="30"/>
          <w:szCs w:val="30"/>
          <w:highlight w:val="none"/>
          <w:u w:val="single"/>
        </w:rPr>
      </w:pPr>
      <w:r>
        <w:rPr>
          <w:rFonts w:hint="eastAsia" w:ascii="楷体_GB2312" w:hAnsi="宋体" w:eastAsia="楷体_GB2312"/>
          <w:color w:val="auto"/>
          <w:sz w:val="30"/>
          <w:szCs w:val="30"/>
          <w:highlight w:val="none"/>
        </w:rPr>
        <w:t>甲方：</w:t>
      </w:r>
      <w:r>
        <w:rPr>
          <w:rFonts w:hint="eastAsia" w:ascii="楷体_GB2312" w:hAnsi="宋体" w:eastAsia="楷体_GB2312"/>
          <w:color w:val="auto"/>
          <w:sz w:val="30"/>
          <w:szCs w:val="30"/>
          <w:highlight w:val="none"/>
          <w:u w:val="single"/>
        </w:rPr>
        <w:t xml:space="preserve">                                            </w:t>
      </w:r>
    </w:p>
    <w:p>
      <w:pPr>
        <w:adjustRightInd w:val="0"/>
        <w:snapToGrid w:val="0"/>
        <w:spacing w:line="560" w:lineRule="exact"/>
        <w:ind w:left="630" w:leftChars="300"/>
        <w:rPr>
          <w:rFonts w:hint="eastAsia" w:ascii="楷体_GB2312" w:hAnsi="宋体" w:eastAsia="楷体_GB2312"/>
          <w:color w:val="auto"/>
          <w:sz w:val="30"/>
          <w:szCs w:val="30"/>
          <w:highlight w:val="none"/>
          <w:u w:val="single"/>
        </w:rPr>
      </w:pPr>
      <w:r>
        <w:rPr>
          <w:rFonts w:hint="eastAsia" w:ascii="楷体_GB2312" w:hAnsi="宋体" w:eastAsia="楷体_GB2312"/>
          <w:color w:val="auto"/>
          <w:sz w:val="30"/>
          <w:szCs w:val="30"/>
          <w:highlight w:val="none"/>
        </w:rPr>
        <w:t>法定代表人：</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职务：</w:t>
      </w:r>
      <w:r>
        <w:rPr>
          <w:rFonts w:hint="eastAsia" w:ascii="楷体_GB2312" w:hAnsi="宋体" w:eastAsia="楷体_GB2312"/>
          <w:color w:val="auto"/>
          <w:sz w:val="30"/>
          <w:szCs w:val="30"/>
          <w:highlight w:val="none"/>
          <w:u w:val="single"/>
        </w:rPr>
        <w:t xml:space="preserve">       </w:t>
      </w:r>
      <w:r>
        <w:rPr>
          <w:rFonts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rPr>
        <w:t xml:space="preserve">  </w:t>
      </w:r>
      <w:r>
        <w:rPr>
          <w:rFonts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rPr>
        <w:t xml:space="preserve"> </w:t>
      </w:r>
    </w:p>
    <w:p>
      <w:pPr>
        <w:adjustRightInd w:val="0"/>
        <w:snapToGrid w:val="0"/>
        <w:spacing w:line="560" w:lineRule="exact"/>
        <w:ind w:left="-149" w:leftChars="-71" w:firstLine="750" w:firstLineChars="250"/>
        <w:jc w:val="left"/>
        <w:rPr>
          <w:rFonts w:ascii="楷体_GB2312" w:hAnsi="宋体" w:eastAsia="楷体_GB2312"/>
          <w:color w:val="auto"/>
          <w:sz w:val="30"/>
          <w:szCs w:val="30"/>
          <w:highlight w:val="none"/>
          <w:u w:val="single"/>
        </w:rPr>
      </w:pPr>
      <w:r>
        <w:rPr>
          <w:rFonts w:hint="eastAsia" w:ascii="楷体_GB2312" w:hAnsi="宋体" w:eastAsia="楷体_GB2312"/>
          <w:color w:val="auto"/>
          <w:sz w:val="30"/>
          <w:szCs w:val="30"/>
          <w:highlight w:val="none"/>
        </w:rPr>
        <w:t xml:space="preserve">地址: </w:t>
      </w:r>
      <w:r>
        <w:rPr>
          <w:rFonts w:hint="eastAsia" w:ascii="楷体_GB2312" w:hAnsi="宋体" w:eastAsia="楷体_GB2312"/>
          <w:color w:val="auto"/>
          <w:sz w:val="30"/>
          <w:szCs w:val="30"/>
          <w:highlight w:val="none"/>
          <w:u w:val="single"/>
        </w:rPr>
        <w:t xml:space="preserve">                                            </w:t>
      </w:r>
    </w:p>
    <w:p>
      <w:pPr>
        <w:adjustRightInd w:val="0"/>
        <w:snapToGrid w:val="0"/>
        <w:spacing w:line="560" w:lineRule="exact"/>
        <w:ind w:left="-149" w:leftChars="-71" w:firstLine="750" w:firstLineChars="250"/>
        <w:jc w:val="left"/>
        <w:rPr>
          <w:rFonts w:hint="eastAsia" w:ascii="楷体_GB2312" w:hAnsi="宋体" w:eastAsia="楷体_GB2312"/>
          <w:color w:val="auto"/>
          <w:sz w:val="30"/>
          <w:szCs w:val="30"/>
          <w:highlight w:val="none"/>
          <w:u w:val="single"/>
          <w:lang w:val="en-US" w:eastAsia="zh-CN"/>
        </w:rPr>
      </w:pPr>
      <w:r>
        <w:rPr>
          <w:rFonts w:hint="eastAsia" w:ascii="楷体_GB2312" w:hAnsi="宋体" w:eastAsia="楷体_GB2312"/>
          <w:color w:val="auto"/>
          <w:sz w:val="30"/>
          <w:szCs w:val="30"/>
          <w:highlight w:val="none"/>
        </w:rPr>
        <w:t>电话：</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 xml:space="preserve">                               </w:t>
      </w:r>
      <w:r>
        <w:rPr>
          <w:rFonts w:hint="eastAsia" w:ascii="楷体_GB2312" w:hAnsi="宋体" w:eastAsia="楷体_GB2312"/>
          <w:color w:val="auto"/>
          <w:sz w:val="30"/>
          <w:szCs w:val="30"/>
          <w:highlight w:val="none"/>
        </w:rPr>
        <w:t xml:space="preserve"> </w:t>
      </w:r>
      <w:r>
        <w:rPr>
          <w:rFonts w:hint="eastAsia" w:ascii="楷体_GB2312" w:hAnsi="宋体" w:eastAsia="楷体_GB2312"/>
          <w:color w:val="auto"/>
          <w:sz w:val="30"/>
          <w:szCs w:val="30"/>
          <w:highlight w:val="none"/>
          <w:lang w:val="en-US" w:eastAsia="zh-CN"/>
        </w:rPr>
        <w:t xml:space="preserve">   </w:t>
      </w:r>
    </w:p>
    <w:p>
      <w:pPr>
        <w:adjustRightInd w:val="0"/>
        <w:snapToGrid w:val="0"/>
        <w:spacing w:line="560" w:lineRule="exact"/>
        <w:rPr>
          <w:rFonts w:hint="eastAsia" w:ascii="楷体_GB2312" w:hAnsi="宋体" w:eastAsia="楷体_GB2312"/>
          <w:color w:val="auto"/>
          <w:sz w:val="30"/>
          <w:szCs w:val="30"/>
          <w:highlight w:val="none"/>
        </w:rPr>
      </w:pPr>
    </w:p>
    <w:p>
      <w:pPr>
        <w:adjustRightInd w:val="0"/>
        <w:snapToGrid w:val="0"/>
        <w:spacing w:line="560" w:lineRule="exact"/>
        <w:ind w:left="630" w:leftChars="300"/>
        <w:rPr>
          <w:rFonts w:hint="eastAsia" w:ascii="楷体_GB2312" w:hAnsi="宋体" w:eastAsia="楷体_GB2312"/>
          <w:color w:val="auto"/>
          <w:sz w:val="30"/>
          <w:szCs w:val="30"/>
          <w:highlight w:val="none"/>
          <w:u w:val="single"/>
        </w:rPr>
      </w:pPr>
      <w:r>
        <w:rPr>
          <w:rFonts w:hint="eastAsia" w:ascii="楷体_GB2312" w:hAnsi="宋体" w:eastAsia="楷体_GB2312"/>
          <w:color w:val="auto"/>
          <w:sz w:val="30"/>
          <w:szCs w:val="30"/>
          <w:highlight w:val="none"/>
        </w:rPr>
        <w:t>乙方（土地竞得者）：</w:t>
      </w:r>
      <w:r>
        <w:rPr>
          <w:rFonts w:hint="eastAsia" w:ascii="楷体_GB2312" w:hAnsi="宋体" w:eastAsia="楷体_GB2312"/>
          <w:color w:val="auto"/>
          <w:sz w:val="30"/>
          <w:szCs w:val="30"/>
          <w:highlight w:val="none"/>
          <w:u w:val="single"/>
        </w:rPr>
        <w:t xml:space="preserve">                              </w:t>
      </w:r>
    </w:p>
    <w:p>
      <w:pPr>
        <w:adjustRightInd w:val="0"/>
        <w:snapToGrid w:val="0"/>
        <w:spacing w:line="560" w:lineRule="exact"/>
        <w:ind w:left="630" w:leftChars="3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统一社会信用代码：</w:t>
      </w:r>
      <w:r>
        <w:rPr>
          <w:rFonts w:hint="eastAsia" w:ascii="楷体_GB2312" w:hAnsi="宋体" w:eastAsia="楷体_GB2312"/>
          <w:color w:val="auto"/>
          <w:sz w:val="30"/>
          <w:szCs w:val="30"/>
          <w:highlight w:val="none"/>
          <w:u w:val="single"/>
        </w:rPr>
        <w:t xml:space="preserve">                                </w:t>
      </w:r>
    </w:p>
    <w:p>
      <w:pPr>
        <w:widowControl w:val="0"/>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法定代表人：</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职务：</w:t>
      </w:r>
      <w:r>
        <w:rPr>
          <w:rFonts w:hint="eastAsia" w:ascii="楷体_GB2312" w:hAnsi="宋体" w:eastAsia="楷体_GB2312"/>
          <w:color w:val="auto"/>
          <w:sz w:val="30"/>
          <w:szCs w:val="30"/>
          <w:highlight w:val="none"/>
          <w:u w:val="single"/>
        </w:rPr>
        <w:t xml:space="preserve">                   </w:t>
      </w:r>
    </w:p>
    <w:p>
      <w:pPr>
        <w:tabs>
          <w:tab w:val="left" w:pos="5220"/>
        </w:tabs>
        <w:adjustRightInd w:val="0"/>
        <w:snapToGrid w:val="0"/>
        <w:spacing w:line="560" w:lineRule="exact"/>
        <w:ind w:firstLine="600" w:firstLineChars="200"/>
        <w:rPr>
          <w:rFonts w:hint="eastAsia" w:ascii="楷体_GB2312" w:hAnsi="宋体" w:eastAsia="楷体_GB2312"/>
          <w:color w:val="auto"/>
          <w:position w:val="-32"/>
          <w:sz w:val="30"/>
          <w:szCs w:val="30"/>
          <w:highlight w:val="none"/>
        </w:rPr>
      </w:pPr>
      <w:r>
        <w:rPr>
          <w:rFonts w:hint="eastAsia" w:ascii="楷体_GB2312" w:hAnsi="宋体" w:eastAsia="楷体_GB2312"/>
          <w:color w:val="auto"/>
          <w:sz w:val="30"/>
          <w:szCs w:val="30"/>
          <w:highlight w:val="none"/>
        </w:rPr>
        <w:t xml:space="preserve">地址： </w:t>
      </w:r>
      <w:r>
        <w:rPr>
          <w:rFonts w:hint="eastAsia" w:ascii="楷体_GB2312" w:hAnsi="宋体" w:eastAsia="楷体_GB2312"/>
          <w:color w:val="auto"/>
          <w:sz w:val="30"/>
          <w:szCs w:val="30"/>
          <w:highlight w:val="none"/>
          <w:u w:val="single"/>
        </w:rPr>
        <w:t xml:space="preserve">                                     </w:t>
      </w:r>
      <w:r>
        <w:rPr>
          <w:rFonts w:ascii="楷体_GB2312" w:hAnsi="宋体" w:eastAsia="楷体_GB2312"/>
          <w:color w:val="auto"/>
          <w:sz w:val="30"/>
          <w:szCs w:val="30"/>
          <w:highlight w:val="none"/>
          <w:u w:val="single"/>
        </w:rPr>
        <w:t xml:space="preserve">      </w:t>
      </w:r>
    </w:p>
    <w:p>
      <w:pPr>
        <w:tabs>
          <w:tab w:val="left" w:pos="2700"/>
        </w:tabs>
        <w:adjustRightInd w:val="0"/>
        <w:snapToGrid w:val="0"/>
        <w:spacing w:line="560" w:lineRule="exact"/>
        <w:ind w:firstLine="600" w:firstLineChars="200"/>
        <w:rPr>
          <w:rFonts w:hint="eastAsia" w:ascii="楷体_GB2312" w:hAnsi="宋体" w:eastAsia="楷体_GB2312"/>
          <w:color w:val="auto"/>
          <w:sz w:val="32"/>
          <w:szCs w:val="30"/>
          <w:highlight w:val="none"/>
          <w:u w:val="single"/>
          <w:lang w:val="en-US" w:eastAsia="zh-CN"/>
        </w:rPr>
      </w:pPr>
      <w:r>
        <w:rPr>
          <w:rFonts w:hint="eastAsia" w:ascii="楷体_GB2312" w:hAnsi="宋体" w:eastAsia="楷体_GB2312"/>
          <w:color w:val="auto"/>
          <w:sz w:val="30"/>
          <w:szCs w:val="30"/>
          <w:highlight w:val="none"/>
        </w:rPr>
        <w:t>电</w:t>
      </w:r>
      <w:r>
        <w:rPr>
          <w:rFonts w:hint="eastAsia" w:ascii="楷体_GB2312" w:hAnsi="宋体" w:eastAsia="楷体_GB2312"/>
          <w:color w:val="auto"/>
          <w:sz w:val="32"/>
          <w:szCs w:val="30"/>
          <w:highlight w:val="none"/>
        </w:rPr>
        <w:t>话：</w:t>
      </w:r>
      <w:r>
        <w:rPr>
          <w:rFonts w:hint="eastAsia" w:ascii="楷体_GB2312" w:hAnsi="宋体" w:eastAsia="楷体_GB2312"/>
          <w:color w:val="auto"/>
          <w:sz w:val="32"/>
          <w:szCs w:val="30"/>
          <w:highlight w:val="none"/>
          <w:u w:val="single"/>
        </w:rPr>
        <w:t xml:space="preserve">            </w:t>
      </w:r>
      <w:r>
        <w:rPr>
          <w:rFonts w:hint="eastAsia" w:ascii="楷体_GB2312" w:hAnsi="宋体" w:eastAsia="楷体_GB2312"/>
          <w:color w:val="auto"/>
          <w:sz w:val="32"/>
          <w:szCs w:val="30"/>
          <w:highlight w:val="none"/>
          <w:u w:val="single"/>
          <w:lang w:val="en-US" w:eastAsia="zh-CN"/>
        </w:rPr>
        <w:t xml:space="preserve">                             </w:t>
      </w:r>
    </w:p>
    <w:p>
      <w:pPr>
        <w:tabs>
          <w:tab w:val="left" w:pos="2700"/>
        </w:tabs>
        <w:adjustRightInd w:val="0"/>
        <w:snapToGrid w:val="0"/>
        <w:spacing w:line="560" w:lineRule="exact"/>
        <w:ind w:firstLine="640" w:firstLineChars="200"/>
        <w:rPr>
          <w:rFonts w:hint="eastAsia" w:ascii="楷体_GB2312" w:hAnsi="宋体" w:eastAsia="楷体_GB2312"/>
          <w:color w:val="auto"/>
          <w:sz w:val="32"/>
          <w:szCs w:val="30"/>
          <w:highlight w:val="none"/>
          <w:u w:val="single"/>
          <w:lang w:val="en-US" w:eastAsia="zh-CN"/>
        </w:rPr>
      </w:pPr>
    </w:p>
    <w:p>
      <w:pPr>
        <w:numPr>
          <w:ilvl w:val="0"/>
          <w:numId w:val="1"/>
        </w:numPr>
        <w:adjustRightInd w:val="0"/>
        <w:snapToGrid w:val="0"/>
        <w:spacing w:line="560" w:lineRule="exact"/>
        <w:rPr>
          <w:rFonts w:hint="eastAsia" w:ascii="楷体_GB2312" w:hAnsi="宋体" w:eastAsia="楷体_GB2312"/>
          <w:b/>
          <w:bCs/>
          <w:color w:val="auto"/>
          <w:sz w:val="30"/>
          <w:szCs w:val="30"/>
          <w:highlight w:val="none"/>
        </w:rPr>
      </w:pPr>
      <w:r>
        <w:rPr>
          <w:rFonts w:hint="eastAsia" w:ascii="楷体_GB2312" w:hAnsi="宋体" w:eastAsia="楷体_GB2312"/>
          <w:b/>
          <w:bCs/>
          <w:color w:val="auto"/>
          <w:sz w:val="30"/>
          <w:szCs w:val="30"/>
          <w:highlight w:val="none"/>
        </w:rPr>
        <w:t>地块基本情况</w:t>
      </w:r>
    </w:p>
    <w:p>
      <w:pPr>
        <w:adjustRightInd w:val="0"/>
        <w:snapToGrid w:val="0"/>
        <w:spacing w:line="560" w:lineRule="exact"/>
        <w:ind w:left="447" w:leftChars="213" w:firstLine="120" w:firstLineChars="40"/>
        <w:rPr>
          <w:rFonts w:hint="eastAsia" w:ascii="楷体_GB2312" w:hAnsi="宋体" w:eastAsia="楷体_GB2312"/>
          <w:bCs/>
          <w:color w:val="auto"/>
          <w:spacing w:val="-20"/>
          <w:sz w:val="30"/>
          <w:szCs w:val="30"/>
          <w:highlight w:val="none"/>
        </w:rPr>
      </w:pPr>
      <w:r>
        <w:rPr>
          <w:rFonts w:hint="eastAsia" w:ascii="楷体_GB2312" w:hAnsi="宋体" w:eastAsia="楷体_GB2312"/>
          <w:bCs/>
          <w:color w:val="auto"/>
          <w:sz w:val="30"/>
          <w:szCs w:val="30"/>
          <w:highlight w:val="none"/>
        </w:rPr>
        <w:t>宗地编号/用地方案号：</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sz w:val="30"/>
          <w:szCs w:val="30"/>
          <w:u w:val="single"/>
        </w:rPr>
        <w:t>PS-2021-0002Z</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pacing w:val="-20"/>
          <w:sz w:val="30"/>
          <w:szCs w:val="30"/>
          <w:highlight w:val="none"/>
          <w:u w:val="single"/>
        </w:rPr>
        <w:t xml:space="preserve"> </w:t>
      </w:r>
    </w:p>
    <w:p>
      <w:pPr>
        <w:adjustRightInd w:val="0"/>
        <w:snapToGrid w:val="0"/>
        <w:spacing w:line="560" w:lineRule="exact"/>
        <w:ind w:left="567" w:leftChars="270"/>
        <w:rPr>
          <w:rFonts w:hint="eastAsia" w:ascii="楷体_GB2312" w:hAnsi="宋体" w:eastAsia="楷体_GB2312"/>
          <w:color w:val="auto"/>
          <w:sz w:val="32"/>
          <w:szCs w:val="32"/>
          <w:highlight w:val="none"/>
          <w:u w:val="single"/>
          <w:lang w:val="en-US" w:eastAsia="zh-CN"/>
        </w:rPr>
      </w:pPr>
      <w:r>
        <w:rPr>
          <w:rFonts w:hint="eastAsia" w:ascii="楷体_GB2312" w:hAnsi="宋体" w:eastAsia="楷体_GB2312"/>
          <w:bCs/>
          <w:color w:val="auto"/>
          <w:sz w:val="30"/>
          <w:szCs w:val="30"/>
          <w:highlight w:val="none"/>
        </w:rPr>
        <w:t>土地位置：</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z w:val="30"/>
          <w:szCs w:val="30"/>
          <w:u w:val="single"/>
        </w:rPr>
        <w:t>坪山区坑梓街道金联路与临惠路交汇处西南角</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z w:val="30"/>
          <w:szCs w:val="30"/>
          <w:highlight w:val="none"/>
          <w:u w:val="single"/>
          <w:lang w:val="en-US" w:eastAsia="zh-CN"/>
        </w:rPr>
        <w:t xml:space="preserve">             </w:t>
      </w:r>
    </w:p>
    <w:p>
      <w:pPr>
        <w:adjustRightInd w:val="0"/>
        <w:snapToGrid w:val="0"/>
        <w:spacing w:line="560" w:lineRule="exact"/>
        <w:ind w:left="567" w:leftChars="270"/>
        <w:rPr>
          <w:rFonts w:hint="eastAsia" w:ascii="楷体_GB2312" w:hAnsi="宋体" w:eastAsia="楷体_GB2312"/>
          <w:bCs/>
          <w:color w:val="auto"/>
          <w:sz w:val="30"/>
          <w:szCs w:val="30"/>
          <w:highlight w:val="none"/>
          <w:lang w:val="en-US" w:eastAsia="zh-CN"/>
        </w:rPr>
      </w:pPr>
      <w:r>
        <w:rPr>
          <w:rFonts w:hint="eastAsia" w:ascii="楷体_GB2312" w:hAnsi="宋体" w:eastAsia="楷体_GB2312"/>
          <w:bCs/>
          <w:color w:val="auto"/>
          <w:sz w:val="30"/>
          <w:szCs w:val="30"/>
          <w:highlight w:val="none"/>
        </w:rPr>
        <w:t>土地用途：</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z w:val="30"/>
          <w:szCs w:val="30"/>
          <w:u w:val="single"/>
        </w:rPr>
        <w:t xml:space="preserve"> </w:t>
      </w:r>
      <w:r>
        <w:rPr>
          <w:rFonts w:hint="eastAsia" w:ascii="楷体_GB2312" w:hAnsi="宋体" w:eastAsia="楷体_GB2312"/>
          <w:bCs/>
          <w:color w:val="auto"/>
          <w:sz w:val="30"/>
          <w:szCs w:val="30"/>
          <w:u w:val="single"/>
          <w:lang w:val="en-US" w:eastAsia="zh-CN"/>
        </w:rPr>
        <w:t>普通</w:t>
      </w:r>
      <w:r>
        <w:rPr>
          <w:rFonts w:hint="eastAsia" w:ascii="楷体_GB2312" w:hAnsi="宋体" w:eastAsia="楷体_GB2312"/>
          <w:bCs/>
          <w:color w:val="auto"/>
          <w:sz w:val="30"/>
          <w:szCs w:val="30"/>
          <w:u w:val="single"/>
        </w:rPr>
        <w:t>工业用地</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z w:val="30"/>
          <w:szCs w:val="30"/>
          <w:highlight w:val="none"/>
          <w:u w:val="single"/>
          <w:lang w:val="en-US" w:eastAsia="zh-CN"/>
        </w:rPr>
        <w:t xml:space="preserve">                      </w:t>
      </w:r>
    </w:p>
    <w:p>
      <w:pPr>
        <w:adjustRightInd w:val="0"/>
        <w:snapToGrid w:val="0"/>
        <w:spacing w:line="560" w:lineRule="exact"/>
        <w:ind w:firstLine="570"/>
        <w:rPr>
          <w:rFonts w:hint="eastAsia" w:ascii="楷体_GB2312" w:hAnsi="宋体" w:eastAsia="楷体_GB2312"/>
          <w:bCs/>
          <w:color w:val="auto"/>
          <w:sz w:val="30"/>
          <w:szCs w:val="30"/>
          <w:highlight w:val="none"/>
          <w:u w:val="single"/>
          <w:lang w:val="en-US" w:eastAsia="zh-CN"/>
        </w:rPr>
      </w:pPr>
      <w:r>
        <w:rPr>
          <w:rFonts w:hint="eastAsia" w:ascii="楷体_GB2312" w:hAnsi="宋体" w:eastAsia="楷体_GB2312"/>
          <w:bCs/>
          <w:color w:val="auto"/>
          <w:sz w:val="30"/>
          <w:szCs w:val="30"/>
          <w:highlight w:val="none"/>
        </w:rPr>
        <w:t>总用地面积（平方米）：</w:t>
      </w:r>
      <w:r>
        <w:rPr>
          <w:rFonts w:hint="eastAsia" w:ascii="楷体_GB2312" w:hAnsi="宋体" w:eastAsia="楷体_GB2312"/>
          <w:bCs/>
          <w:color w:val="auto"/>
          <w:spacing w:val="-20"/>
          <w:sz w:val="30"/>
          <w:szCs w:val="30"/>
          <w:highlight w:val="none"/>
          <w:u w:val="single"/>
        </w:rPr>
        <w:t xml:space="preserve">     </w:t>
      </w:r>
      <w:r>
        <w:rPr>
          <w:rFonts w:hint="eastAsia" w:ascii="楷体_GB2312" w:hAnsi="宋体" w:eastAsia="楷体_GB2312"/>
          <w:bCs/>
          <w:color w:val="auto"/>
          <w:spacing w:val="-20"/>
          <w:sz w:val="30"/>
          <w:szCs w:val="30"/>
          <w:u w:val="single"/>
          <w:lang w:val="en-US" w:eastAsia="zh-CN"/>
        </w:rPr>
        <w:t>13775.62</w:t>
      </w:r>
      <w:r>
        <w:rPr>
          <w:rFonts w:hint="eastAsia" w:ascii="楷体_GB2312" w:hAnsi="宋体" w:eastAsia="楷体_GB2312"/>
          <w:bCs/>
          <w:color w:val="auto"/>
          <w:spacing w:val="-20"/>
          <w:sz w:val="30"/>
          <w:szCs w:val="30"/>
          <w:u w:val="single"/>
        </w:rPr>
        <w:t xml:space="preserve">  </w:t>
      </w:r>
      <w:bookmarkStart w:id="7" w:name="_GoBack"/>
      <w:bookmarkEnd w:id="7"/>
      <w:r>
        <w:rPr>
          <w:rFonts w:hint="eastAsia" w:ascii="楷体_GB2312" w:hAnsi="宋体" w:eastAsia="楷体_GB2312"/>
          <w:bCs/>
          <w:color w:val="auto"/>
          <w:spacing w:val="-20"/>
          <w:sz w:val="30"/>
          <w:szCs w:val="30"/>
          <w:highlight w:val="none"/>
          <w:u w:val="single"/>
        </w:rPr>
        <w:t xml:space="preserve">           </w:t>
      </w:r>
      <w:r>
        <w:rPr>
          <w:rFonts w:hint="eastAsia" w:ascii="楷体_GB2312" w:hAnsi="宋体" w:eastAsia="楷体_GB2312"/>
          <w:bCs/>
          <w:color w:val="auto"/>
          <w:spacing w:val="-20"/>
          <w:sz w:val="30"/>
          <w:szCs w:val="30"/>
          <w:highlight w:val="none"/>
          <w:u w:val="single"/>
          <w:lang w:val="en-US" w:eastAsia="zh-CN"/>
        </w:rPr>
        <w:t xml:space="preserve">               </w:t>
      </w:r>
    </w:p>
    <w:p>
      <w:pPr>
        <w:tabs>
          <w:tab w:val="left" w:pos="5220"/>
          <w:tab w:val="left" w:pos="5400"/>
          <w:tab w:val="left" w:pos="5580"/>
        </w:tabs>
        <w:adjustRightInd w:val="0"/>
        <w:snapToGrid w:val="0"/>
        <w:spacing w:line="560" w:lineRule="exact"/>
        <w:ind w:firstLine="570"/>
        <w:rPr>
          <w:rFonts w:hint="eastAsia" w:ascii="楷体_GB2312" w:hAnsi="宋体" w:eastAsia="楷体_GB2312"/>
          <w:bCs/>
          <w:color w:val="auto"/>
          <w:sz w:val="30"/>
          <w:szCs w:val="30"/>
          <w:highlight w:val="none"/>
          <w:u w:val="single"/>
          <w:lang w:val="en-US" w:eastAsia="zh-CN"/>
        </w:rPr>
      </w:pPr>
      <w:r>
        <w:rPr>
          <w:rFonts w:hint="eastAsia" w:ascii="楷体_GB2312" w:hAnsi="宋体" w:eastAsia="楷体_GB2312"/>
          <w:bCs/>
          <w:color w:val="auto"/>
          <w:sz w:val="30"/>
          <w:szCs w:val="30"/>
          <w:highlight w:val="none"/>
        </w:rPr>
        <w:t>总建筑面积（平方米）：</w:t>
      </w:r>
      <w:r>
        <w:rPr>
          <w:rFonts w:hint="eastAsia" w:ascii="楷体_GB2312" w:hAnsi="宋体" w:eastAsia="楷体_GB2312"/>
          <w:bCs/>
          <w:color w:val="auto"/>
          <w:spacing w:val="-20"/>
          <w:sz w:val="30"/>
          <w:szCs w:val="30"/>
          <w:highlight w:val="none"/>
          <w:u w:val="single"/>
        </w:rPr>
        <w:t xml:space="preserve">     </w:t>
      </w:r>
      <w:r>
        <w:rPr>
          <w:rFonts w:hint="eastAsia" w:ascii="楷体_GB2312" w:hAnsi="宋体" w:eastAsia="楷体_GB2312"/>
          <w:bCs/>
          <w:color w:val="auto"/>
          <w:spacing w:val="-20"/>
          <w:sz w:val="30"/>
          <w:szCs w:val="30"/>
          <w:highlight w:val="none"/>
          <w:u w:val="single"/>
          <w:lang w:val="en-US" w:eastAsia="zh-CN"/>
        </w:rPr>
        <w:t xml:space="preserve">55100    </w:t>
      </w:r>
      <w:r>
        <w:rPr>
          <w:rFonts w:hint="eastAsia" w:ascii="楷体_GB2312" w:hAnsi="宋体" w:eastAsia="楷体_GB2312"/>
          <w:bCs/>
          <w:color w:val="auto"/>
          <w:spacing w:val="-20"/>
          <w:sz w:val="30"/>
          <w:szCs w:val="30"/>
          <w:highlight w:val="none"/>
          <w:u w:val="single"/>
        </w:rPr>
        <w:t xml:space="preserve">                   </w:t>
      </w:r>
      <w:r>
        <w:rPr>
          <w:rFonts w:hint="eastAsia" w:ascii="楷体_GB2312" w:hAnsi="宋体" w:eastAsia="楷体_GB2312"/>
          <w:bCs/>
          <w:color w:val="auto"/>
          <w:spacing w:val="-20"/>
          <w:sz w:val="30"/>
          <w:szCs w:val="30"/>
          <w:highlight w:val="none"/>
          <w:u w:val="single"/>
          <w:lang w:val="en-US" w:eastAsia="zh-CN"/>
        </w:rPr>
        <w:t xml:space="preserve">       </w:t>
      </w:r>
    </w:p>
    <w:p>
      <w:pPr>
        <w:tabs>
          <w:tab w:val="left" w:pos="7200"/>
        </w:tabs>
        <w:adjustRightInd w:val="0"/>
        <w:snapToGrid w:val="0"/>
        <w:spacing w:line="560" w:lineRule="exact"/>
        <w:ind w:firstLine="600" w:firstLineChars="200"/>
        <w:rPr>
          <w:rFonts w:hint="eastAsia" w:ascii="楷体_GB2312" w:hAnsi="宋体" w:eastAsia="楷体_GB2312"/>
          <w:bCs/>
          <w:color w:val="auto"/>
          <w:sz w:val="30"/>
          <w:szCs w:val="30"/>
          <w:highlight w:val="none"/>
          <w:u w:val="single"/>
          <w:lang w:val="en-US" w:eastAsia="zh-CN"/>
        </w:rPr>
      </w:pPr>
      <w:r>
        <w:rPr>
          <w:rFonts w:hint="eastAsia" w:ascii="楷体_GB2312" w:hAnsi="宋体" w:eastAsia="楷体_GB2312"/>
          <w:bCs/>
          <w:color w:val="auto"/>
          <w:sz w:val="30"/>
          <w:szCs w:val="30"/>
          <w:highlight w:val="none"/>
        </w:rPr>
        <w:t>项目名称：</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 xml:space="preserve">                   </w:t>
      </w:r>
    </w:p>
    <w:p>
      <w:pPr>
        <w:adjustRightInd w:val="0"/>
        <w:snapToGrid w:val="0"/>
        <w:spacing w:line="560" w:lineRule="exact"/>
        <w:ind w:firstLine="570"/>
        <w:rPr>
          <w:rFonts w:hint="eastAsia" w:ascii="楷体_GB2312" w:hAnsi="宋体" w:eastAsia="楷体_GB2312"/>
          <w:bCs/>
          <w:color w:val="auto"/>
          <w:sz w:val="30"/>
          <w:szCs w:val="30"/>
          <w:highlight w:val="none"/>
          <w:u w:val="single"/>
          <w:lang w:val="en-US" w:eastAsia="zh-CN"/>
        </w:rPr>
      </w:pPr>
      <w:r>
        <w:rPr>
          <w:rFonts w:hint="eastAsia" w:ascii="楷体_GB2312" w:hAnsi="宋体" w:eastAsia="楷体_GB2312"/>
          <w:bCs/>
          <w:color w:val="auto"/>
          <w:sz w:val="30"/>
          <w:szCs w:val="30"/>
          <w:highlight w:val="none"/>
        </w:rPr>
        <w:t>土地使用年期（年）：</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z w:val="30"/>
          <w:szCs w:val="30"/>
          <w:highlight w:val="none"/>
          <w:u w:val="single"/>
          <w:lang w:val="en-US" w:eastAsia="zh-CN"/>
        </w:rPr>
        <w:t>20</w:t>
      </w:r>
      <w:r>
        <w:rPr>
          <w:rFonts w:hint="eastAsia" w:ascii="楷体_GB2312" w:hAnsi="宋体" w:eastAsia="楷体_GB2312"/>
          <w:bCs/>
          <w:color w:val="auto"/>
          <w:sz w:val="30"/>
          <w:szCs w:val="30"/>
          <w:highlight w:val="none"/>
          <w:u w:val="single"/>
        </w:rPr>
        <w:t xml:space="preserve">   </w:t>
      </w:r>
      <w:r>
        <w:rPr>
          <w:rFonts w:hint="eastAsia" w:ascii="楷体_GB2312" w:hAnsi="宋体" w:eastAsia="楷体_GB2312"/>
          <w:bCs/>
          <w:color w:val="auto"/>
          <w:sz w:val="30"/>
          <w:szCs w:val="30"/>
          <w:highlight w:val="none"/>
          <w:u w:val="single"/>
          <w:lang w:val="en-US" w:eastAsia="zh-CN"/>
        </w:rPr>
        <w:t xml:space="preserve">            </w:t>
      </w:r>
    </w:p>
    <w:p>
      <w:pPr>
        <w:adjustRightInd w:val="0"/>
        <w:snapToGrid w:val="0"/>
        <w:spacing w:line="560" w:lineRule="exact"/>
        <w:rPr>
          <w:rFonts w:hint="eastAsia" w:ascii="楷体_GB2312" w:hAnsi="宋体" w:eastAsia="楷体_GB2312"/>
          <w:bCs/>
          <w:color w:val="auto"/>
          <w:sz w:val="30"/>
          <w:szCs w:val="30"/>
          <w:highlight w:val="none"/>
        </w:rPr>
      </w:pPr>
    </w:p>
    <w:p>
      <w:pPr>
        <w:pStyle w:val="2"/>
        <w:adjustRightInd w:val="0"/>
        <w:snapToGrid w:val="0"/>
        <w:spacing w:line="560" w:lineRule="exact"/>
        <w:ind w:firstLine="590" w:firstLineChars="196"/>
        <w:rPr>
          <w:rFonts w:hint="eastAsia" w:ascii="楷体_GB2312" w:eastAsia="楷体_GB2312"/>
          <w:color w:val="auto"/>
          <w:sz w:val="30"/>
          <w:szCs w:val="30"/>
          <w:highlight w:val="none"/>
        </w:rPr>
      </w:pPr>
      <w:r>
        <w:rPr>
          <w:rFonts w:hint="eastAsia" w:ascii="楷体_GB2312" w:eastAsia="楷体_GB2312"/>
          <w:b/>
          <w:color w:val="auto"/>
          <w:sz w:val="30"/>
          <w:szCs w:val="30"/>
          <w:highlight w:val="none"/>
        </w:rPr>
        <w:t>三、甲方权利和义务</w:t>
      </w:r>
    </w:p>
    <w:p>
      <w:pPr>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（一）甲方根据深圳市和坪山区产业政策和发展要求，为产业用地项目提供指导性服务。</w:t>
      </w:r>
    </w:p>
    <w:p>
      <w:pPr>
        <w:adjustRightInd w:val="0"/>
        <w:snapToGrid w:val="0"/>
        <w:spacing w:line="560" w:lineRule="exact"/>
        <w:ind w:firstLine="57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（二）乙方上述项目建设、施工及竣工后，甲方有权自行或委托专业机构按照本协议书核查项目的履约情况，若乙方违反本协议有关约定，甲方有权追究乙方的违约责任。</w:t>
      </w:r>
    </w:p>
    <w:p>
      <w:pPr>
        <w:adjustRightInd w:val="0"/>
        <w:snapToGrid w:val="0"/>
        <w:spacing w:line="560" w:lineRule="exact"/>
        <w:ind w:firstLine="57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（三）甲方有权随时要求乙方提供阶段性工作进展汇报，就项目建设、施工过程中产生的问题进行解释、制定解决方案，汇报方案实施效果。</w:t>
      </w:r>
    </w:p>
    <w:p>
      <w:pPr>
        <w:adjustRightInd w:val="0"/>
        <w:snapToGrid w:val="0"/>
        <w:spacing w:line="560" w:lineRule="exact"/>
        <w:ind w:firstLine="57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（四）</w:t>
      </w:r>
      <w:r>
        <w:rPr>
          <w:rFonts w:hint="eastAsia" w:ascii="楷体_GB2312" w:hAnsi="Arial" w:eastAsia="楷体_GB2312" w:cs="Arial"/>
          <w:color w:val="auto"/>
          <w:kern w:val="0"/>
          <w:sz w:val="30"/>
          <w:szCs w:val="30"/>
          <w:highlight w:val="none"/>
        </w:rPr>
        <w:t>乙方注册地址不在坪山区的，甲方支持乙方将注册地址依法变更到坪山区范围内。</w:t>
      </w:r>
    </w:p>
    <w:p>
      <w:pPr>
        <w:adjustRightInd w:val="0"/>
        <w:snapToGrid w:val="0"/>
        <w:spacing w:line="560" w:lineRule="exact"/>
        <w:ind w:firstLine="602" w:firstLineChars="200"/>
        <w:rPr>
          <w:rFonts w:hint="eastAsia" w:ascii="楷体_GB2312" w:hAnsi="宋体" w:eastAsia="楷体_GB2312"/>
          <w:b/>
          <w:bCs/>
          <w:color w:val="auto"/>
          <w:sz w:val="30"/>
          <w:szCs w:val="30"/>
          <w:highlight w:val="none"/>
        </w:rPr>
      </w:pPr>
    </w:p>
    <w:p>
      <w:pPr>
        <w:numPr>
          <w:ilvl w:val="0"/>
          <w:numId w:val="0"/>
        </w:numPr>
        <w:adjustRightInd w:val="0"/>
        <w:snapToGrid w:val="0"/>
        <w:spacing w:line="560" w:lineRule="exact"/>
        <w:ind w:left="0" w:leftChars="0" w:firstLine="620" w:firstLineChars="206"/>
        <w:rPr>
          <w:rFonts w:hint="eastAsia" w:ascii="楷体_GB2312" w:hAnsi="宋体" w:eastAsia="楷体_GB2312"/>
          <w:b/>
          <w:bCs/>
          <w:color w:val="auto"/>
          <w:sz w:val="30"/>
          <w:szCs w:val="30"/>
          <w:highlight w:val="none"/>
        </w:rPr>
      </w:pPr>
      <w:r>
        <w:rPr>
          <w:rFonts w:hint="eastAsia" w:ascii="楷体_GB2312" w:hAnsi="宋体" w:eastAsia="楷体_GB2312"/>
          <w:b/>
          <w:bCs/>
          <w:color w:val="auto"/>
          <w:sz w:val="30"/>
          <w:szCs w:val="30"/>
          <w:highlight w:val="none"/>
          <w:lang w:val="en-US" w:eastAsia="zh-CN"/>
        </w:rPr>
        <w:t>四、</w:t>
      </w:r>
      <w:r>
        <w:rPr>
          <w:rFonts w:hint="eastAsia" w:ascii="楷体_GB2312" w:hAnsi="宋体" w:eastAsia="楷体_GB2312"/>
          <w:b/>
          <w:bCs/>
          <w:color w:val="auto"/>
          <w:sz w:val="30"/>
          <w:szCs w:val="30"/>
          <w:highlight w:val="none"/>
        </w:rPr>
        <w:t>乙方权利和义务</w:t>
      </w:r>
    </w:p>
    <w:p>
      <w:pPr>
        <w:numPr>
          <w:ilvl w:val="0"/>
          <w:numId w:val="0"/>
        </w:numPr>
        <w:adjustRightInd w:val="0"/>
        <w:snapToGrid w:val="0"/>
        <w:spacing w:line="560" w:lineRule="exact"/>
        <w:ind w:left="0" w:leftChars="0" w:firstLine="618" w:firstLineChars="206"/>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（一）乙方竞买取得的上述产业用地只能用于本协议第二条“地块基本情况”中约定项目的建设。</w:t>
      </w:r>
    </w:p>
    <w:p>
      <w:p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地块基本情况经有关部门批准发生变动的，乙方应在获批准后30日内，向甲方申请办理地块基本情况变动备案</w:t>
      </w:r>
      <w:bookmarkStart w:id="0" w:name="_Hlk41638969"/>
      <w:r>
        <w:rPr>
          <w:rFonts w:hint="eastAsia" w:ascii="楷体_GB2312" w:hAnsi="宋体" w:eastAsia="楷体_GB2312"/>
          <w:color w:val="auto"/>
          <w:sz w:val="30"/>
          <w:szCs w:val="30"/>
          <w:highlight w:val="none"/>
        </w:rPr>
        <w:t>，甲方将视情形与乙方签署产业监管协议补充协议</w:t>
      </w:r>
      <w:bookmarkEnd w:id="0"/>
      <w:r>
        <w:rPr>
          <w:rFonts w:hint="eastAsia" w:ascii="楷体_GB2312" w:hAnsi="宋体" w:eastAsia="楷体_GB2312"/>
          <w:color w:val="auto"/>
          <w:sz w:val="30"/>
          <w:szCs w:val="30"/>
          <w:highlight w:val="none"/>
        </w:rPr>
        <w:t>。</w:t>
      </w:r>
    </w:p>
    <w:p>
      <w:pPr>
        <w:numPr>
          <w:ilvl w:val="0"/>
          <w:numId w:val="2"/>
        </w:num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乙方承诺：</w:t>
      </w:r>
    </w:p>
    <w:p>
      <w:p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1.</w:t>
      </w:r>
      <w:r>
        <w:rPr>
          <w:rFonts w:hint="eastAsia" w:ascii="楷体_GB2312" w:hAnsi="宋体" w:eastAsia="楷体_GB2312"/>
          <w:sz w:val="30"/>
          <w:szCs w:val="30"/>
          <w:highlight w:val="none"/>
        </w:rPr>
        <w:t>建设项</w:t>
      </w:r>
      <w:r>
        <w:rPr>
          <w:rFonts w:hint="eastAsia" w:ascii="楷体_GB2312" w:hAnsi="宋体" w:eastAsia="楷体_GB2312"/>
          <w:color w:val="auto"/>
          <w:sz w:val="30"/>
          <w:szCs w:val="30"/>
          <w:highlight w:val="none"/>
        </w:rPr>
        <w:t xml:space="preserve">目竣工验收合格并取得建设部门出具的《竣工验收备案收文回执》 </w:t>
      </w:r>
      <w:r>
        <w:rPr>
          <w:rFonts w:hint="eastAsia" w:ascii="楷体_GB2312" w:hAnsi="宋体" w:eastAsia="楷体_GB2312"/>
          <w:color w:val="auto"/>
          <w:sz w:val="30"/>
          <w:szCs w:val="30"/>
          <w:highlight w:val="none"/>
          <w:u w:val="single"/>
          <w:lang w:val="en-US" w:eastAsia="zh-CN"/>
        </w:rPr>
        <w:t>1</w:t>
      </w:r>
      <w:r>
        <w:rPr>
          <w:rFonts w:hint="eastAsia" w:ascii="楷体_GB2312" w:hAnsi="宋体" w:eastAsia="楷体_GB2312"/>
          <w:color w:val="auto"/>
          <w:sz w:val="30"/>
          <w:szCs w:val="30"/>
          <w:highlight w:val="none"/>
        </w:rPr>
        <w:t>年内，项目固定资产投资强度不低于</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5</w:t>
      </w:r>
      <w:r>
        <w:rPr>
          <w:rFonts w:hint="eastAsia" w:ascii="楷体_GB2312" w:hAnsi="宋体" w:eastAsia="楷体_GB2312"/>
          <w:color w:val="auto"/>
          <w:sz w:val="30"/>
          <w:szCs w:val="30"/>
          <w:highlight w:val="none"/>
          <w:u w:val="single"/>
        </w:rPr>
        <w:t xml:space="preserve">000 </w:t>
      </w:r>
      <w:r>
        <w:rPr>
          <w:rFonts w:hint="eastAsia" w:ascii="楷体_GB2312" w:hAnsi="宋体" w:eastAsia="楷体_GB2312"/>
          <w:color w:val="auto"/>
          <w:sz w:val="30"/>
          <w:szCs w:val="30"/>
          <w:highlight w:val="none"/>
        </w:rPr>
        <w:t>元/平</w:t>
      </w:r>
      <w:r>
        <w:rPr>
          <w:rFonts w:hint="eastAsia" w:ascii="楷体_GB2312" w:hAnsi="宋体" w:eastAsia="楷体_GB2312"/>
          <w:sz w:val="30"/>
          <w:szCs w:val="30"/>
          <w:highlight w:val="none"/>
        </w:rPr>
        <w:t>方米</w:t>
      </w:r>
      <w:r>
        <w:rPr>
          <w:rFonts w:hint="eastAsia" w:ascii="楷体_GB2312" w:hAnsi="宋体" w:eastAsia="楷体_GB2312"/>
          <w:sz w:val="30"/>
          <w:szCs w:val="30"/>
          <w:highlight w:val="none"/>
          <w:lang w:eastAsia="zh-CN"/>
        </w:rPr>
        <w:t>；</w:t>
      </w:r>
      <w:r>
        <w:rPr>
          <w:rFonts w:hint="eastAsia" w:ascii="楷体_GB2312" w:hAnsi="宋体" w:eastAsia="楷体_GB2312"/>
          <w:sz w:val="30"/>
          <w:szCs w:val="30"/>
          <w:highlight w:val="none"/>
          <w:lang w:val="en-US" w:eastAsia="zh-CN"/>
        </w:rPr>
        <w:t>项目分期建设的按同样标准执行</w:t>
      </w:r>
      <w:r>
        <w:rPr>
          <w:rFonts w:hint="eastAsia" w:ascii="楷体_GB2312" w:hAnsi="宋体" w:eastAsia="楷体_GB2312"/>
          <w:color w:val="auto"/>
          <w:sz w:val="30"/>
          <w:szCs w:val="30"/>
          <w:highlight w:val="none"/>
        </w:rPr>
        <w:t>。（</w:t>
      </w:r>
      <w:r>
        <w:rPr>
          <w:rFonts w:hint="eastAsia" w:ascii="楷体_GB2312" w:hAnsi="宋体" w:eastAsia="楷体_GB2312"/>
          <w:color w:val="auto"/>
          <w:sz w:val="30"/>
          <w:szCs w:val="30"/>
          <w:highlight w:val="none"/>
          <w:lang w:val="en-US" w:eastAsia="zh-CN"/>
        </w:rPr>
        <w:t>固定资产投资强度=固定资产投资额÷总建筑面积，其中，总建筑面积以本协议第二条地块基本情况中约定的数据为准，</w:t>
      </w:r>
      <w:r>
        <w:rPr>
          <w:rFonts w:hint="eastAsia" w:ascii="楷体_GB2312" w:hAnsi="宋体" w:eastAsia="楷体_GB2312"/>
          <w:color w:val="auto"/>
          <w:sz w:val="30"/>
          <w:szCs w:val="30"/>
          <w:highlight w:val="none"/>
        </w:rPr>
        <w:t>固定资产投资额，包括厂房、设备和地价款</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w:t>
      </w:r>
    </w:p>
    <w:p>
      <w:p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2.项目投产时间为在该宗地的建设项目竣工验收合格并取得建设部门出具的《竣工验收备案收文回执》后</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6个月</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内</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分期建设的，自首期建设项目竣工验收合格并取得建设部门出具的《竣工验收备案收文回执》</w:t>
      </w:r>
      <w:r>
        <w:rPr>
          <w:rFonts w:hint="eastAsia" w:ascii="楷体_GB2312" w:hAnsi="宋体" w:eastAsia="楷体_GB2312"/>
          <w:color w:val="auto"/>
          <w:sz w:val="30"/>
          <w:szCs w:val="30"/>
          <w:highlight w:val="none"/>
          <w:lang w:val="en-US" w:eastAsia="zh-CN"/>
        </w:rPr>
        <w:t>之日</w:t>
      </w:r>
      <w:r>
        <w:rPr>
          <w:rFonts w:hint="eastAsia" w:ascii="楷体_GB2312" w:hAnsi="宋体" w:eastAsia="楷体_GB2312"/>
          <w:color w:val="auto"/>
          <w:sz w:val="30"/>
          <w:szCs w:val="30"/>
          <w:highlight w:val="none"/>
        </w:rPr>
        <w:t>起</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6个月</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内</w:t>
      </w:r>
      <w:r>
        <w:rPr>
          <w:rFonts w:hint="eastAsia" w:ascii="楷体_GB2312" w:hAnsi="宋体" w:eastAsia="楷体_GB2312"/>
          <w:color w:val="auto"/>
          <w:sz w:val="30"/>
          <w:szCs w:val="30"/>
          <w:highlight w:val="none"/>
          <w:lang w:eastAsia="zh-CN"/>
        </w:rPr>
        <w:t>。</w:t>
      </w:r>
    </w:p>
    <w:p>
      <w:p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3.乙方纳入坪山区统计的年度产值规模（营业收入）首次达</w:t>
      </w:r>
      <w:r>
        <w:rPr>
          <w:rFonts w:hint="eastAsia" w:ascii="楷体_GB2312" w:hAnsi="宋体" w:eastAsia="楷体_GB2312"/>
          <w:color w:val="auto"/>
          <w:sz w:val="30"/>
          <w:szCs w:val="30"/>
          <w:highlight w:val="none"/>
          <w:lang w:val="en-US" w:eastAsia="zh-CN"/>
        </w:rPr>
        <w:t>到</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 xml:space="preserve">30亿 </w:t>
      </w:r>
      <w:r>
        <w:rPr>
          <w:rFonts w:hint="eastAsia" w:ascii="楷体_GB2312" w:hAnsi="宋体" w:eastAsia="楷体_GB2312"/>
          <w:color w:val="auto"/>
          <w:sz w:val="30"/>
          <w:szCs w:val="30"/>
          <w:highlight w:val="none"/>
        </w:rPr>
        <w:t>元时，视为项目达产</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项目达产时间</w:t>
      </w:r>
      <w:r>
        <w:rPr>
          <w:rFonts w:hint="eastAsia" w:ascii="楷体_GB2312" w:hAnsi="宋体" w:eastAsia="楷体_GB2312"/>
          <w:color w:val="auto"/>
          <w:sz w:val="30"/>
          <w:szCs w:val="30"/>
          <w:highlight w:val="none"/>
          <w:lang w:val="en-US" w:eastAsia="zh-CN"/>
        </w:rPr>
        <w:t>最迟应</w:t>
      </w:r>
      <w:r>
        <w:rPr>
          <w:rFonts w:hint="eastAsia" w:ascii="楷体_GB2312" w:hAnsi="宋体" w:eastAsia="楷体_GB2312"/>
          <w:color w:val="auto"/>
          <w:sz w:val="30"/>
          <w:szCs w:val="30"/>
          <w:highlight w:val="none"/>
        </w:rPr>
        <w:t>在该宗地的建设项目竣工验收合格并取得建设部门出具的《竣工验收备案收文回执》后的</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 xml:space="preserve">18个月 </w:t>
      </w:r>
      <w:r>
        <w:rPr>
          <w:rFonts w:hint="eastAsia" w:ascii="楷体_GB2312" w:hAnsi="宋体" w:eastAsia="楷体_GB2312"/>
          <w:color w:val="auto"/>
          <w:sz w:val="30"/>
          <w:szCs w:val="30"/>
          <w:highlight w:val="none"/>
        </w:rPr>
        <w:t>内。</w:t>
      </w:r>
    </w:p>
    <w:p>
      <w:p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4.产值能耗（单位工业总产值的能耗量）符合国家、省、市相关政策和法律法规要求</w:t>
      </w:r>
      <w:r>
        <w:rPr>
          <w:rFonts w:hint="eastAsia" w:ascii="楷体_GB2312" w:hAnsi="宋体" w:eastAsia="楷体_GB2312"/>
          <w:color w:val="auto"/>
          <w:sz w:val="30"/>
          <w:szCs w:val="30"/>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39" w:firstLineChars="213"/>
        <w:jc w:val="both"/>
        <w:textAlignment w:val="auto"/>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lang w:val="en-US" w:eastAsia="zh-CN"/>
        </w:rPr>
        <w:t>5</w:t>
      </w:r>
      <w:r>
        <w:rPr>
          <w:rFonts w:hint="eastAsia" w:ascii="楷体_GB2312" w:hAnsi="宋体" w:eastAsia="楷体_GB2312"/>
          <w:color w:val="auto"/>
          <w:sz w:val="30"/>
          <w:szCs w:val="30"/>
          <w:highlight w:val="none"/>
        </w:rPr>
        <w:t>.</w:t>
      </w:r>
      <w:r>
        <w:rPr>
          <w:rFonts w:hint="eastAsia" w:ascii="楷体_GB2312" w:hAnsi="宋体" w:eastAsia="楷体_GB2312"/>
          <w:sz w:val="30"/>
          <w:szCs w:val="30"/>
        </w:rPr>
        <w:t>承诺期内的产值规模（营业收入）</w:t>
      </w:r>
      <w:r>
        <w:rPr>
          <w:rFonts w:hint="eastAsia" w:ascii="楷体_GB2312" w:hAnsi="宋体" w:eastAsia="楷体_GB2312"/>
          <w:color w:val="auto"/>
          <w:sz w:val="30"/>
          <w:szCs w:val="30"/>
        </w:rPr>
        <w:t>和纳税贡献：</w:t>
      </w:r>
      <w:r>
        <w:rPr>
          <w:rFonts w:hint="eastAsia" w:ascii="楷体_GB2312" w:hAnsi="宋体" w:eastAsia="楷体_GB2312"/>
          <w:color w:val="auto"/>
          <w:sz w:val="30"/>
          <w:szCs w:val="30"/>
          <w:u w:val="single"/>
        </w:rPr>
        <w:t xml:space="preserve"> 202</w:t>
      </w:r>
      <w:r>
        <w:rPr>
          <w:rFonts w:hint="eastAsia" w:ascii="楷体_GB2312" w:hAnsi="宋体" w:eastAsia="楷体_GB2312"/>
          <w:color w:val="auto"/>
          <w:sz w:val="30"/>
          <w:szCs w:val="30"/>
          <w:u w:val="single"/>
          <w:lang w:val="en-US" w:eastAsia="zh-CN"/>
        </w:rPr>
        <w:t>1</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年至</w:t>
      </w:r>
      <w:r>
        <w:rPr>
          <w:rFonts w:hint="eastAsia" w:ascii="楷体_GB2312" w:hAnsi="宋体" w:eastAsia="楷体_GB2312"/>
          <w:color w:val="auto"/>
          <w:sz w:val="30"/>
          <w:szCs w:val="30"/>
          <w:u w:val="single"/>
        </w:rPr>
        <w:t xml:space="preserve"> 202</w:t>
      </w:r>
      <w:r>
        <w:rPr>
          <w:rFonts w:hint="eastAsia" w:ascii="楷体_GB2312" w:hAnsi="宋体" w:eastAsia="楷体_GB2312"/>
          <w:color w:val="auto"/>
          <w:sz w:val="30"/>
          <w:szCs w:val="30"/>
          <w:u w:val="single"/>
          <w:lang w:val="en-US" w:eastAsia="zh-CN"/>
        </w:rPr>
        <w:t>3</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年乙方纳入坪山区统计的产值规模（营业收入）累计不</w:t>
      </w:r>
      <w:r>
        <w:rPr>
          <w:rFonts w:hint="eastAsia" w:ascii="楷体_GB2312" w:hAnsi="宋体" w:eastAsia="楷体_GB2312"/>
          <w:color w:val="auto"/>
          <w:sz w:val="30"/>
          <w:szCs w:val="30"/>
          <w:highlight w:val="none"/>
        </w:rPr>
        <w:t>低于</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61</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亿元，纳税累计不低于</w:t>
      </w:r>
      <w:r>
        <w:rPr>
          <w:rFonts w:hint="eastAsia" w:ascii="楷体_GB2312" w:hAnsi="宋体" w:eastAsia="楷体_GB2312"/>
          <w:color w:val="auto"/>
          <w:sz w:val="30"/>
          <w:szCs w:val="30"/>
          <w:highlight w:val="none"/>
          <w:u w:val="single"/>
          <w:lang w:val="en-US" w:eastAsia="zh-CN"/>
        </w:rPr>
        <w:t>2.1</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亿</w:t>
      </w:r>
      <w:r>
        <w:rPr>
          <w:rFonts w:hint="eastAsia" w:ascii="楷体_GB2312" w:hAnsi="宋体" w:eastAsia="楷体_GB2312"/>
          <w:color w:val="auto"/>
          <w:sz w:val="30"/>
          <w:szCs w:val="30"/>
        </w:rPr>
        <w:t>元。其中</w:t>
      </w:r>
      <w:r>
        <w:rPr>
          <w:rFonts w:hint="eastAsia" w:ascii="楷体_GB2312" w:hAnsi="宋体" w:eastAsia="楷体_GB2312"/>
          <w:sz w:val="30"/>
          <w:szCs w:val="30"/>
        </w:rPr>
        <w:t>，</w:t>
      </w:r>
      <w:r>
        <w:rPr>
          <w:rFonts w:hint="eastAsia" w:ascii="楷体_GB2312" w:hAnsi="宋体" w:eastAsia="楷体_GB2312"/>
          <w:color w:val="auto"/>
          <w:sz w:val="30"/>
          <w:szCs w:val="30"/>
          <w:u w:val="single"/>
        </w:rPr>
        <w:t xml:space="preserve"> 202</w:t>
      </w:r>
      <w:r>
        <w:rPr>
          <w:rFonts w:hint="eastAsia" w:ascii="楷体_GB2312" w:hAnsi="宋体" w:eastAsia="楷体_GB2312"/>
          <w:color w:val="auto"/>
          <w:sz w:val="30"/>
          <w:szCs w:val="30"/>
          <w:u w:val="single"/>
          <w:lang w:val="en-US" w:eastAsia="zh-CN"/>
        </w:rPr>
        <w:t>1</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年乙方纳入坪山区统计的产值规模（营业收入）不低于</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u w:val="single"/>
          <w:lang w:val="en-US" w:eastAsia="zh-CN"/>
        </w:rPr>
        <w:t>18</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亿元，纳税不低于</w:t>
      </w:r>
      <w:r>
        <w:rPr>
          <w:rFonts w:hint="eastAsia" w:ascii="楷体_GB2312" w:hAnsi="宋体" w:eastAsia="楷体_GB2312"/>
          <w:color w:val="auto"/>
          <w:sz w:val="30"/>
          <w:szCs w:val="30"/>
          <w:u w:val="single"/>
        </w:rPr>
        <w:t xml:space="preserve"> 0.</w:t>
      </w:r>
      <w:r>
        <w:rPr>
          <w:rFonts w:hint="eastAsia" w:ascii="楷体_GB2312" w:hAnsi="宋体" w:eastAsia="楷体_GB2312"/>
          <w:color w:val="auto"/>
          <w:sz w:val="30"/>
          <w:szCs w:val="30"/>
          <w:u w:val="single"/>
          <w:lang w:val="en-US" w:eastAsia="zh-CN"/>
        </w:rPr>
        <w:t>6</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亿元；</w:t>
      </w:r>
      <w:r>
        <w:rPr>
          <w:rFonts w:hint="eastAsia" w:ascii="楷体_GB2312" w:hAnsi="宋体" w:eastAsia="楷体_GB2312"/>
          <w:color w:val="auto"/>
          <w:sz w:val="30"/>
          <w:szCs w:val="30"/>
          <w:u w:val="single"/>
        </w:rPr>
        <w:t xml:space="preserve"> 202</w:t>
      </w:r>
      <w:r>
        <w:rPr>
          <w:rFonts w:hint="eastAsia" w:ascii="楷体_GB2312" w:hAnsi="宋体" w:eastAsia="楷体_GB2312"/>
          <w:color w:val="auto"/>
          <w:sz w:val="30"/>
          <w:szCs w:val="30"/>
          <w:u w:val="single"/>
          <w:lang w:val="en-US" w:eastAsia="zh-CN"/>
        </w:rPr>
        <w:t>2</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年乙方纳入坪山区统计的产值（营业收入）不低于</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u w:val="single"/>
          <w:lang w:val="en-US" w:eastAsia="zh-CN"/>
        </w:rPr>
        <w:t>20</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亿元，纳税不低于</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u w:val="single"/>
          <w:lang w:val="en-US" w:eastAsia="zh-CN"/>
        </w:rPr>
        <w:t>0.7</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亿元；</w:t>
      </w:r>
      <w:r>
        <w:rPr>
          <w:rFonts w:hint="eastAsia" w:ascii="楷体_GB2312" w:hAnsi="宋体" w:eastAsia="楷体_GB2312"/>
          <w:color w:val="auto"/>
          <w:sz w:val="30"/>
          <w:szCs w:val="30"/>
          <w:u w:val="single"/>
        </w:rPr>
        <w:t xml:space="preserve"> 202</w:t>
      </w:r>
      <w:r>
        <w:rPr>
          <w:rFonts w:hint="eastAsia" w:ascii="楷体_GB2312" w:hAnsi="宋体" w:eastAsia="楷体_GB2312"/>
          <w:color w:val="auto"/>
          <w:sz w:val="30"/>
          <w:szCs w:val="30"/>
          <w:u w:val="single"/>
          <w:lang w:val="en-US" w:eastAsia="zh-CN"/>
        </w:rPr>
        <w:t>3</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年乙方纳入坪山区统计的产值（营业收入）不低于</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u w:val="single"/>
          <w:lang w:val="en-US" w:eastAsia="zh-CN"/>
        </w:rPr>
        <w:t>23</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亿元，纳税不低于</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u w:val="single"/>
          <w:lang w:val="en-US" w:eastAsia="zh-CN"/>
        </w:rPr>
        <w:t>0.8</w:t>
      </w:r>
      <w:r>
        <w:rPr>
          <w:rFonts w:hint="eastAsia" w:ascii="楷体_GB2312" w:hAnsi="宋体" w:eastAsia="楷体_GB2312"/>
          <w:color w:val="auto"/>
          <w:sz w:val="30"/>
          <w:szCs w:val="30"/>
          <w:highlight w:val="none"/>
          <w:u w:val="single"/>
        </w:rPr>
        <w:t xml:space="preserve"> </w:t>
      </w:r>
      <w:r>
        <w:rPr>
          <w:rFonts w:hint="eastAsia" w:ascii="楷体_GB2312" w:hAnsi="宋体" w:eastAsia="楷体_GB2312"/>
          <w:color w:val="auto"/>
          <w:sz w:val="30"/>
          <w:szCs w:val="30"/>
          <w:highlight w:val="none"/>
        </w:rPr>
        <w:t>亿元</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期间，乙方应于</w:t>
      </w:r>
      <w:r>
        <w:rPr>
          <w:rFonts w:hint="eastAsia" w:ascii="楷体_GB2312" w:hAnsi="宋体" w:eastAsia="楷体_GB2312"/>
          <w:color w:val="auto"/>
          <w:sz w:val="30"/>
          <w:szCs w:val="30"/>
          <w:highlight w:val="none"/>
          <w:lang w:val="en-US" w:eastAsia="zh-CN"/>
        </w:rPr>
        <w:t>每年1</w:t>
      </w:r>
      <w:r>
        <w:rPr>
          <w:rFonts w:hint="eastAsia" w:ascii="楷体_GB2312" w:hAnsi="宋体" w:eastAsia="楷体_GB2312"/>
          <w:color w:val="auto"/>
          <w:sz w:val="30"/>
          <w:szCs w:val="30"/>
          <w:highlight w:val="none"/>
        </w:rPr>
        <w:t>月主动告知甲方</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项目</w:t>
      </w:r>
      <w:r>
        <w:rPr>
          <w:rFonts w:hint="eastAsia" w:ascii="楷体_GB2312" w:hAnsi="宋体" w:eastAsia="楷体_GB2312"/>
          <w:color w:val="auto"/>
          <w:sz w:val="30"/>
          <w:szCs w:val="30"/>
          <w:highlight w:val="none"/>
          <w:lang w:val="en-US" w:eastAsia="zh-CN"/>
        </w:rPr>
        <w:t>上</w:t>
      </w:r>
      <w:r>
        <w:rPr>
          <w:rFonts w:hint="eastAsia" w:ascii="楷体_GB2312" w:hAnsi="宋体" w:eastAsia="楷体_GB2312"/>
          <w:color w:val="auto"/>
          <w:sz w:val="30"/>
          <w:szCs w:val="30"/>
          <w:highlight w:val="none"/>
        </w:rPr>
        <w:t>年</w:t>
      </w:r>
      <w:r>
        <w:rPr>
          <w:rFonts w:hint="eastAsia" w:ascii="楷体_GB2312" w:hAnsi="宋体" w:eastAsia="楷体_GB2312"/>
          <w:color w:val="auto"/>
          <w:sz w:val="30"/>
          <w:szCs w:val="30"/>
          <w:highlight w:val="none"/>
          <w:lang w:val="en-US" w:eastAsia="zh-CN"/>
        </w:rPr>
        <w:t>度</w:t>
      </w:r>
      <w:r>
        <w:rPr>
          <w:rFonts w:hint="eastAsia" w:ascii="楷体_GB2312" w:hAnsi="宋体" w:eastAsia="楷体_GB2312"/>
          <w:color w:val="auto"/>
          <w:sz w:val="30"/>
          <w:szCs w:val="30"/>
          <w:highlight w:val="none"/>
        </w:rPr>
        <w:t>在坪山区实现的产值规模（营业收入）和</w:t>
      </w:r>
      <w:r>
        <w:rPr>
          <w:rFonts w:hint="eastAsia" w:ascii="楷体_GB2312" w:hAnsi="宋体" w:eastAsia="楷体_GB2312"/>
          <w:color w:val="auto"/>
          <w:sz w:val="30"/>
          <w:szCs w:val="30"/>
          <w:highlight w:val="none"/>
          <w:lang w:val="en-US" w:eastAsia="zh-CN"/>
        </w:rPr>
        <w:t>纳税</w:t>
      </w:r>
      <w:r>
        <w:rPr>
          <w:rFonts w:hint="eastAsia" w:ascii="楷体_GB2312" w:hAnsi="宋体" w:eastAsia="楷体_GB2312"/>
          <w:color w:val="auto"/>
          <w:sz w:val="30"/>
          <w:szCs w:val="30"/>
          <w:highlight w:val="none"/>
        </w:rPr>
        <w:t>贡献。</w:t>
      </w:r>
      <w:r>
        <w:rPr>
          <w:rFonts w:hint="eastAsia" w:ascii="楷体_GB2312" w:hAnsi="宋体" w:eastAsia="楷体_GB2312"/>
          <w:color w:val="auto"/>
          <w:sz w:val="30"/>
          <w:szCs w:val="30"/>
          <w:highlight w:val="none"/>
          <w:lang w:val="en-US" w:eastAsia="zh-CN"/>
        </w:rPr>
        <w:t xml:space="preserve"> 2024年至 2028年，乙方</w:t>
      </w:r>
      <w:r>
        <w:rPr>
          <w:rFonts w:hint="eastAsia" w:ascii="楷体_GB2312" w:hAnsi="宋体" w:eastAsia="楷体_GB2312"/>
          <w:color w:val="auto"/>
          <w:sz w:val="30"/>
          <w:szCs w:val="30"/>
        </w:rPr>
        <w:t>纳入坪山区统计的产值规模（营业收入）累计不少于</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u w:val="single"/>
          <w:lang w:val="en-US" w:eastAsia="zh-CN"/>
        </w:rPr>
        <w:t>250</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 xml:space="preserve"> 亿元，纳税累计不少于</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u w:val="single"/>
          <w:lang w:val="en-US" w:eastAsia="zh-CN"/>
        </w:rPr>
        <w:t>8.9</w:t>
      </w:r>
      <w:r>
        <w:rPr>
          <w:rFonts w:hint="eastAsia" w:ascii="楷体_GB2312" w:hAnsi="宋体" w:eastAsia="楷体_GB2312"/>
          <w:color w:val="auto"/>
          <w:sz w:val="30"/>
          <w:szCs w:val="30"/>
          <w:u w:val="single"/>
        </w:rPr>
        <w:t xml:space="preserve"> </w:t>
      </w:r>
      <w:r>
        <w:rPr>
          <w:rFonts w:hint="eastAsia" w:ascii="楷体_GB2312" w:hAnsi="宋体" w:eastAsia="楷体_GB2312"/>
          <w:color w:val="auto"/>
          <w:sz w:val="30"/>
          <w:szCs w:val="30"/>
        </w:rPr>
        <w:t>亿元。</w:t>
      </w:r>
    </w:p>
    <w:p>
      <w:p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（三）</w:t>
      </w:r>
      <w:r>
        <w:rPr>
          <w:rFonts w:hint="eastAsia" w:ascii="楷体_GB2312" w:hAnsi="Arial" w:eastAsia="楷体_GB2312" w:cs="Arial"/>
          <w:color w:val="auto"/>
          <w:kern w:val="0"/>
          <w:sz w:val="30"/>
          <w:szCs w:val="30"/>
          <w:highlight w:val="none"/>
        </w:rPr>
        <w:t>乙方注册地址不在坪山区的，</w:t>
      </w:r>
      <w:r>
        <w:rPr>
          <w:rFonts w:hint="eastAsia" w:ascii="楷体_GB2312" w:hAnsi="宋体" w:eastAsia="楷体_GB2312"/>
          <w:color w:val="auto"/>
          <w:sz w:val="30"/>
          <w:szCs w:val="30"/>
          <w:highlight w:val="none"/>
        </w:rPr>
        <w:t>乙方在签订土地使用权出让合同后3个月内办理完成变更注册地址到坪山区的手续。</w:t>
      </w:r>
    </w:p>
    <w:p>
      <w:p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（四）乙方承诺土地出让年期内企业注册地址不变更到坪山区以外的地区。</w:t>
      </w:r>
    </w:p>
    <w:p>
      <w:pPr>
        <w:adjustRightInd w:val="0"/>
        <w:snapToGrid w:val="0"/>
        <w:spacing w:line="560" w:lineRule="exact"/>
        <w:ind w:firstLine="540" w:firstLineChars="180"/>
        <w:rPr>
          <w:rFonts w:hint="eastAsia" w:ascii="楷体_GB2312" w:hAnsi="宋体" w:eastAsia="楷体_GB2312"/>
          <w:color w:val="auto"/>
          <w:sz w:val="30"/>
          <w:szCs w:val="30"/>
          <w:highlight w:val="yellow"/>
        </w:rPr>
      </w:pPr>
      <w:r>
        <w:rPr>
          <w:rFonts w:hint="eastAsia" w:ascii="楷体_GB2312" w:hAnsi="宋体" w:eastAsia="楷体_GB2312"/>
          <w:color w:val="auto"/>
          <w:sz w:val="30"/>
          <w:szCs w:val="30"/>
          <w:highlight w:val="none"/>
        </w:rPr>
        <w:t>（五）乙方应出具其公司股东会决议作为本协议附件，</w:t>
      </w:r>
      <w:bookmarkStart w:id="1" w:name="_Hlk41638999"/>
      <w:r>
        <w:rPr>
          <w:rFonts w:hint="eastAsia" w:ascii="楷体_GB2312" w:hAnsi="宋体" w:eastAsia="楷体_GB2312"/>
          <w:color w:val="auto"/>
          <w:sz w:val="30"/>
          <w:szCs w:val="30"/>
          <w:highlight w:val="none"/>
        </w:rPr>
        <w:t>乙方及股东应</w:t>
      </w:r>
      <w:bookmarkEnd w:id="1"/>
      <w:r>
        <w:rPr>
          <w:rFonts w:hint="eastAsia" w:ascii="楷体_GB2312" w:hAnsi="宋体" w:eastAsia="楷体_GB2312"/>
          <w:color w:val="auto"/>
          <w:sz w:val="30"/>
          <w:szCs w:val="30"/>
          <w:highlight w:val="none"/>
        </w:rPr>
        <w:t>承诺在未取得坪山区政府及相关土地行政主管部门同意的情况下，乙方的主要股东出资比例、乙方股权结构</w:t>
      </w:r>
      <w:r>
        <w:rPr>
          <w:rFonts w:hint="eastAsia" w:ascii="楷体_GB2312" w:hAnsi="宋体" w:eastAsia="楷体_GB2312"/>
          <w:color w:val="auto"/>
          <w:sz w:val="30"/>
          <w:szCs w:val="30"/>
          <w:highlight w:val="none"/>
          <w:lang w:val="en-US" w:eastAsia="zh-CN"/>
        </w:rPr>
        <w:t>、</w:t>
      </w:r>
      <w:r>
        <w:rPr>
          <w:rFonts w:hint="eastAsia" w:ascii="楷体_GB2312" w:hAnsi="宋体" w:eastAsia="楷体_GB2312"/>
          <w:color w:val="auto"/>
          <w:sz w:val="30"/>
          <w:szCs w:val="30"/>
          <w:highlight w:val="none"/>
        </w:rPr>
        <w:t>公司实际控制人不擅自发生变动。</w:t>
      </w:r>
      <w:r>
        <w:rPr>
          <w:rFonts w:hint="eastAsia" w:ascii="楷体_GB2312" w:hAnsi="宋体" w:eastAsia="楷体_GB2312"/>
          <w:color w:val="auto"/>
          <w:sz w:val="30"/>
          <w:szCs w:val="30"/>
          <w:highlight w:val="none"/>
          <w:lang w:eastAsia="zh-CN"/>
        </w:rPr>
        <w:t>（</w:t>
      </w:r>
      <w:r>
        <w:rPr>
          <w:rFonts w:hint="eastAsia" w:ascii="楷体" w:hAnsi="楷体" w:eastAsia="楷体" w:cs="楷体"/>
          <w:color w:val="auto"/>
          <w:sz w:val="30"/>
          <w:szCs w:val="30"/>
          <w:highlight w:val="none"/>
        </w:rPr>
        <w:t>本协议所称的主要股东出资比例、股权结构</w:t>
      </w:r>
      <w:r>
        <w:rPr>
          <w:rFonts w:hint="eastAsia" w:ascii="楷体" w:hAnsi="楷体" w:eastAsia="楷体" w:cs="楷体"/>
          <w:color w:val="auto"/>
          <w:sz w:val="30"/>
          <w:szCs w:val="30"/>
          <w:highlight w:val="none"/>
          <w:lang w:eastAsia="zh-CN"/>
        </w:rPr>
        <w:t>、</w:t>
      </w:r>
      <w:r>
        <w:rPr>
          <w:rFonts w:hint="eastAsia" w:ascii="楷体_GB2312" w:hAnsi="宋体" w:eastAsia="楷体_GB2312"/>
          <w:color w:val="auto"/>
          <w:sz w:val="30"/>
          <w:szCs w:val="30"/>
          <w:highlight w:val="none"/>
        </w:rPr>
        <w:t>实际控制人</w:t>
      </w:r>
      <w:r>
        <w:rPr>
          <w:rFonts w:hint="eastAsia" w:ascii="楷体" w:hAnsi="楷体" w:eastAsia="楷体" w:cs="楷体"/>
          <w:color w:val="auto"/>
          <w:sz w:val="30"/>
          <w:szCs w:val="30"/>
          <w:highlight w:val="none"/>
        </w:rPr>
        <w:t>发生变动是指会导致企业控股权或实际控制权发生变更的股权转让。</w:t>
      </w:r>
      <w:r>
        <w:rPr>
          <w:rFonts w:hint="eastAsia" w:ascii="楷体_GB2312" w:hAnsi="宋体" w:eastAsia="楷体_GB2312"/>
          <w:color w:val="auto"/>
          <w:sz w:val="30"/>
          <w:szCs w:val="30"/>
          <w:highlight w:val="none"/>
          <w:lang w:eastAsia="zh-CN"/>
        </w:rPr>
        <w:t>）</w:t>
      </w:r>
    </w:p>
    <w:p>
      <w:p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（六）乙方承诺建设用地使用权及建筑物在</w:t>
      </w:r>
      <w:r>
        <w:rPr>
          <w:rFonts w:hint="eastAsia" w:ascii="楷体_GB2312" w:hAnsi="宋体" w:eastAsia="楷体_GB2312"/>
          <w:color w:val="auto"/>
          <w:sz w:val="30"/>
          <w:szCs w:val="30"/>
          <w:highlight w:val="none"/>
          <w:lang w:val="en-US" w:eastAsia="zh-CN"/>
        </w:rPr>
        <w:t>土地</w:t>
      </w:r>
      <w:r>
        <w:rPr>
          <w:rFonts w:hint="eastAsia" w:ascii="楷体_GB2312" w:hAnsi="宋体" w:eastAsia="楷体_GB2312"/>
          <w:color w:val="auto"/>
          <w:sz w:val="30"/>
          <w:szCs w:val="30"/>
          <w:highlight w:val="none"/>
        </w:rPr>
        <w:t>出让年期内未经深圳市或坪山区政府同意不得转让。</w:t>
      </w:r>
    </w:p>
    <w:p>
      <w:pPr>
        <w:adjustRightInd w:val="0"/>
        <w:snapToGrid w:val="0"/>
        <w:spacing w:line="560" w:lineRule="exact"/>
        <w:ind w:firstLine="540" w:firstLineChars="180"/>
        <w:rPr>
          <w:rFonts w:hint="eastAsia" w:ascii="楷体_GB2312" w:hAnsi="宋体" w:eastAsia="楷体_GB2312"/>
          <w:color w:val="auto"/>
          <w:sz w:val="30"/>
          <w:szCs w:val="30"/>
          <w:highlight w:val="none"/>
          <w:lang w:eastAsia="zh-CN"/>
        </w:rPr>
      </w:pP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lang w:val="en-US" w:eastAsia="zh-CN"/>
        </w:rPr>
        <w:t>七</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乙方承诺在未经产业用地项目资格审查主管部门批准的情况下，上述产业用地及建成物业在出让年期内不擅自出租</w:t>
      </w:r>
      <w:r>
        <w:rPr>
          <w:rFonts w:hint="eastAsia" w:ascii="楷体_GB2312" w:hAnsi="宋体" w:eastAsia="楷体_GB2312"/>
          <w:color w:val="auto"/>
          <w:sz w:val="30"/>
          <w:szCs w:val="30"/>
          <w:highlight w:val="none"/>
          <w:lang w:eastAsia="zh-CN"/>
        </w:rPr>
        <w:t>。</w:t>
      </w:r>
    </w:p>
    <w:p>
      <w:p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lang w:val="en-US" w:eastAsia="zh-CN"/>
        </w:rPr>
        <w:t>八</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乙方承诺</w:t>
      </w:r>
      <w:r>
        <w:rPr>
          <w:rFonts w:hint="eastAsia" w:ascii="楷体_GB2312" w:hAnsi="宋体" w:eastAsia="楷体_GB2312"/>
          <w:color w:val="auto"/>
          <w:sz w:val="30"/>
          <w:szCs w:val="30"/>
          <w:highlight w:val="none"/>
          <w:lang w:val="en-US" w:eastAsia="zh-CN"/>
        </w:rPr>
        <w:t>项目</w:t>
      </w:r>
      <w:r>
        <w:rPr>
          <w:rFonts w:hint="eastAsia" w:ascii="楷体_GB2312" w:hAnsi="宋体" w:eastAsia="楷体_GB2312"/>
          <w:color w:val="auto"/>
          <w:sz w:val="30"/>
          <w:szCs w:val="30"/>
          <w:highlight w:val="none"/>
        </w:rPr>
        <w:t>产值能耗（单位工业总产值的能耗量）符合国家、省、市相关政策和法律法规要求。</w:t>
      </w:r>
    </w:p>
    <w:p>
      <w:pPr>
        <w:keepNext w:val="0"/>
        <w:keepLines w:val="0"/>
        <w:pageBreakBefore w:val="0"/>
        <w:kinsoku/>
        <w:wordWrap/>
        <w:overflowPunct/>
        <w:topLinePunct w:val="0"/>
        <w:autoSpaceDE/>
        <w:autoSpaceDN/>
        <w:bidi w:val="0"/>
        <w:adjustRightInd/>
        <w:snapToGrid w:val="0"/>
        <w:spacing w:line="560" w:lineRule="exact"/>
        <w:ind w:right="-512" w:rightChars="-244" w:firstLine="540" w:firstLineChars="180"/>
        <w:textAlignment w:val="auto"/>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w:t>
      </w:r>
      <w:r>
        <w:rPr>
          <w:rFonts w:hint="eastAsia" w:ascii="楷体_GB2312" w:hAnsi="宋体" w:eastAsia="楷体_GB2312"/>
          <w:color w:val="auto"/>
          <w:sz w:val="30"/>
          <w:szCs w:val="30"/>
          <w:highlight w:val="none"/>
          <w:lang w:val="en-US" w:eastAsia="zh-CN"/>
        </w:rPr>
        <w:t>九</w:t>
      </w:r>
      <w:r>
        <w:rPr>
          <w:rFonts w:hint="eastAsia" w:ascii="楷体_GB2312" w:hAnsi="宋体" w:eastAsia="楷体_GB2312"/>
          <w:color w:val="auto"/>
          <w:sz w:val="30"/>
          <w:szCs w:val="30"/>
          <w:highlight w:val="none"/>
        </w:rPr>
        <w:t>）</w:t>
      </w:r>
      <w:r>
        <w:rPr>
          <w:rFonts w:hint="eastAsia" w:ascii="楷体_GB2312" w:hAnsi="宋体" w:eastAsia="楷体_GB2312"/>
          <w:sz w:val="30"/>
          <w:szCs w:val="30"/>
          <w:highlight w:val="none"/>
        </w:rPr>
        <w:t>乙方承诺按照与国土部门签订的本宗地《深圳市土地使用权出让合同书》中约定条款对本宗地进行开发建设。</w:t>
      </w:r>
    </w:p>
    <w:p>
      <w:p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w:t>
      </w:r>
      <w:r>
        <w:rPr>
          <w:rFonts w:hint="eastAsia" w:ascii="楷体_GB2312" w:hAnsi="宋体" w:eastAsia="楷体_GB2312"/>
          <w:color w:val="auto"/>
          <w:sz w:val="30"/>
          <w:szCs w:val="30"/>
          <w:highlight w:val="none"/>
          <w:lang w:val="en-US" w:eastAsia="zh-CN"/>
        </w:rPr>
        <w:t>十</w:t>
      </w:r>
      <w:r>
        <w:rPr>
          <w:rFonts w:hint="eastAsia" w:ascii="楷体_GB2312" w:hAnsi="宋体" w:eastAsia="楷体_GB2312"/>
          <w:color w:val="auto"/>
          <w:sz w:val="30"/>
          <w:szCs w:val="30"/>
          <w:highlight w:val="none"/>
        </w:rPr>
        <w:t>）本宗地建设项目实行“全方位、全年限”监管机制，乙方应完全履行本协议中的义务，甲方可对乙方的履约情况进行定期或不定期核查，履约核查未通过的，乙方应根据本协议以及甲方的要求限期进行整改，并向甲方提交书面整改报告。</w:t>
      </w:r>
    </w:p>
    <w:p>
      <w:pPr>
        <w:adjustRightInd w:val="0"/>
        <w:snapToGrid w:val="0"/>
        <w:spacing w:line="560" w:lineRule="exact"/>
        <w:ind w:firstLine="540" w:firstLineChars="18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（备注：非特别注明的情况下，本协议</w:t>
      </w:r>
      <w:r>
        <w:rPr>
          <w:rFonts w:ascii="楷体_GB2312" w:hAnsi="宋体" w:eastAsia="楷体_GB2312"/>
          <w:color w:val="auto"/>
          <w:sz w:val="30"/>
          <w:szCs w:val="30"/>
          <w:highlight w:val="none"/>
        </w:rPr>
        <w:t>条款货币</w:t>
      </w:r>
      <w:r>
        <w:rPr>
          <w:rFonts w:hint="eastAsia" w:ascii="楷体_GB2312" w:hAnsi="宋体" w:eastAsia="楷体_GB2312"/>
          <w:color w:val="auto"/>
          <w:sz w:val="30"/>
          <w:szCs w:val="30"/>
          <w:highlight w:val="none"/>
        </w:rPr>
        <w:t>种类</w:t>
      </w:r>
      <w:r>
        <w:rPr>
          <w:rFonts w:ascii="楷体_GB2312" w:hAnsi="宋体" w:eastAsia="楷体_GB2312"/>
          <w:color w:val="auto"/>
          <w:sz w:val="30"/>
          <w:szCs w:val="30"/>
          <w:highlight w:val="none"/>
        </w:rPr>
        <w:t>均为人民币</w:t>
      </w:r>
      <w:r>
        <w:rPr>
          <w:rFonts w:hint="eastAsia" w:ascii="楷体_GB2312" w:hAnsi="宋体" w:eastAsia="楷体_GB2312"/>
          <w:color w:val="auto"/>
          <w:sz w:val="30"/>
          <w:szCs w:val="30"/>
          <w:highlight w:val="none"/>
        </w:rPr>
        <w:t>）</w:t>
      </w:r>
    </w:p>
    <w:p>
      <w:pPr>
        <w:adjustRightInd w:val="0"/>
        <w:snapToGrid w:val="0"/>
        <w:spacing w:line="560" w:lineRule="exact"/>
        <w:ind w:firstLine="582" w:firstLineChars="194"/>
        <w:rPr>
          <w:rFonts w:hint="eastAsia" w:ascii="楷体_GB2312" w:hAnsi="宋体" w:eastAsia="楷体_GB2312"/>
          <w:color w:val="auto"/>
          <w:sz w:val="30"/>
          <w:szCs w:val="30"/>
          <w:highlight w:val="none"/>
        </w:rPr>
      </w:pPr>
    </w:p>
    <w:p>
      <w:pPr>
        <w:adjustRightInd w:val="0"/>
        <w:snapToGrid w:val="0"/>
        <w:spacing w:line="560" w:lineRule="exact"/>
        <w:ind w:firstLine="570"/>
        <w:rPr>
          <w:rFonts w:ascii="楷体_GB2312" w:hAnsi="宋体" w:eastAsia="楷体_GB2312"/>
          <w:b/>
          <w:bCs/>
          <w:color w:val="auto"/>
          <w:sz w:val="30"/>
          <w:szCs w:val="30"/>
          <w:highlight w:val="none"/>
        </w:rPr>
      </w:pPr>
      <w:r>
        <w:rPr>
          <w:rFonts w:hint="eastAsia" w:ascii="楷体_GB2312" w:hAnsi="宋体" w:eastAsia="楷体_GB2312"/>
          <w:b/>
          <w:bCs/>
          <w:color w:val="auto"/>
          <w:sz w:val="30"/>
          <w:szCs w:val="30"/>
          <w:highlight w:val="none"/>
        </w:rPr>
        <w:t>五、履约核查</w:t>
      </w:r>
    </w:p>
    <w:p>
      <w:pPr>
        <w:adjustRightInd w:val="0"/>
        <w:snapToGrid w:val="0"/>
        <w:spacing w:line="560" w:lineRule="exact"/>
        <w:ind w:firstLine="600" w:firstLineChars="200"/>
        <w:rPr>
          <w:rFonts w:ascii="楷体_GB2312" w:hAnsi="宋体" w:eastAsia="楷体_GB2312"/>
          <w:bCs/>
          <w:color w:val="auto"/>
          <w:sz w:val="30"/>
          <w:szCs w:val="30"/>
          <w:highlight w:val="none"/>
        </w:rPr>
      </w:pPr>
      <w:r>
        <w:rPr>
          <w:rFonts w:hint="eastAsia" w:ascii="楷体_GB2312" w:hAnsi="宋体" w:eastAsia="楷体_GB2312"/>
          <w:color w:val="auto"/>
          <w:sz w:val="30"/>
          <w:szCs w:val="30"/>
          <w:highlight w:val="none"/>
        </w:rPr>
        <w:t>项目建成使用</w:t>
      </w:r>
      <w:bookmarkStart w:id="2" w:name="_Hlk41639096"/>
      <w:r>
        <w:rPr>
          <w:rFonts w:hint="eastAsia" w:ascii="楷体_GB2312" w:hAnsi="宋体" w:eastAsia="楷体_GB2312"/>
          <w:color w:val="auto"/>
          <w:sz w:val="30"/>
          <w:szCs w:val="30"/>
          <w:highlight w:val="none"/>
        </w:rPr>
        <w:t>（竣工验收合格并取得建设部门出具的《竣工验收备案收文回执》）</w:t>
      </w:r>
      <w:bookmarkEnd w:id="2"/>
      <w:r>
        <w:rPr>
          <w:rFonts w:hint="eastAsia" w:ascii="楷体_GB2312" w:hAnsi="宋体" w:eastAsia="楷体_GB2312"/>
          <w:color w:val="auto"/>
          <w:sz w:val="30"/>
          <w:szCs w:val="30"/>
          <w:highlight w:val="none"/>
        </w:rPr>
        <w:t>后</w:t>
      </w:r>
      <w:r>
        <w:rPr>
          <w:rFonts w:hint="eastAsia" w:ascii="楷体_GB2312" w:hAnsi="宋体" w:eastAsia="楷体_GB2312"/>
          <w:bCs/>
          <w:color w:val="auto"/>
          <w:sz w:val="30"/>
          <w:szCs w:val="30"/>
          <w:highlight w:val="none"/>
        </w:rPr>
        <w:t>1年内、建成使用后每隔5年、出让年期届满前1年等阶段后90日内，乙方应向甲方提出履约核查申请。甲方可自行或委托专业机构对本协议约定事项的履行情况进行核查。</w:t>
      </w:r>
    </w:p>
    <w:p>
      <w:pPr>
        <w:adjustRightInd w:val="0"/>
        <w:snapToGrid w:val="0"/>
        <w:spacing w:line="560" w:lineRule="exact"/>
        <w:ind w:firstLine="570"/>
        <w:rPr>
          <w:rFonts w:hint="eastAsia" w:ascii="楷体_GB2312" w:hAnsi="宋体" w:eastAsia="楷体_GB2312"/>
          <w:bCs/>
          <w:color w:val="auto"/>
          <w:sz w:val="30"/>
          <w:szCs w:val="30"/>
          <w:highlight w:val="none"/>
        </w:rPr>
      </w:pPr>
      <w:r>
        <w:rPr>
          <w:rFonts w:hint="eastAsia" w:ascii="楷体_GB2312" w:hAnsi="宋体" w:eastAsia="楷体_GB2312"/>
          <w:bCs/>
          <w:color w:val="auto"/>
          <w:sz w:val="30"/>
          <w:szCs w:val="30"/>
          <w:highlight w:val="none"/>
        </w:rPr>
        <w:t>单项审验不合格的，甲方有权要求乙方进行整改，并有权再次进行专项审验。</w:t>
      </w:r>
    </w:p>
    <w:p>
      <w:pPr>
        <w:adjustRightInd w:val="0"/>
        <w:snapToGrid w:val="0"/>
        <w:spacing w:line="560" w:lineRule="exact"/>
        <w:ind w:firstLine="600" w:firstLineChars="200"/>
        <w:rPr>
          <w:rFonts w:ascii="楷体" w:hAnsi="楷体" w:eastAsia="楷体" w:cs="楷体"/>
          <w:bCs/>
          <w:color w:val="auto"/>
          <w:sz w:val="30"/>
          <w:szCs w:val="30"/>
          <w:highlight w:val="none"/>
        </w:rPr>
      </w:pPr>
      <w:r>
        <w:rPr>
          <w:rFonts w:hint="eastAsia" w:ascii="楷体" w:hAnsi="楷体" w:eastAsia="楷体" w:cs="楷体"/>
          <w:bCs/>
          <w:color w:val="auto"/>
          <w:sz w:val="30"/>
          <w:szCs w:val="30"/>
          <w:highlight w:val="none"/>
        </w:rPr>
        <w:t>本协议履行期间，甲方可根据乙方履约情况调整履约核查的时间和频率，确保乙方在本协议项下的各项义务得到全面履行。</w:t>
      </w:r>
    </w:p>
    <w:p>
      <w:pPr>
        <w:adjustRightInd w:val="0"/>
        <w:snapToGrid w:val="0"/>
        <w:spacing w:line="560" w:lineRule="exact"/>
        <w:ind w:firstLine="570"/>
        <w:rPr>
          <w:rFonts w:ascii="楷体_GB2312" w:hAnsi="宋体" w:eastAsia="楷体_GB2312"/>
          <w:b/>
          <w:bCs/>
          <w:color w:val="auto"/>
          <w:sz w:val="30"/>
          <w:szCs w:val="30"/>
          <w:highlight w:val="none"/>
        </w:rPr>
      </w:pPr>
    </w:p>
    <w:p>
      <w:pPr>
        <w:numPr>
          <w:ilvl w:val="0"/>
          <w:numId w:val="3"/>
        </w:numPr>
        <w:adjustRightInd w:val="0"/>
        <w:snapToGrid w:val="0"/>
        <w:spacing w:line="560" w:lineRule="exact"/>
        <w:ind w:firstLine="570"/>
        <w:rPr>
          <w:rFonts w:hint="eastAsia" w:ascii="楷体_GB2312" w:hAnsi="宋体" w:eastAsia="楷体_GB2312"/>
          <w:b/>
          <w:bCs/>
          <w:color w:val="auto"/>
          <w:sz w:val="30"/>
          <w:szCs w:val="30"/>
          <w:highlight w:val="none"/>
        </w:rPr>
      </w:pPr>
      <w:r>
        <w:rPr>
          <w:rFonts w:hint="eastAsia" w:ascii="楷体_GB2312" w:hAnsi="宋体" w:eastAsia="楷体_GB2312"/>
          <w:b/>
          <w:bCs/>
          <w:color w:val="auto"/>
          <w:sz w:val="30"/>
          <w:szCs w:val="30"/>
          <w:highlight w:val="none"/>
        </w:rPr>
        <w:t>退出机制</w:t>
      </w:r>
    </w:p>
    <w:p>
      <w:pPr>
        <w:numPr>
          <w:ilvl w:val="0"/>
          <w:numId w:val="4"/>
        </w:numPr>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乙方因自身原因终止项目投资建设，提出终止履行土地使用权出让合同并申请退还土地的，乙方报经批准土地出让方案的人民政府批准后，分别按以下约定，退还部分土地使用权出让价款（不计利息），由土地出让人收回建设用地，地上建筑物及构筑物的补偿方式在土地使用权出让合同中予以明确：</w:t>
      </w:r>
    </w:p>
    <w:p>
      <w:pPr>
        <w:numPr>
          <w:ilvl w:val="0"/>
          <w:numId w:val="0"/>
        </w:num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lang w:val="en-US" w:eastAsia="zh-CN"/>
        </w:rPr>
        <w:t>1.</w:t>
      </w:r>
      <w:r>
        <w:rPr>
          <w:rFonts w:hint="eastAsia" w:ascii="楷体_GB2312" w:hAnsi="宋体" w:eastAsia="楷体_GB2312"/>
          <w:color w:val="auto"/>
          <w:sz w:val="30"/>
          <w:szCs w:val="30"/>
          <w:highlight w:val="none"/>
        </w:rPr>
        <w:t>超过土地使用权出让合同约定的开工建设日期但未满1年向土地出让人提出申请的，将已缴纳合同剩余年期的土地价款退还土地使用权人；</w:t>
      </w:r>
    </w:p>
    <w:p>
      <w:pPr>
        <w:numPr>
          <w:ilvl w:val="0"/>
          <w:numId w:val="0"/>
        </w:num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2.超过土地使用权出让合同约定的开工建设日期1年但未满2年向土地出让人提出申请的，按照规定征收土地闲置费用后，将已缴纳合同剩余年期的土地价款退还土地使用权人；</w:t>
      </w:r>
    </w:p>
    <w:p>
      <w:pPr>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报经批准土地</w:t>
      </w:r>
      <w:r>
        <w:rPr>
          <w:rFonts w:hint="eastAsia" w:ascii="楷体_GB2312" w:hAnsi="宋体" w:eastAsia="楷体_GB2312"/>
          <w:color w:val="auto"/>
          <w:sz w:val="30"/>
          <w:szCs w:val="30"/>
          <w:highlight w:val="none"/>
          <w:lang w:val="en-US" w:eastAsia="zh-CN"/>
        </w:rPr>
        <w:t>出让</w:t>
      </w:r>
      <w:r>
        <w:rPr>
          <w:rFonts w:hint="eastAsia" w:ascii="楷体_GB2312" w:hAnsi="宋体" w:eastAsia="楷体_GB2312"/>
          <w:color w:val="auto"/>
          <w:sz w:val="30"/>
          <w:szCs w:val="30"/>
          <w:highlight w:val="none"/>
        </w:rPr>
        <w:t>方案</w:t>
      </w:r>
      <w:r>
        <w:rPr>
          <w:rFonts w:hint="eastAsia" w:ascii="楷体_GB2312" w:hAnsi="宋体" w:eastAsia="楷体_GB2312"/>
          <w:color w:val="auto"/>
          <w:sz w:val="30"/>
          <w:szCs w:val="30"/>
          <w:highlight w:val="none"/>
          <w:lang w:val="en-US" w:eastAsia="zh-CN"/>
        </w:rPr>
        <w:t>的</w:t>
      </w:r>
      <w:r>
        <w:rPr>
          <w:rFonts w:hint="eastAsia" w:ascii="楷体_GB2312" w:hAnsi="宋体" w:eastAsia="楷体_GB2312"/>
          <w:color w:val="auto"/>
          <w:sz w:val="30"/>
          <w:szCs w:val="30"/>
          <w:highlight w:val="none"/>
        </w:rPr>
        <w:t>人民政府</w:t>
      </w:r>
      <w:r>
        <w:rPr>
          <w:rFonts w:hint="eastAsia" w:ascii="楷体_GB2312" w:hAnsi="宋体" w:eastAsia="楷体_GB2312"/>
          <w:color w:val="auto"/>
          <w:sz w:val="30"/>
          <w:szCs w:val="30"/>
          <w:highlight w:val="none"/>
          <w:lang w:val="en-US" w:eastAsia="zh-CN"/>
        </w:rPr>
        <w:t>后未获</w:t>
      </w:r>
      <w:r>
        <w:rPr>
          <w:rFonts w:hint="eastAsia" w:ascii="楷体_GB2312" w:hAnsi="宋体" w:eastAsia="楷体_GB2312"/>
          <w:color w:val="auto"/>
          <w:sz w:val="30"/>
          <w:szCs w:val="30"/>
          <w:highlight w:val="none"/>
        </w:rPr>
        <w:t>批准的，乙方应继续履行土地使用权出让合同；拒不履行的，建设用地和地上建筑物、构筑物及其附属设施由土地出让人无偿收回；涉嫌闲置的，应当依法依规依约处置。</w:t>
      </w:r>
    </w:p>
    <w:p>
      <w:pPr>
        <w:numPr>
          <w:ilvl w:val="0"/>
          <w:numId w:val="0"/>
        </w:numPr>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lang w:val="en-US" w:eastAsia="zh-CN"/>
        </w:rPr>
        <w:t>二</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highlight w:val="none"/>
        </w:rPr>
        <w:t>在本协议约定的达产之后，乙方因自身原因无法运营，可以申请解除土地使用权出让合同。土地出让人可以按照约定终止土地使用权出让合同，收回建设用地，返还剩余年期土地出让价款；对地上建筑物、构筑物及其附属设施由土地出让人按照建造成本折旧后对土地使用权人进行补偿。</w:t>
      </w:r>
    </w:p>
    <w:p>
      <w:pPr>
        <w:adjustRightInd w:val="0"/>
        <w:snapToGrid w:val="0"/>
        <w:spacing w:line="560" w:lineRule="exact"/>
        <w:ind w:firstLine="600" w:firstLineChars="200"/>
        <w:rPr>
          <w:rFonts w:hint="eastAsia" w:ascii="楷体_GB2312" w:hAnsi="宋体" w:eastAsia="楷体_GB2312"/>
          <w:color w:val="auto"/>
          <w:sz w:val="30"/>
          <w:szCs w:val="30"/>
          <w:highlight w:val="none"/>
        </w:rPr>
      </w:pPr>
    </w:p>
    <w:p>
      <w:pPr>
        <w:adjustRightInd w:val="0"/>
        <w:snapToGrid w:val="0"/>
        <w:spacing w:line="560" w:lineRule="exact"/>
        <w:ind w:firstLine="570"/>
        <w:rPr>
          <w:rFonts w:hint="eastAsia" w:ascii="楷体_GB2312" w:hAnsi="宋体" w:eastAsia="楷体_GB2312"/>
          <w:b/>
          <w:bCs/>
          <w:color w:val="auto"/>
          <w:sz w:val="30"/>
          <w:szCs w:val="30"/>
          <w:highlight w:val="none"/>
        </w:rPr>
      </w:pPr>
      <w:r>
        <w:rPr>
          <w:rFonts w:hint="eastAsia" w:ascii="楷体_GB2312" w:hAnsi="宋体" w:eastAsia="楷体_GB2312"/>
          <w:b/>
          <w:bCs/>
          <w:color w:val="auto"/>
          <w:sz w:val="30"/>
          <w:szCs w:val="30"/>
          <w:highlight w:val="none"/>
        </w:rPr>
        <w:t>七、法律责任</w:t>
      </w:r>
    </w:p>
    <w:p>
      <w:pPr>
        <w:adjustRightInd w:val="0"/>
        <w:snapToGrid w:val="0"/>
        <w:spacing w:line="560" w:lineRule="exact"/>
        <w:ind w:firstLine="57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（一）乙方违反本协议第四条“乙方权利义务”约定要求的，甲方有权采取或建议市监、税务等相关部门采取暂停办理企业相关业务手续、停止对乙方提供有关优惠政策等措施。</w:t>
      </w:r>
    </w:p>
    <w:p>
      <w:pPr>
        <w:adjustRightInd w:val="0"/>
        <w:snapToGrid w:val="0"/>
        <w:spacing w:line="560" w:lineRule="exact"/>
        <w:ind w:firstLine="57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二）经甲方核查，乙方履约考核未通过的，甲方可建议市监、税务等相关部门将乙方、关联企业及法定代表人列入失信“黑名单”，并报送至市公共信用信息管理系统，由各部门依照职责分工，依法依规实施联合惩戒。在联合惩戒期限内，重点在政府采购、建设工程招投标、政府资金扶持、城市更新、土地竞拍等方面对失信主体予以限制。</w:t>
      </w:r>
    </w:p>
    <w:p>
      <w:pPr>
        <w:adjustRightInd w:val="0"/>
        <w:snapToGrid w:val="0"/>
        <w:spacing w:line="560" w:lineRule="exact"/>
        <w:ind w:firstLine="570"/>
        <w:rPr>
          <w:rFonts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（三）乙方违反本协议约定，应承担违约金的情形：</w:t>
      </w:r>
    </w:p>
    <w:p>
      <w:pPr>
        <w:adjustRightInd w:val="0"/>
        <w:snapToGrid w:val="0"/>
        <w:spacing w:line="560" w:lineRule="exact"/>
        <w:ind w:left="0" w:leftChars="0" w:firstLine="640" w:firstLineChars="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1.经甲方核查，在该宗地上建设项目的固定资产投资强度达不到本协议约定要求的，自甲方出具核查不合格通知书之日起20日内，乙方应向甲方缴纳固定资产投资强度不足部分的5% 即{（约定固定资产投资强度-实际固定资产投资强度）×</w:t>
      </w:r>
      <w:r>
        <w:rPr>
          <w:rFonts w:hint="eastAsia" w:ascii="楷体_GB2312" w:hAnsi="宋体" w:eastAsia="楷体_GB2312"/>
          <w:bCs/>
          <w:color w:val="auto"/>
          <w:sz w:val="30"/>
          <w:szCs w:val="30"/>
          <w:highlight w:val="none"/>
        </w:rPr>
        <w:t>总用地面积×</w:t>
      </w:r>
      <w:r>
        <w:rPr>
          <w:rFonts w:hint="eastAsia" w:ascii="楷体_GB2312" w:hAnsi="宋体" w:eastAsia="楷体_GB2312"/>
          <w:color w:val="auto"/>
          <w:sz w:val="30"/>
          <w:szCs w:val="30"/>
          <w:highlight w:val="none"/>
        </w:rPr>
        <w:t>5%}作为违约金。</w:t>
      </w:r>
    </w:p>
    <w:p>
      <w:pPr>
        <w:numPr>
          <w:ilvl w:val="0"/>
          <w:numId w:val="0"/>
        </w:numPr>
        <w:tabs>
          <w:tab w:val="left" w:pos="900"/>
        </w:tabs>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bCs/>
          <w:color w:val="auto"/>
          <w:sz w:val="30"/>
          <w:szCs w:val="30"/>
          <w:highlight w:val="none"/>
          <w:lang w:val="en-US" w:eastAsia="zh-CN"/>
        </w:rPr>
        <w:t>2.</w:t>
      </w:r>
      <w:r>
        <w:rPr>
          <w:rFonts w:hint="eastAsia" w:ascii="楷体_GB2312" w:hAnsi="宋体" w:eastAsia="楷体_GB2312"/>
          <w:bCs/>
          <w:color w:val="auto"/>
          <w:sz w:val="30"/>
          <w:szCs w:val="30"/>
          <w:highlight w:val="none"/>
        </w:rPr>
        <w:t>乙方不按时向甲方提出核查申请</w:t>
      </w:r>
      <w:r>
        <w:rPr>
          <w:rFonts w:hint="eastAsia" w:ascii="楷体_GB2312" w:hAnsi="宋体" w:eastAsia="楷体_GB2312"/>
          <w:bCs/>
          <w:color w:val="auto"/>
          <w:sz w:val="30"/>
          <w:szCs w:val="30"/>
          <w:highlight w:val="none"/>
          <w:lang w:val="en-US" w:eastAsia="zh-CN"/>
        </w:rPr>
        <w:t>的</w:t>
      </w:r>
      <w:r>
        <w:rPr>
          <w:rFonts w:hint="eastAsia" w:ascii="楷体_GB2312" w:hAnsi="宋体" w:eastAsia="楷体_GB2312"/>
          <w:bCs/>
          <w:color w:val="auto"/>
          <w:sz w:val="30"/>
          <w:szCs w:val="30"/>
          <w:highlight w:val="none"/>
        </w:rPr>
        <w:t>，</w:t>
      </w:r>
      <w:r>
        <w:rPr>
          <w:rFonts w:hint="eastAsia" w:ascii="楷体_GB2312" w:hAnsi="宋体" w:eastAsia="楷体_GB2312"/>
          <w:color w:val="auto"/>
          <w:sz w:val="30"/>
          <w:szCs w:val="30"/>
          <w:highlight w:val="none"/>
        </w:rPr>
        <w:t>自甲方发出缴款通知书之日起20日内，乙方应向甲方</w:t>
      </w:r>
      <w:r>
        <w:rPr>
          <w:rFonts w:hint="eastAsia" w:ascii="楷体_GB2312" w:hAnsi="宋体" w:eastAsia="楷体_GB2312"/>
          <w:bCs/>
          <w:color w:val="auto"/>
          <w:sz w:val="30"/>
          <w:szCs w:val="30"/>
          <w:highlight w:val="none"/>
        </w:rPr>
        <w:t>交</w:t>
      </w:r>
      <w:r>
        <w:rPr>
          <w:rFonts w:hint="eastAsia" w:ascii="楷体_GB2312" w:hAnsi="宋体" w:eastAsia="楷体_GB2312"/>
          <w:color w:val="auto"/>
          <w:sz w:val="30"/>
          <w:szCs w:val="30"/>
          <w:highlight w:val="none"/>
        </w:rPr>
        <w:t>纳</w:t>
      </w:r>
      <w:r>
        <w:rPr>
          <w:rFonts w:hint="eastAsia" w:ascii="楷体_GB2312" w:hAnsi="宋体" w:eastAsia="楷体_GB2312"/>
          <w:bCs/>
          <w:color w:val="auto"/>
          <w:sz w:val="30"/>
          <w:szCs w:val="30"/>
          <w:highlight w:val="none"/>
        </w:rPr>
        <w:t>10万元</w:t>
      </w:r>
      <w:r>
        <w:rPr>
          <w:rFonts w:hint="eastAsia" w:ascii="楷体_GB2312" w:hAnsi="宋体" w:eastAsia="楷体_GB2312"/>
          <w:color w:val="auto"/>
          <w:sz w:val="30"/>
          <w:szCs w:val="30"/>
          <w:highlight w:val="none"/>
        </w:rPr>
        <w:t>违约金，且不因此解除乙方的核查申请义务；</w:t>
      </w:r>
      <w:r>
        <w:rPr>
          <w:rFonts w:hint="eastAsia" w:ascii="楷体_GB2312" w:hAnsi="宋体" w:eastAsia="楷体_GB2312"/>
          <w:bCs/>
          <w:color w:val="auto"/>
          <w:sz w:val="30"/>
          <w:szCs w:val="30"/>
          <w:highlight w:val="none"/>
        </w:rPr>
        <w:t>乙方不配合甲方核查的，</w:t>
      </w:r>
      <w:r>
        <w:rPr>
          <w:rFonts w:hint="eastAsia" w:ascii="楷体_GB2312" w:hAnsi="宋体" w:eastAsia="楷体_GB2312"/>
          <w:color w:val="auto"/>
          <w:sz w:val="30"/>
          <w:szCs w:val="30"/>
          <w:highlight w:val="none"/>
        </w:rPr>
        <w:t>自甲方发出缴款通知书之日起20日内，乙方应向甲方</w:t>
      </w:r>
      <w:r>
        <w:rPr>
          <w:rFonts w:hint="eastAsia" w:ascii="楷体_GB2312" w:hAnsi="宋体" w:eastAsia="楷体_GB2312"/>
          <w:bCs/>
          <w:color w:val="auto"/>
          <w:sz w:val="30"/>
          <w:szCs w:val="30"/>
          <w:highlight w:val="none"/>
        </w:rPr>
        <w:t>交</w:t>
      </w:r>
      <w:r>
        <w:rPr>
          <w:rFonts w:hint="eastAsia" w:ascii="楷体_GB2312" w:hAnsi="宋体" w:eastAsia="楷体_GB2312"/>
          <w:color w:val="auto"/>
          <w:sz w:val="30"/>
          <w:szCs w:val="30"/>
          <w:highlight w:val="none"/>
        </w:rPr>
        <w:t>纳</w:t>
      </w:r>
      <w:r>
        <w:rPr>
          <w:rFonts w:hint="eastAsia" w:ascii="楷体_GB2312" w:hAnsi="宋体" w:eastAsia="楷体_GB2312"/>
          <w:bCs/>
          <w:color w:val="auto"/>
          <w:sz w:val="30"/>
          <w:szCs w:val="30"/>
          <w:highlight w:val="none"/>
        </w:rPr>
        <w:t>20万元</w:t>
      </w:r>
      <w:r>
        <w:rPr>
          <w:rFonts w:hint="eastAsia" w:ascii="楷体_GB2312" w:hAnsi="宋体" w:eastAsia="楷体_GB2312"/>
          <w:color w:val="auto"/>
          <w:sz w:val="30"/>
          <w:szCs w:val="30"/>
          <w:highlight w:val="none"/>
        </w:rPr>
        <w:t>违约金，且不因此解除乙方的核查申请义务。</w:t>
      </w:r>
    </w:p>
    <w:p>
      <w:pPr>
        <w:numPr>
          <w:ilvl w:val="0"/>
          <w:numId w:val="0"/>
        </w:numPr>
        <w:tabs>
          <w:tab w:val="left" w:pos="900"/>
        </w:tabs>
        <w:adjustRightInd w:val="0"/>
        <w:snapToGrid w:val="0"/>
        <w:spacing w:line="560" w:lineRule="exact"/>
        <w:ind w:left="0" w:leftChars="0"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lang w:val="en-US" w:eastAsia="zh-CN"/>
        </w:rPr>
        <w:t>3.</w:t>
      </w:r>
      <w:r>
        <w:rPr>
          <w:rFonts w:hint="eastAsia" w:ascii="楷体_GB2312" w:hAnsi="宋体" w:eastAsia="楷体_GB2312"/>
          <w:color w:val="auto"/>
          <w:sz w:val="30"/>
          <w:szCs w:val="30"/>
          <w:highlight w:val="none"/>
        </w:rPr>
        <w:t>乙方在该宗地上的项目建成使用</w:t>
      </w:r>
      <w:bookmarkStart w:id="3" w:name="_Hlk41639175"/>
      <w:r>
        <w:rPr>
          <w:rFonts w:hint="eastAsia" w:ascii="楷体_GB2312" w:hAnsi="宋体" w:eastAsia="楷体_GB2312"/>
          <w:color w:val="auto"/>
          <w:sz w:val="30"/>
          <w:szCs w:val="30"/>
          <w:highlight w:val="none"/>
        </w:rPr>
        <w:t>（竣工验收合格并取得建设部门出具的《竣工验收备案收文回执》）</w:t>
      </w:r>
      <w:bookmarkEnd w:id="3"/>
      <w:r>
        <w:rPr>
          <w:rFonts w:hint="eastAsia" w:ascii="楷体_GB2312" w:hAnsi="宋体" w:eastAsia="楷体_GB2312"/>
          <w:color w:val="auto"/>
          <w:sz w:val="30"/>
          <w:szCs w:val="30"/>
          <w:highlight w:val="none"/>
        </w:rPr>
        <w:t>后，将本项目产业用房出售、出租或变相出售、出租给不符合</w:t>
      </w:r>
      <w:r>
        <w:rPr>
          <w:rFonts w:hint="eastAsia" w:ascii="楷体_GB2312" w:hAnsi="宋体" w:eastAsia="楷体_GB2312"/>
          <w:color w:val="auto"/>
          <w:sz w:val="30"/>
          <w:szCs w:val="30"/>
          <w:highlight w:val="none"/>
          <w:lang w:val="en-US" w:eastAsia="zh-CN"/>
        </w:rPr>
        <w:t>甲方要求</w:t>
      </w:r>
      <w:r>
        <w:rPr>
          <w:rFonts w:hint="eastAsia" w:ascii="楷体_GB2312" w:hAnsi="宋体" w:eastAsia="楷体_GB2312"/>
          <w:color w:val="auto"/>
          <w:sz w:val="30"/>
          <w:szCs w:val="30"/>
          <w:highlight w:val="none"/>
        </w:rPr>
        <w:t>的法人、其他组织或自然人，甲方有权责令乙方收回已售或已出租房屋，并按乙方违约所得收益的同等金额向甲方交纳违约金，同时甲方有权暂停对该物业的出租、出售的审批，直至整改合格。</w:t>
      </w:r>
    </w:p>
    <w:p>
      <w:pPr>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4.经甲方核查，</w:t>
      </w:r>
      <w:r>
        <w:rPr>
          <w:rFonts w:hint="eastAsia" w:ascii="楷体_GB2312" w:hAnsi="宋体" w:eastAsia="楷体_GB2312"/>
          <w:color w:val="auto"/>
          <w:sz w:val="30"/>
          <w:szCs w:val="30"/>
          <w:highlight w:val="none"/>
          <w:lang w:val="en-US" w:eastAsia="zh-CN"/>
        </w:rPr>
        <w:t>乙方</w:t>
      </w:r>
      <w:r>
        <w:rPr>
          <w:rFonts w:hint="eastAsia" w:ascii="楷体_GB2312" w:hAnsi="宋体" w:eastAsia="楷体_GB2312"/>
          <w:color w:val="auto"/>
          <w:sz w:val="30"/>
          <w:szCs w:val="30"/>
          <w:highlight w:val="none"/>
        </w:rPr>
        <w:t>纳入坪山区的年度税收贡献未达到本协议约定要求的，自甲方出具《履约核查不合格通知书》之日起20日内，乙方应向甲方以下列方式缴纳违约金，违约金金额=（承诺期内企业承诺形成的税收贡献-承诺期内企业实际形成的税收贡献）X2。</w:t>
      </w:r>
    </w:p>
    <w:p>
      <w:pPr>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5.经甲方核查，</w:t>
      </w:r>
      <w:r>
        <w:rPr>
          <w:rFonts w:hint="eastAsia" w:ascii="楷体_GB2312" w:hAnsi="宋体" w:eastAsia="楷体_GB2312"/>
          <w:color w:val="auto"/>
          <w:sz w:val="30"/>
          <w:szCs w:val="30"/>
          <w:highlight w:val="none"/>
          <w:lang w:val="en-US" w:eastAsia="zh-CN"/>
        </w:rPr>
        <w:t>乙方</w:t>
      </w:r>
      <w:r>
        <w:rPr>
          <w:rFonts w:hint="eastAsia" w:ascii="楷体_GB2312" w:hAnsi="宋体" w:eastAsia="楷体_GB2312"/>
          <w:color w:val="auto"/>
          <w:sz w:val="30"/>
          <w:szCs w:val="30"/>
          <w:highlight w:val="none"/>
        </w:rPr>
        <w:t>纳入坪山区的年度产值未达到本协议约定要求的，自甲方出具《履约核查不合格通知书》之日起20日内，乙方应向甲方以下列方式缴纳违约金，违约金金额=（承诺期内企业承诺形成的产值-承诺期内企业实际形成的产值）X1%。</w:t>
      </w:r>
    </w:p>
    <w:p>
      <w:pPr>
        <w:adjustRightInd w:val="0"/>
        <w:snapToGrid w:val="0"/>
        <w:spacing w:line="560" w:lineRule="exact"/>
        <w:ind w:firstLine="639" w:firstLineChars="213"/>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6.乙方未取得坪山区政府及相关土地行政主管部门同意，擅自变更主要股东出资比例、公司股权结构或违反坪山区的产业政策及发展要求；且拒不整改的，应按照违约行为当年该宗地土地市场评估价向甲方支付违约金（甲方委托第三方专业机构对地价进行评估，相关费用均由乙方承担）</w:t>
      </w:r>
    </w:p>
    <w:p>
      <w:pPr>
        <w:adjustRightInd w:val="0"/>
        <w:snapToGrid w:val="0"/>
        <w:spacing w:line="560" w:lineRule="exact"/>
        <w:ind w:firstLine="600" w:firstLineChars="200"/>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（四）乙方出现下列情形之一 的，甲方有权解除</w:t>
      </w:r>
      <w:r>
        <w:rPr>
          <w:rFonts w:hint="eastAsia" w:ascii="楷体_GB2312" w:hAnsi="宋体" w:eastAsia="楷体_GB2312"/>
          <w:color w:val="auto"/>
          <w:sz w:val="30"/>
          <w:szCs w:val="30"/>
          <w:highlight w:val="none"/>
          <w:lang w:val="en-US" w:eastAsia="zh-CN"/>
        </w:rPr>
        <w:t>协议</w:t>
      </w:r>
      <w:r>
        <w:rPr>
          <w:rFonts w:hint="eastAsia" w:ascii="楷体_GB2312" w:hAnsi="宋体" w:eastAsia="楷体_GB2312"/>
          <w:color w:val="auto"/>
          <w:sz w:val="30"/>
          <w:szCs w:val="30"/>
          <w:highlight w:val="none"/>
        </w:rPr>
        <w:t>并知会深圳市规划和自然资源局坪山管理局解除土地使用权出让合同，无偿收回土地使用权。地上建筑物、构筑物及其附属设施由土地出让人以成本价减折旧后的价格进行补偿。</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1.乙方在土地出让年期内将注册地址变更到坪山区以外地区的或逾期未完成将注册地址变更到坪山区的。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2.项目竣工验收后，经甲方核查，项目固定资产投资强度未达到本协议要求，给予乙方</w:t>
      </w:r>
      <w:r>
        <w:rPr>
          <w:rFonts w:hint="eastAsia" w:ascii="楷体_GB2312" w:hAnsi="宋体" w:eastAsia="楷体_GB2312"/>
          <w:color w:val="auto"/>
          <w:sz w:val="30"/>
          <w:szCs w:val="30"/>
          <w:highlight w:val="none"/>
          <w:lang w:val="en-US" w:eastAsia="zh-CN"/>
        </w:rPr>
        <w:t>5</w:t>
      </w:r>
      <w:r>
        <w:rPr>
          <w:rFonts w:hint="eastAsia" w:ascii="楷体_GB2312" w:hAnsi="宋体" w:eastAsia="楷体_GB2312"/>
          <w:color w:val="auto"/>
          <w:sz w:val="30"/>
          <w:szCs w:val="30"/>
          <w:highlight w:val="none"/>
        </w:rPr>
        <w:t>年整改期，整改期届满后项目固定资产投资强度仍未达到本协议要求的。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3.经甲方核查，乙方承诺期届满后，项目的产值规模（营业收入）未达到本协议要求，给予乙方</w:t>
      </w:r>
      <w:r>
        <w:rPr>
          <w:rFonts w:hint="eastAsia" w:ascii="楷体_GB2312" w:hAnsi="宋体" w:eastAsia="楷体_GB2312"/>
          <w:color w:val="auto"/>
          <w:sz w:val="30"/>
          <w:szCs w:val="30"/>
          <w:highlight w:val="none"/>
          <w:lang w:val="en-US" w:eastAsia="zh-CN"/>
        </w:rPr>
        <w:t>5</w:t>
      </w:r>
      <w:r>
        <w:rPr>
          <w:rFonts w:hint="eastAsia" w:ascii="楷体_GB2312" w:hAnsi="宋体" w:eastAsia="楷体_GB2312"/>
          <w:color w:val="auto"/>
          <w:sz w:val="30"/>
          <w:szCs w:val="30"/>
          <w:highlight w:val="none"/>
        </w:rPr>
        <w:t>年整改期，整改期届满后项目的产值规模（营业收入）仍未达到本协议要求的。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4.经甲方核查，乙方承诺期届满后，项目的税收贡献未达到本协议要求，给予乙方</w:t>
      </w:r>
      <w:r>
        <w:rPr>
          <w:rFonts w:hint="eastAsia" w:ascii="楷体_GB2312" w:hAnsi="宋体" w:eastAsia="楷体_GB2312"/>
          <w:color w:val="auto"/>
          <w:sz w:val="30"/>
          <w:szCs w:val="30"/>
          <w:highlight w:val="none"/>
          <w:lang w:val="en-US" w:eastAsia="zh-CN"/>
        </w:rPr>
        <w:t>5</w:t>
      </w:r>
      <w:r>
        <w:rPr>
          <w:rFonts w:hint="eastAsia" w:ascii="楷体_GB2312" w:hAnsi="宋体" w:eastAsia="楷体_GB2312"/>
          <w:color w:val="auto"/>
          <w:sz w:val="30"/>
          <w:szCs w:val="30"/>
          <w:highlight w:val="none"/>
        </w:rPr>
        <w:t>年整改期，整改期届满后项目的税收贡献仍未达到本协议要求的。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5.乙方在经营生产过程中严重违反国家、省、市环保、安全生产等相关法律法规规定和政策要求，并拒不改正或整改后未达标的。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6.未取得坪山区政府及相关土地行政主管部门同意，乙方擅自变更主要股东出资比例、公司股权结构，且拒不缴纳违约金的。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7.除不可抗力外，因乙方自身原因未按约定期限投产和达产，已超过合理期限且被不准予延期的。</w:t>
      </w:r>
    </w:p>
    <w:p>
      <w:pPr>
        <w:adjustRightInd w:val="0"/>
        <w:snapToGrid w:val="0"/>
        <w:spacing w:line="560" w:lineRule="exact"/>
        <w:ind w:firstLine="600" w:firstLineChars="200"/>
        <w:jc w:val="lef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lang w:val="en-US" w:eastAsia="zh-CN"/>
        </w:rPr>
        <w:t>8、上述第2、3、4项中给予乙方5年整改期的起算时间为承诺期内当年考核年度的下一年度1月1日起，如乙方</w:t>
      </w:r>
      <w:r>
        <w:rPr>
          <w:rFonts w:hint="eastAsia" w:ascii="楷体_GB2312" w:hAnsi="宋体" w:eastAsia="楷体_GB2312"/>
          <w:color w:val="auto"/>
          <w:sz w:val="30"/>
          <w:szCs w:val="30"/>
          <w:u w:val="single"/>
        </w:rPr>
        <w:t>202</w:t>
      </w:r>
      <w:r>
        <w:rPr>
          <w:rFonts w:hint="eastAsia" w:ascii="楷体_GB2312" w:hAnsi="宋体" w:eastAsia="楷体_GB2312"/>
          <w:color w:val="auto"/>
          <w:sz w:val="30"/>
          <w:szCs w:val="30"/>
          <w:u w:val="single"/>
          <w:lang w:val="en-US" w:eastAsia="zh-CN"/>
        </w:rPr>
        <w:t>1</w:t>
      </w:r>
      <w:r>
        <w:rPr>
          <w:rFonts w:hint="eastAsia" w:ascii="楷体_GB2312" w:hAnsi="宋体" w:eastAsia="楷体_GB2312"/>
          <w:color w:val="auto"/>
          <w:sz w:val="30"/>
          <w:szCs w:val="30"/>
        </w:rPr>
        <w:t>年</w:t>
      </w:r>
      <w:r>
        <w:rPr>
          <w:rFonts w:hint="eastAsia" w:ascii="楷体_GB2312" w:hAnsi="宋体" w:eastAsia="楷体_GB2312"/>
          <w:color w:val="auto"/>
          <w:sz w:val="30"/>
          <w:szCs w:val="30"/>
          <w:highlight w:val="none"/>
        </w:rPr>
        <w:t>项目固定资产投资强度</w:t>
      </w:r>
      <w:r>
        <w:rPr>
          <w:rFonts w:hint="eastAsia" w:ascii="楷体_GB2312" w:hAnsi="宋体" w:eastAsia="楷体_GB2312"/>
          <w:color w:val="auto"/>
          <w:sz w:val="30"/>
          <w:szCs w:val="30"/>
          <w:highlight w:val="none"/>
          <w:lang w:eastAsia="zh-CN"/>
        </w:rPr>
        <w:t>、</w:t>
      </w:r>
      <w:r>
        <w:rPr>
          <w:rFonts w:hint="eastAsia" w:ascii="楷体_GB2312" w:hAnsi="宋体" w:eastAsia="楷体_GB2312"/>
          <w:color w:val="auto"/>
          <w:sz w:val="30"/>
          <w:szCs w:val="30"/>
          <w:lang w:val="en-US" w:eastAsia="zh-CN"/>
        </w:rPr>
        <w:t>项目产值或税收贡献未达到本协议要求，则整改期的起算时间为2022年1月1日；</w:t>
      </w:r>
      <w:r>
        <w:rPr>
          <w:rFonts w:hint="eastAsia" w:ascii="楷体_GB2312" w:hAnsi="宋体" w:eastAsia="楷体_GB2312"/>
          <w:color w:val="auto"/>
          <w:sz w:val="30"/>
          <w:szCs w:val="30"/>
          <w:highlight w:val="none"/>
          <w:lang w:val="en-US" w:eastAsia="zh-CN"/>
        </w:rPr>
        <w:t>差额=（承诺期内应当达到的产值规模-实际产值规模）</w:t>
      </w:r>
    </w:p>
    <w:p>
      <w:pPr>
        <w:adjustRightInd w:val="0"/>
        <w:snapToGrid w:val="0"/>
        <w:spacing w:line="560" w:lineRule="exact"/>
        <w:ind w:firstLine="645"/>
        <w:jc w:val="left"/>
        <w:rPr>
          <w:rFonts w:hint="eastAsia" w:ascii="楷体_GB2312" w:hAnsi="宋体" w:eastAsia="楷体_GB2312"/>
          <w:color w:val="auto"/>
          <w:sz w:val="30"/>
          <w:szCs w:val="30"/>
          <w:highlight w:val="none"/>
        </w:rPr>
      </w:pPr>
      <w:bookmarkStart w:id="4" w:name="_Hlk41639221"/>
      <w:r>
        <w:rPr>
          <w:rFonts w:hint="eastAsia" w:ascii="楷体_GB2312" w:hAnsi="宋体" w:eastAsia="楷体_GB2312"/>
          <w:color w:val="auto"/>
          <w:sz w:val="30"/>
          <w:szCs w:val="30"/>
          <w:highlight w:val="none"/>
        </w:rPr>
        <w:t>（五）因全球性经济危机、国际贸易摩擦、国家政策重大改变等因素导致乙方所处的行业领域发展形势严重恶化，进而导致乙方经营生产活动出现严重困难，并直接造成乙方违约的，乙方可向甲方书面提出申请免除全部或者部分违约责任，并向甲方提供相应的材料。甲方在收到乙方的申请后，可结合乙方在坪山区的综合贡献并报请区政府审定，经区政府审定同意后，甲方可以免除乙方部分或者全部违约责任，但法律另有规定的除外</w:t>
      </w:r>
      <w:bookmarkEnd w:id="4"/>
      <w:r>
        <w:rPr>
          <w:rFonts w:hint="eastAsia" w:ascii="楷体_GB2312" w:hAnsi="宋体" w:eastAsia="楷体_GB2312"/>
          <w:color w:val="auto"/>
          <w:sz w:val="30"/>
          <w:szCs w:val="30"/>
          <w:highlight w:val="none"/>
        </w:rPr>
        <w:t>。</w:t>
      </w:r>
    </w:p>
    <w:p>
      <w:pPr>
        <w:adjustRightInd w:val="0"/>
        <w:snapToGrid w:val="0"/>
        <w:spacing w:line="560" w:lineRule="exact"/>
        <w:ind w:firstLine="645"/>
        <w:jc w:val="left"/>
        <w:rPr>
          <w:rFonts w:hint="eastAsia" w:ascii="楷体_GB2312" w:hAnsi="宋体" w:eastAsia="楷体_GB2312"/>
          <w:color w:val="auto"/>
          <w:sz w:val="30"/>
          <w:szCs w:val="30"/>
          <w:highlight w:val="none"/>
        </w:rPr>
      </w:pPr>
    </w:p>
    <w:p>
      <w:pPr>
        <w:adjustRightInd w:val="0"/>
        <w:snapToGrid w:val="0"/>
        <w:spacing w:line="560" w:lineRule="exact"/>
        <w:ind w:firstLine="570"/>
        <w:rPr>
          <w:rFonts w:hint="eastAsia" w:ascii="楷体_GB2312" w:hAnsi="宋体" w:eastAsia="楷体_GB2312"/>
          <w:b/>
          <w:bCs/>
          <w:color w:val="auto"/>
          <w:sz w:val="30"/>
          <w:szCs w:val="30"/>
          <w:highlight w:val="none"/>
        </w:rPr>
      </w:pPr>
      <w:r>
        <w:rPr>
          <w:rFonts w:hint="eastAsia" w:ascii="楷体_GB2312" w:hAnsi="宋体" w:eastAsia="楷体_GB2312"/>
          <w:b/>
          <w:bCs/>
          <w:color w:val="auto"/>
          <w:sz w:val="30"/>
          <w:szCs w:val="30"/>
          <w:highlight w:val="none"/>
        </w:rPr>
        <w:t>八、争议解决方式</w:t>
      </w:r>
    </w:p>
    <w:p>
      <w:pPr>
        <w:adjustRightInd w:val="0"/>
        <w:snapToGrid w:val="0"/>
        <w:spacing w:line="560" w:lineRule="exact"/>
        <w:ind w:firstLine="600" w:firstLineChars="200"/>
        <w:rPr>
          <w:rFonts w:hint="eastAsia" w:ascii="楷体_GB2312" w:hAnsi="宋体" w:eastAsia="楷体_GB2312"/>
          <w:color w:val="auto"/>
          <w:sz w:val="30"/>
          <w:szCs w:val="30"/>
          <w:highlight w:val="none"/>
          <w:lang w:eastAsia="zh-CN"/>
        </w:rPr>
      </w:pPr>
      <w:r>
        <w:rPr>
          <w:rFonts w:hint="eastAsia" w:ascii="楷体_GB2312" w:hAnsi="宋体" w:eastAsia="楷体_GB2312"/>
          <w:color w:val="auto"/>
          <w:sz w:val="30"/>
          <w:szCs w:val="30"/>
          <w:highlight w:val="none"/>
        </w:rPr>
        <w:t>凡因本协议书引起的任何争议，经协商无法达成一致的，双方同意向坪山区商事调解院申请调解。调解不成的，乙方可向甲方所在地人民法院提起诉讼。乙方未按照本协议约定履行义务，经催告后不履行，甲方可以作出要求其履行协议的书面决定。乙方收到书面决定后在法定期限内未申请行政复议或者提起行政诉讼且仍不履行的，甲方可以向人民法院申请强制执行</w:t>
      </w:r>
      <w:r>
        <w:rPr>
          <w:rFonts w:hint="eastAsia" w:ascii="楷体_GB2312" w:hAnsi="宋体" w:eastAsia="楷体_GB2312"/>
          <w:color w:val="auto"/>
          <w:sz w:val="30"/>
          <w:szCs w:val="30"/>
          <w:highlight w:val="none"/>
          <w:lang w:eastAsia="zh-CN"/>
        </w:rPr>
        <w:t>。</w:t>
      </w:r>
    </w:p>
    <w:p>
      <w:pPr>
        <w:adjustRightInd w:val="0"/>
        <w:snapToGrid w:val="0"/>
        <w:spacing w:line="560" w:lineRule="exact"/>
        <w:rPr>
          <w:rFonts w:hint="eastAsia" w:ascii="楷体_GB2312" w:hAnsi="宋体" w:eastAsia="楷体_GB2312"/>
          <w:color w:val="auto"/>
          <w:sz w:val="30"/>
          <w:szCs w:val="30"/>
          <w:highlight w:val="none"/>
        </w:rPr>
      </w:pPr>
    </w:p>
    <w:p>
      <w:pPr>
        <w:pStyle w:val="2"/>
        <w:adjustRightInd w:val="0"/>
        <w:snapToGrid w:val="0"/>
        <w:spacing w:line="560" w:lineRule="exact"/>
        <w:ind w:right="-34" w:rightChars="-16"/>
        <w:rPr>
          <w:rFonts w:hint="eastAsia" w:ascii="楷体_GB2312" w:eastAsia="楷体_GB2312"/>
          <w:b/>
          <w:color w:val="auto"/>
          <w:sz w:val="30"/>
          <w:szCs w:val="30"/>
          <w:highlight w:val="none"/>
        </w:rPr>
      </w:pPr>
      <w:r>
        <w:rPr>
          <w:rFonts w:hint="eastAsia" w:ascii="楷体_GB2312" w:eastAsia="楷体_GB2312"/>
          <w:b/>
          <w:bCs/>
          <w:color w:val="auto"/>
          <w:sz w:val="30"/>
          <w:szCs w:val="30"/>
          <w:highlight w:val="none"/>
        </w:rPr>
        <w:t>九、其他</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一）本协议中乙方应达到的产值规模（营业收入）和税收贡献，履约核查时的统计口径以乙方（含乙方分支机构）及其控股50%以上在坪山区注册的一级、二级子公司和乙方的实际控制人控股50%（含）以上在坪山注册的一级、二级子公司作为统计核算口径。各年度股权关系以当年12月31日股权登记状况为准。</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（备注：子公司已有其他产业发展监管协议或合同约定相关产值规模（营业收入）和税收贡献的，该部分产值规模（营业收入）和税收不得重复计入乙方的统计范围）</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（二）非特别注明的情况下，本协议条款货币种类均为人民币。</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（三）企业年度税收贡献以税务机关出具的“纳税证明”为准</w:t>
      </w:r>
      <w:r>
        <w:rPr>
          <w:rFonts w:hint="eastAsia" w:ascii="楷体" w:hAnsi="楷体" w:eastAsia="楷体" w:cs="楷体"/>
          <w:color w:val="auto"/>
          <w:sz w:val="30"/>
          <w:szCs w:val="30"/>
          <w:highlight w:val="none"/>
          <w:lang w:eastAsia="zh-CN"/>
        </w:rPr>
        <w:t>（</w:t>
      </w:r>
      <w:r>
        <w:rPr>
          <w:rFonts w:hint="eastAsia" w:ascii="楷体" w:hAnsi="楷体" w:eastAsia="楷体" w:cs="楷体"/>
          <w:color w:val="auto"/>
          <w:sz w:val="30"/>
          <w:szCs w:val="30"/>
          <w:highlight w:val="none"/>
          <w:lang w:val="en-US" w:eastAsia="zh-CN"/>
        </w:rPr>
        <w:t>纳税证明税款缴纳时间为：1月1日至12月31日</w:t>
      </w:r>
      <w:r>
        <w:rPr>
          <w:rFonts w:hint="eastAsia" w:ascii="楷体" w:hAnsi="楷体" w:eastAsia="楷体" w:cs="楷体"/>
          <w:color w:val="auto"/>
          <w:sz w:val="30"/>
          <w:szCs w:val="30"/>
          <w:highlight w:val="none"/>
          <w:lang w:eastAsia="zh-CN"/>
        </w:rPr>
        <w:t>）</w:t>
      </w:r>
      <w:r>
        <w:rPr>
          <w:rFonts w:hint="eastAsia" w:ascii="楷体" w:hAnsi="楷体" w:eastAsia="楷体" w:cs="楷体"/>
          <w:color w:val="auto"/>
          <w:sz w:val="30"/>
          <w:szCs w:val="30"/>
          <w:highlight w:val="none"/>
        </w:rPr>
        <w:t>，包括企业所得税、增值税、城市维护建设税、印花税、地方教育附加、教育费附加、房产税、城镇土地使用税、文化事业建设费、个人所得税等自缴税费和代扣（收）代缴税费。</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（四）履约核查时项目固定资产投资以经审计的财务报表为准。</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（五）本协议中的土地出让人是指本宗地的《深圳市土地出让权出让合同书》中的甲方。</w:t>
      </w:r>
    </w:p>
    <w:p>
      <w:pPr>
        <w:adjustRightInd w:val="0"/>
        <w:snapToGrid w:val="0"/>
        <w:spacing w:line="560" w:lineRule="exact"/>
        <w:ind w:firstLine="600" w:firstLineChars="200"/>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（六）本协议履行过程中，对协议中部分名词含义的理解存在不同意见的，以甲方的解释为准。</w:t>
      </w:r>
    </w:p>
    <w:p>
      <w:pPr>
        <w:adjustRightInd w:val="0"/>
        <w:snapToGrid w:val="0"/>
        <w:spacing w:line="560" w:lineRule="exact"/>
        <w:ind w:firstLine="600"/>
        <w:rPr>
          <w:rFonts w:hint="eastAsia" w:ascii="楷体_GB2312" w:hAnsi="宋体" w:eastAsia="楷体_GB2312"/>
          <w:color w:val="auto"/>
          <w:sz w:val="30"/>
          <w:szCs w:val="30"/>
          <w:highlight w:val="none"/>
        </w:rPr>
      </w:pPr>
    </w:p>
    <w:p>
      <w:pPr>
        <w:pStyle w:val="2"/>
        <w:adjustRightInd w:val="0"/>
        <w:snapToGrid w:val="0"/>
        <w:spacing w:line="560" w:lineRule="exact"/>
        <w:ind w:right="-34" w:rightChars="-16"/>
        <w:rPr>
          <w:rFonts w:hint="eastAsia" w:ascii="楷体_GB2312" w:eastAsia="楷体_GB2312"/>
          <w:b/>
          <w:color w:val="auto"/>
          <w:sz w:val="30"/>
          <w:szCs w:val="30"/>
          <w:highlight w:val="none"/>
        </w:rPr>
      </w:pPr>
      <w:r>
        <w:rPr>
          <w:rFonts w:hint="eastAsia" w:ascii="楷体_GB2312" w:eastAsia="楷体_GB2312"/>
          <w:b/>
          <w:bCs/>
          <w:color w:val="auto"/>
          <w:sz w:val="30"/>
          <w:szCs w:val="30"/>
          <w:highlight w:val="none"/>
        </w:rPr>
        <w:t>十、合同效力</w:t>
      </w:r>
    </w:p>
    <w:p>
      <w:pPr>
        <w:pStyle w:val="2"/>
        <w:adjustRightInd w:val="0"/>
        <w:snapToGrid w:val="0"/>
        <w:spacing w:line="560" w:lineRule="exact"/>
        <w:rPr>
          <w:rFonts w:hint="eastAsia" w:ascii="楷体_GB2312" w:eastAsia="楷体_GB2312"/>
          <w:color w:val="auto"/>
          <w:sz w:val="30"/>
          <w:szCs w:val="30"/>
          <w:highlight w:val="none"/>
        </w:rPr>
      </w:pPr>
      <w:r>
        <w:rPr>
          <w:rFonts w:hint="eastAsia" w:ascii="楷体_GB2312" w:eastAsia="楷体_GB2312"/>
          <w:color w:val="auto"/>
          <w:sz w:val="30"/>
          <w:szCs w:val="30"/>
          <w:highlight w:val="none"/>
        </w:rPr>
        <w:t>本协议书一式八份，具有同等法律效力，甲乙双方各执一份，其余六份作为该宗建设用地土地使用权出让合同的附件。</w:t>
      </w:r>
    </w:p>
    <w:p>
      <w:pPr>
        <w:pStyle w:val="2"/>
        <w:adjustRightInd w:val="0"/>
        <w:snapToGrid w:val="0"/>
        <w:spacing w:line="560" w:lineRule="exact"/>
        <w:rPr>
          <w:rFonts w:hint="eastAsia" w:ascii="楷体_GB2312" w:eastAsia="楷体_GB2312"/>
          <w:color w:val="auto"/>
          <w:sz w:val="30"/>
          <w:szCs w:val="30"/>
          <w:highlight w:val="none"/>
        </w:rPr>
      </w:pPr>
      <w:r>
        <w:rPr>
          <w:rFonts w:hint="eastAsia" w:ascii="楷体_GB2312" w:eastAsia="楷体_GB2312"/>
          <w:color w:val="auto"/>
          <w:sz w:val="30"/>
          <w:szCs w:val="30"/>
          <w:highlight w:val="none"/>
        </w:rPr>
        <w:t>本协议书自甲乙双方</w:t>
      </w:r>
      <w:bookmarkStart w:id="5" w:name="_Hlk41639249"/>
      <w:r>
        <w:rPr>
          <w:rFonts w:hint="eastAsia" w:ascii="楷体_GB2312" w:eastAsia="楷体_GB2312"/>
          <w:color w:val="auto"/>
          <w:sz w:val="30"/>
          <w:szCs w:val="30"/>
          <w:highlight w:val="none"/>
        </w:rPr>
        <w:t>法定代表人或委托代理人</w:t>
      </w:r>
      <w:bookmarkEnd w:id="5"/>
      <w:r>
        <w:rPr>
          <w:rFonts w:hint="eastAsia" w:ascii="楷体_GB2312" w:eastAsia="楷体_GB2312"/>
          <w:color w:val="auto"/>
          <w:sz w:val="30"/>
          <w:szCs w:val="30"/>
          <w:highlight w:val="none"/>
        </w:rPr>
        <w:t>签字并</w:t>
      </w:r>
      <w:bookmarkStart w:id="6" w:name="_Hlk41639816"/>
      <w:r>
        <w:rPr>
          <w:rFonts w:hint="eastAsia" w:ascii="楷体_GB2312" w:eastAsia="楷体_GB2312"/>
          <w:color w:val="auto"/>
          <w:sz w:val="30"/>
          <w:szCs w:val="30"/>
          <w:highlight w:val="none"/>
        </w:rPr>
        <w:t>加</w:t>
      </w:r>
      <w:bookmarkEnd w:id="6"/>
      <w:r>
        <w:rPr>
          <w:rFonts w:hint="eastAsia" w:ascii="楷体_GB2312" w:eastAsia="楷体_GB2312"/>
          <w:color w:val="auto"/>
          <w:sz w:val="30"/>
          <w:szCs w:val="30"/>
          <w:highlight w:val="none"/>
        </w:rPr>
        <w:t>盖公章之日起生效。</w:t>
      </w:r>
    </w:p>
    <w:p>
      <w:pPr>
        <w:pStyle w:val="2"/>
        <w:adjustRightInd w:val="0"/>
        <w:snapToGrid w:val="0"/>
        <w:spacing w:line="560" w:lineRule="exact"/>
        <w:ind w:right="-34" w:rightChars="-16"/>
        <w:rPr>
          <w:rFonts w:hint="eastAsia" w:ascii="楷体_GB2312" w:eastAsia="楷体_GB2312"/>
          <w:color w:val="auto"/>
          <w:sz w:val="30"/>
          <w:szCs w:val="30"/>
          <w:highlight w:val="none"/>
        </w:rPr>
      </w:pPr>
      <w:r>
        <w:rPr>
          <w:rFonts w:hint="eastAsia" w:ascii="楷体_GB2312" w:eastAsia="楷体_GB2312"/>
          <w:color w:val="auto"/>
          <w:sz w:val="30"/>
          <w:szCs w:val="30"/>
          <w:highlight w:val="none"/>
        </w:rPr>
        <w:t>本协议书未尽事宜，经甲乙双方协商一致，可另行签订补充协议，补充协议与本协议书具有同等法律效力。</w:t>
      </w:r>
    </w:p>
    <w:p>
      <w:pPr>
        <w:pStyle w:val="2"/>
        <w:adjustRightInd w:val="0"/>
        <w:snapToGrid w:val="0"/>
        <w:spacing w:line="560" w:lineRule="exact"/>
        <w:ind w:right="-34" w:rightChars="-16"/>
        <w:rPr>
          <w:rFonts w:hint="eastAsia" w:ascii="楷体_GB2312" w:eastAsia="楷体_GB2312"/>
          <w:color w:val="auto"/>
          <w:sz w:val="30"/>
          <w:szCs w:val="30"/>
          <w:highlight w:val="none"/>
        </w:rPr>
      </w:pPr>
    </w:p>
    <w:p>
      <w:pPr>
        <w:adjustRightInd w:val="0"/>
        <w:snapToGrid w:val="0"/>
        <w:spacing w:line="560" w:lineRule="exact"/>
        <w:ind w:firstLine="600" w:firstLineChars="200"/>
        <w:rPr>
          <w:rFonts w:hint="eastAsia" w:ascii="楷体_GB2312" w:hAnsi="宋体" w:eastAsia="楷体_GB2312"/>
          <w:bCs/>
          <w:color w:val="auto"/>
          <w:sz w:val="30"/>
          <w:szCs w:val="30"/>
          <w:highlight w:val="none"/>
        </w:rPr>
      </w:pPr>
      <w:r>
        <w:rPr>
          <w:rFonts w:hint="eastAsia" w:ascii="楷体_GB2312" w:hAnsi="宋体" w:eastAsia="楷体_GB2312"/>
          <w:bCs/>
          <w:color w:val="auto"/>
          <w:sz w:val="30"/>
          <w:szCs w:val="30"/>
          <w:highlight w:val="none"/>
        </w:rPr>
        <w:t>（以下无正文）</w:t>
      </w: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p>
    <w:p>
      <w:pPr>
        <w:adjustRightInd w:val="0"/>
        <w:snapToGrid w:val="0"/>
        <w:spacing w:line="560" w:lineRule="exact"/>
        <w:rPr>
          <w:rFonts w:hint="eastAsia" w:ascii="楷体_GB2312" w:hAnsi="宋体" w:eastAsia="楷体_GB2312"/>
          <w:bCs/>
          <w:color w:val="auto"/>
          <w:sz w:val="30"/>
          <w:szCs w:val="30"/>
          <w:highlight w:val="none"/>
        </w:rPr>
      </w:pPr>
      <w:r>
        <w:rPr>
          <w:rFonts w:hint="eastAsia" w:ascii="楷体_GB2312" w:hAnsi="宋体" w:eastAsia="楷体_GB2312"/>
          <w:bCs/>
          <w:color w:val="auto"/>
          <w:sz w:val="30"/>
          <w:szCs w:val="30"/>
          <w:highlight w:val="none"/>
        </w:rPr>
        <w:t>（本页为签署页）</w:t>
      </w:r>
    </w:p>
    <w:p>
      <w:pPr>
        <w:adjustRightInd w:val="0"/>
        <w:snapToGrid w:val="0"/>
        <w:spacing w:line="560" w:lineRule="exact"/>
        <w:ind w:left="904" w:hanging="904" w:hangingChars="300"/>
        <w:rPr>
          <w:rFonts w:hint="eastAsia" w:ascii="楷体_GB2312" w:hAnsi="宋体" w:eastAsia="楷体_GB2312"/>
          <w:b/>
          <w:color w:val="auto"/>
          <w:sz w:val="30"/>
          <w:szCs w:val="30"/>
          <w:highlight w:val="none"/>
        </w:rPr>
      </w:pPr>
    </w:p>
    <w:p>
      <w:pPr>
        <w:adjustRightInd w:val="0"/>
        <w:snapToGrid w:val="0"/>
        <w:spacing w:line="560" w:lineRule="exact"/>
        <w:ind w:left="904" w:hanging="904" w:hangingChars="300"/>
        <w:rPr>
          <w:rFonts w:hint="eastAsia" w:ascii="楷体_GB2312" w:hAnsi="宋体" w:eastAsia="楷体_GB2312"/>
          <w:b/>
          <w:color w:val="auto"/>
          <w:sz w:val="30"/>
          <w:szCs w:val="30"/>
          <w:highlight w:val="none"/>
        </w:rPr>
      </w:pPr>
    </w:p>
    <w:p>
      <w:pPr>
        <w:adjustRightInd w:val="0"/>
        <w:snapToGrid w:val="0"/>
        <w:spacing w:line="560" w:lineRule="exact"/>
        <w:ind w:left="904" w:hanging="904" w:hangingChars="300"/>
        <w:rPr>
          <w:rFonts w:hint="eastAsia" w:ascii="楷体_GB2312" w:hAnsi="宋体" w:eastAsia="楷体_GB2312"/>
          <w:b/>
          <w:color w:val="auto"/>
          <w:sz w:val="30"/>
          <w:szCs w:val="30"/>
          <w:highlight w:val="none"/>
        </w:rPr>
      </w:pPr>
    </w:p>
    <w:p>
      <w:pPr>
        <w:adjustRightInd w:val="0"/>
        <w:snapToGrid w:val="0"/>
        <w:spacing w:line="560" w:lineRule="exact"/>
        <w:ind w:left="904" w:hanging="904" w:hangingChars="300"/>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 xml:space="preserve">甲方（盖章）： </w:t>
      </w:r>
    </w:p>
    <w:p>
      <w:pPr>
        <w:adjustRightInd w:val="0"/>
        <w:snapToGrid w:val="0"/>
        <w:spacing w:line="560" w:lineRule="exact"/>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法定代表人：</w:t>
      </w:r>
      <w:r>
        <w:rPr>
          <w:rFonts w:hint="eastAsia" w:ascii="楷体_GB2312" w:hAnsi="宋体" w:eastAsia="楷体_GB2312"/>
          <w:b/>
          <w:color w:val="auto"/>
          <w:sz w:val="30"/>
          <w:szCs w:val="30"/>
          <w:highlight w:val="none"/>
          <w:u w:val="single"/>
        </w:rPr>
        <w:t xml:space="preserve">                        </w:t>
      </w:r>
    </w:p>
    <w:p>
      <w:pPr>
        <w:adjustRightInd w:val="0"/>
        <w:snapToGrid w:val="0"/>
        <w:spacing w:line="560" w:lineRule="exact"/>
        <w:rPr>
          <w:rFonts w:hint="eastAsia" w:ascii="楷体_GB2312" w:hAnsi="宋体" w:eastAsia="楷体_GB2312"/>
          <w:b/>
          <w:color w:val="auto"/>
          <w:sz w:val="30"/>
          <w:szCs w:val="30"/>
          <w:highlight w:val="none"/>
        </w:rPr>
      </w:pPr>
    </w:p>
    <w:p>
      <w:pPr>
        <w:adjustRightInd w:val="0"/>
        <w:snapToGrid w:val="0"/>
        <w:spacing w:line="560" w:lineRule="exact"/>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委托代理人：</w:t>
      </w:r>
      <w:r>
        <w:rPr>
          <w:rFonts w:hint="eastAsia" w:ascii="楷体_GB2312" w:hAnsi="宋体" w:eastAsia="楷体_GB2312"/>
          <w:b/>
          <w:color w:val="auto"/>
          <w:sz w:val="30"/>
          <w:szCs w:val="30"/>
          <w:highlight w:val="none"/>
          <w:u w:val="single"/>
        </w:rPr>
        <w:t xml:space="preserve">                        </w:t>
      </w:r>
    </w:p>
    <w:p>
      <w:pPr>
        <w:adjustRightInd w:val="0"/>
        <w:snapToGrid w:val="0"/>
        <w:spacing w:line="560" w:lineRule="exact"/>
        <w:rPr>
          <w:rFonts w:hint="eastAsia" w:ascii="楷体_GB2312" w:hAnsi="宋体" w:eastAsia="楷体_GB2312"/>
          <w:color w:val="auto"/>
          <w:sz w:val="30"/>
          <w:szCs w:val="30"/>
          <w:highlight w:val="none"/>
        </w:rPr>
      </w:pPr>
    </w:p>
    <w:p>
      <w:pPr>
        <w:adjustRightInd w:val="0"/>
        <w:snapToGrid w:val="0"/>
        <w:spacing w:line="560" w:lineRule="exact"/>
        <w:rPr>
          <w:rFonts w:hint="eastAsia" w:ascii="楷体_GB2312" w:hAnsi="宋体" w:eastAsia="楷体_GB2312"/>
          <w:color w:val="auto"/>
          <w:sz w:val="30"/>
          <w:szCs w:val="30"/>
          <w:highlight w:val="none"/>
        </w:rPr>
      </w:pPr>
    </w:p>
    <w:p>
      <w:pPr>
        <w:adjustRightInd w:val="0"/>
        <w:snapToGrid w:val="0"/>
        <w:spacing w:line="560" w:lineRule="exact"/>
        <w:ind w:left="602" w:hanging="602" w:hangingChars="200"/>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乙方（盖章）：</w:t>
      </w:r>
    </w:p>
    <w:p>
      <w:pPr>
        <w:adjustRightInd w:val="0"/>
        <w:snapToGrid w:val="0"/>
        <w:spacing w:line="560" w:lineRule="exact"/>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法定代表人：</w:t>
      </w:r>
      <w:r>
        <w:rPr>
          <w:rFonts w:hint="eastAsia" w:ascii="楷体_GB2312" w:hAnsi="宋体" w:eastAsia="楷体_GB2312"/>
          <w:b/>
          <w:color w:val="auto"/>
          <w:sz w:val="30"/>
          <w:szCs w:val="30"/>
          <w:highlight w:val="none"/>
          <w:u w:val="single"/>
        </w:rPr>
        <w:t xml:space="preserve">                        </w:t>
      </w:r>
    </w:p>
    <w:p>
      <w:pPr>
        <w:adjustRightInd w:val="0"/>
        <w:snapToGrid w:val="0"/>
        <w:spacing w:line="560" w:lineRule="exact"/>
        <w:rPr>
          <w:rFonts w:hint="eastAsia" w:ascii="楷体_GB2312" w:hAnsi="宋体" w:eastAsia="楷体_GB2312"/>
          <w:b/>
          <w:color w:val="auto"/>
          <w:sz w:val="30"/>
          <w:szCs w:val="30"/>
          <w:highlight w:val="none"/>
        </w:rPr>
      </w:pPr>
    </w:p>
    <w:p>
      <w:pPr>
        <w:adjustRightInd w:val="0"/>
        <w:snapToGrid w:val="0"/>
        <w:spacing w:line="560" w:lineRule="exact"/>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委托代理人：</w:t>
      </w:r>
      <w:r>
        <w:rPr>
          <w:rFonts w:hint="eastAsia" w:ascii="楷体_GB2312" w:hAnsi="宋体" w:eastAsia="楷体_GB2312"/>
          <w:b/>
          <w:color w:val="auto"/>
          <w:sz w:val="30"/>
          <w:szCs w:val="30"/>
          <w:highlight w:val="none"/>
          <w:u w:val="single"/>
        </w:rPr>
        <w:t xml:space="preserve">                        </w:t>
      </w:r>
    </w:p>
    <w:p>
      <w:pPr>
        <w:adjustRightInd w:val="0"/>
        <w:snapToGrid w:val="0"/>
        <w:spacing w:line="560" w:lineRule="exact"/>
        <w:rPr>
          <w:rFonts w:hint="eastAsia" w:ascii="楷体_GB2312" w:hAnsi="宋体" w:eastAsia="楷体_GB2312"/>
          <w:b/>
          <w:color w:val="auto"/>
          <w:sz w:val="30"/>
          <w:szCs w:val="30"/>
          <w:highlight w:val="none"/>
        </w:rPr>
      </w:pPr>
    </w:p>
    <w:p>
      <w:pPr>
        <w:adjustRightInd w:val="0"/>
        <w:snapToGrid w:val="0"/>
        <w:spacing w:line="560" w:lineRule="exact"/>
        <w:rPr>
          <w:rFonts w:hint="eastAsia" w:ascii="楷体_GB2312" w:hAnsi="宋体" w:eastAsia="楷体_GB2312"/>
          <w:b/>
          <w:color w:val="auto"/>
          <w:sz w:val="30"/>
          <w:szCs w:val="30"/>
          <w:highlight w:val="none"/>
        </w:rPr>
      </w:pPr>
    </w:p>
    <w:p>
      <w:pPr>
        <w:adjustRightInd w:val="0"/>
        <w:snapToGrid w:val="0"/>
        <w:spacing w:line="560" w:lineRule="exact"/>
        <w:jc w:val="right"/>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签订日期：</w:t>
      </w:r>
      <w:r>
        <w:rPr>
          <w:rFonts w:hint="eastAsia" w:ascii="楷体_GB2312" w:hAnsi="宋体" w:eastAsia="楷体_GB2312"/>
          <w:b/>
          <w:color w:val="auto"/>
          <w:sz w:val="30"/>
          <w:szCs w:val="30"/>
          <w:highlight w:val="none"/>
          <w:u w:val="single"/>
        </w:rPr>
        <w:t xml:space="preserve">     </w:t>
      </w:r>
      <w:r>
        <w:rPr>
          <w:rFonts w:hint="eastAsia" w:ascii="楷体_GB2312" w:hAnsi="宋体" w:eastAsia="楷体_GB2312"/>
          <w:b/>
          <w:color w:val="auto"/>
          <w:sz w:val="30"/>
          <w:szCs w:val="30"/>
          <w:highlight w:val="none"/>
        </w:rPr>
        <w:t>年</w:t>
      </w:r>
      <w:r>
        <w:rPr>
          <w:rFonts w:hint="eastAsia" w:ascii="楷体_GB2312" w:hAnsi="宋体" w:eastAsia="楷体_GB2312"/>
          <w:b/>
          <w:color w:val="auto"/>
          <w:sz w:val="30"/>
          <w:szCs w:val="30"/>
          <w:highlight w:val="none"/>
          <w:u w:val="single"/>
        </w:rPr>
        <w:t xml:space="preserve">  　</w:t>
      </w:r>
      <w:r>
        <w:rPr>
          <w:rFonts w:hint="eastAsia" w:ascii="楷体_GB2312" w:hAnsi="宋体" w:eastAsia="楷体_GB2312"/>
          <w:b/>
          <w:color w:val="auto"/>
          <w:sz w:val="30"/>
          <w:szCs w:val="30"/>
          <w:highlight w:val="none"/>
        </w:rPr>
        <w:t>月</w:t>
      </w:r>
      <w:r>
        <w:rPr>
          <w:rFonts w:hint="eastAsia" w:ascii="楷体_GB2312" w:hAnsi="宋体" w:eastAsia="楷体_GB2312"/>
          <w:b/>
          <w:color w:val="auto"/>
          <w:sz w:val="30"/>
          <w:szCs w:val="30"/>
          <w:highlight w:val="none"/>
          <w:u w:val="single"/>
        </w:rPr>
        <w:t xml:space="preserve">   </w:t>
      </w:r>
      <w:r>
        <w:rPr>
          <w:rFonts w:hint="eastAsia" w:ascii="楷体_GB2312" w:hAnsi="宋体" w:eastAsia="楷体_GB2312"/>
          <w:b/>
          <w:color w:val="auto"/>
          <w:sz w:val="30"/>
          <w:szCs w:val="30"/>
          <w:highlight w:val="none"/>
        </w:rPr>
        <w:t>日</w:t>
      </w:r>
    </w:p>
    <w:p>
      <w:pPr>
        <w:adjustRightInd w:val="0"/>
        <w:snapToGrid w:val="0"/>
        <w:spacing w:line="560" w:lineRule="exact"/>
        <w:jc w:val="right"/>
        <w:rPr>
          <w:rFonts w:hint="eastAsia" w:ascii="楷体_GB2312" w:hAnsi="宋体" w:eastAsia="楷体_GB2312"/>
          <w:b/>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ind w:right="0" w:firstLine="4668" w:firstLineChars="1550"/>
        <w:textAlignment w:val="auto"/>
        <w:outlineLvl w:val="9"/>
        <w:rPr>
          <w:rFonts w:hint="eastAsia" w:ascii="楷体_GB2312" w:hAnsi="宋体" w:eastAsia="楷体_GB2312"/>
          <w:b/>
          <w:color w:val="auto"/>
          <w:sz w:val="30"/>
          <w:szCs w:val="30"/>
          <w:highlight w:val="none"/>
        </w:rPr>
      </w:pPr>
      <w:r>
        <w:rPr>
          <w:rFonts w:hint="eastAsia" w:ascii="楷体_GB2312" w:hAnsi="宋体" w:eastAsia="楷体_GB2312"/>
          <w:b/>
          <w:color w:val="auto"/>
          <w:sz w:val="30"/>
          <w:szCs w:val="30"/>
          <w:highlight w:val="none"/>
        </w:rPr>
        <w:t>签订地点：</w:t>
      </w:r>
      <w:r>
        <w:rPr>
          <w:rFonts w:hint="eastAsia" w:ascii="楷体_GB2312" w:hAnsi="宋体" w:eastAsia="楷体_GB2312"/>
          <w:b/>
          <w:color w:val="auto"/>
          <w:sz w:val="30"/>
          <w:szCs w:val="30"/>
          <w:highlight w:val="none"/>
          <w:u w:val="single"/>
        </w:rPr>
        <w:t xml:space="preserve">             </w:t>
      </w:r>
    </w:p>
    <w:p>
      <w:pPr>
        <w:adjustRightInd w:val="0"/>
        <w:snapToGrid w:val="0"/>
        <w:spacing w:line="560" w:lineRule="exact"/>
        <w:rPr>
          <w:rFonts w:hint="eastAsia" w:ascii="楷体_GB2312" w:hAnsi="宋体" w:eastAsia="楷体_GB2312"/>
          <w:color w:val="auto"/>
          <w:sz w:val="30"/>
          <w:szCs w:val="30"/>
          <w:highlight w:val="none"/>
        </w:rPr>
      </w:pPr>
    </w:p>
    <w:p>
      <w:pPr>
        <w:adjustRightInd w:val="0"/>
        <w:snapToGrid w:val="0"/>
        <w:spacing w:line="560" w:lineRule="exact"/>
        <w:rPr>
          <w:rFonts w:hint="eastAsia" w:ascii="楷体_GB2312" w:hAnsi="宋体" w:eastAsia="楷体_GB2312"/>
          <w:color w:val="auto"/>
          <w:sz w:val="30"/>
          <w:szCs w:val="30"/>
          <w:highlight w:val="none"/>
        </w:rPr>
      </w:pPr>
    </w:p>
    <w:p>
      <w:pPr>
        <w:adjustRightInd w:val="0"/>
        <w:snapToGrid w:val="0"/>
        <w:spacing w:line="560" w:lineRule="exact"/>
        <w:rPr>
          <w:rFonts w:hint="eastAsia" w:ascii="楷体_GB2312" w:hAnsi="宋体" w:eastAsia="楷体_GB2312"/>
          <w:color w:val="auto"/>
          <w:sz w:val="30"/>
          <w:szCs w:val="30"/>
          <w:highlight w:val="none"/>
        </w:rPr>
      </w:pPr>
    </w:p>
    <w:p>
      <w:pPr>
        <w:adjustRightInd w:val="0"/>
        <w:snapToGrid w:val="0"/>
        <w:spacing w:line="560" w:lineRule="exact"/>
        <w:rPr>
          <w:rFonts w:hint="eastAsia" w:ascii="楷体_GB2312" w:hAnsi="宋体" w:eastAsia="楷体_GB2312"/>
          <w:color w:val="auto"/>
          <w:sz w:val="30"/>
          <w:szCs w:val="30"/>
          <w:highlight w:val="none"/>
        </w:rPr>
      </w:pPr>
      <w:r>
        <w:rPr>
          <w:rFonts w:hint="eastAsia" w:ascii="楷体_GB2312" w:hAnsi="宋体" w:eastAsia="楷体_GB2312"/>
          <w:color w:val="auto"/>
          <w:sz w:val="30"/>
          <w:szCs w:val="30"/>
          <w:highlight w:val="none"/>
        </w:rPr>
        <w:t>附件：乙方股东会决议</w:t>
      </w:r>
    </w:p>
    <w:p/>
    <w:sectPr>
      <w:headerReference r:id="rId4" w:type="first"/>
      <w:headerReference r:id="rId3" w:type="default"/>
      <w:footerReference r:id="rId5" w:type="default"/>
      <w:footerReference r:id="rId6" w:type="even"/>
      <w:pgSz w:w="11906" w:h="16838"/>
      <w:pgMar w:top="2098" w:right="1474" w:bottom="1984"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p>
  <w:p>
    <w:pPr>
      <w:pStyle w:val="3"/>
      <w:framePr w:wrap="around" w:vAnchor="text" w:hAnchor="margin" w:xAlign="outside" w:y="1"/>
      <w:ind w:firstLine="280" w:firstLineChars="100"/>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4F706B"/>
    <w:multiLevelType w:val="singleLevel"/>
    <w:tmpl w:val="B44F706B"/>
    <w:lvl w:ilvl="0" w:tentative="0">
      <w:start w:val="2"/>
      <w:numFmt w:val="chineseCounting"/>
      <w:suff w:val="nothing"/>
      <w:lvlText w:val="（%1）"/>
      <w:lvlJc w:val="left"/>
      <w:rPr>
        <w:rFonts w:hint="eastAsia"/>
      </w:rPr>
    </w:lvl>
  </w:abstractNum>
  <w:abstractNum w:abstractNumId="1">
    <w:nsid w:val="09EA044B"/>
    <w:multiLevelType w:val="multilevel"/>
    <w:tmpl w:val="09EA044B"/>
    <w:lvl w:ilvl="0" w:tentative="0">
      <w:start w:val="2"/>
      <w:numFmt w:val="japaneseCounting"/>
      <w:lvlText w:val="%1、"/>
      <w:lvlJc w:val="left"/>
      <w:pPr>
        <w:tabs>
          <w:tab w:val="left" w:pos="1342"/>
        </w:tabs>
        <w:ind w:left="1342"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665BADCB"/>
    <w:multiLevelType w:val="singleLevel"/>
    <w:tmpl w:val="665BADCB"/>
    <w:lvl w:ilvl="0" w:tentative="0">
      <w:start w:val="1"/>
      <w:numFmt w:val="chineseCounting"/>
      <w:suff w:val="nothing"/>
      <w:lvlText w:val="（%1）"/>
      <w:lvlJc w:val="left"/>
      <w:rPr>
        <w:rFonts w:hint="eastAsia"/>
      </w:rPr>
    </w:lvl>
  </w:abstractNum>
  <w:abstractNum w:abstractNumId="3">
    <w:nsid w:val="718A4C35"/>
    <w:multiLevelType w:val="singleLevel"/>
    <w:tmpl w:val="718A4C35"/>
    <w:lvl w:ilvl="0" w:tentative="0">
      <w:start w:val="6"/>
      <w:numFmt w:val="chineseCounting"/>
      <w:suff w:val="nothing"/>
      <w:lvlText w:val="%1、"/>
      <w:lvlJc w:val="left"/>
      <w:rPr>
        <w:rFonts w:hint="eastAsia"/>
      </w:rPr>
    </w:lvl>
  </w:abstractNum>
  <w:num w:numId="1">
    <w:abstractNumId w:val="1"/>
    <w:lvlOverride w:ilvl="0">
      <w:startOverride w:val="2"/>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val="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D4EBA"/>
    <w:rsid w:val="03DF588C"/>
    <w:rsid w:val="045209E4"/>
    <w:rsid w:val="04FD3B02"/>
    <w:rsid w:val="0C281FE4"/>
    <w:rsid w:val="0DFA664A"/>
    <w:rsid w:val="112E7287"/>
    <w:rsid w:val="11A836BF"/>
    <w:rsid w:val="11F32510"/>
    <w:rsid w:val="13F073AE"/>
    <w:rsid w:val="145015A0"/>
    <w:rsid w:val="14653FFD"/>
    <w:rsid w:val="151B56FF"/>
    <w:rsid w:val="1B0A238F"/>
    <w:rsid w:val="1B9725B1"/>
    <w:rsid w:val="1D08638A"/>
    <w:rsid w:val="1D163CD4"/>
    <w:rsid w:val="1E775255"/>
    <w:rsid w:val="240F17C4"/>
    <w:rsid w:val="2A6C1170"/>
    <w:rsid w:val="2AA917DF"/>
    <w:rsid w:val="2EB60A4F"/>
    <w:rsid w:val="2F744449"/>
    <w:rsid w:val="2F8F7016"/>
    <w:rsid w:val="2FE43FBE"/>
    <w:rsid w:val="34A33566"/>
    <w:rsid w:val="34A46435"/>
    <w:rsid w:val="34EE6ED2"/>
    <w:rsid w:val="36621F5E"/>
    <w:rsid w:val="36AE7E47"/>
    <w:rsid w:val="372A2A0B"/>
    <w:rsid w:val="3ABD583D"/>
    <w:rsid w:val="3C287563"/>
    <w:rsid w:val="402F091C"/>
    <w:rsid w:val="41215C63"/>
    <w:rsid w:val="412E2888"/>
    <w:rsid w:val="41A75014"/>
    <w:rsid w:val="4222739A"/>
    <w:rsid w:val="42AB4717"/>
    <w:rsid w:val="4472470D"/>
    <w:rsid w:val="44CF7689"/>
    <w:rsid w:val="44D8663C"/>
    <w:rsid w:val="451E130B"/>
    <w:rsid w:val="4537569D"/>
    <w:rsid w:val="52737DC8"/>
    <w:rsid w:val="55152C2C"/>
    <w:rsid w:val="568C61EF"/>
    <w:rsid w:val="593B7274"/>
    <w:rsid w:val="5BF52520"/>
    <w:rsid w:val="5E2B60E9"/>
    <w:rsid w:val="6120605F"/>
    <w:rsid w:val="65180E4F"/>
    <w:rsid w:val="6B814E20"/>
    <w:rsid w:val="6DCD06FB"/>
    <w:rsid w:val="6F25163E"/>
    <w:rsid w:val="6FDA2D29"/>
    <w:rsid w:val="70CA109C"/>
    <w:rsid w:val="72384E22"/>
    <w:rsid w:val="74266159"/>
    <w:rsid w:val="75D82EB8"/>
    <w:rsid w:val="769F4852"/>
    <w:rsid w:val="7BE86D5F"/>
    <w:rsid w:val="7E043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宋体"/>
      <w:sz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领导修改意见1</cp:lastModifiedBy>
  <cp:lastPrinted>2021-07-19T01:10:00Z</cp:lastPrinted>
  <dcterms:modified xsi:type="dcterms:W3CDTF">2021-09-26T11:36:16Z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BA5386F071A84777831831F3542E2E33</vt:lpwstr>
  </property>
</Properties>
</file>