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spacing w:line="360" w:lineRule="auto"/>
        <w:ind w:firstLine="883"/>
        <w:jc w:val="center"/>
        <w:rPr>
          <w:rFonts w:ascii="黑体" w:hAnsi="黑体" w:eastAsia="黑体" w:cs="黑体"/>
          <w:b/>
          <w:bCs/>
          <w:sz w:val="44"/>
          <w:szCs w:val="44"/>
        </w:rPr>
      </w:pPr>
      <w:r>
        <w:rPr>
          <w:rFonts w:hint="eastAsia" w:ascii="黑体" w:hAnsi="黑体" w:eastAsia="黑体" w:cs="黑体"/>
          <w:b/>
          <w:bCs/>
          <w:sz w:val="44"/>
          <w:szCs w:val="44"/>
        </w:rPr>
        <w:t>服务类项目采购需求模板</w:t>
      </w:r>
    </w:p>
    <w:p>
      <w:pPr>
        <w:pStyle w:val="15"/>
        <w:spacing w:line="360" w:lineRule="auto"/>
        <w:ind w:firstLine="883"/>
        <w:jc w:val="center"/>
        <w:rPr>
          <w:rFonts w:ascii="黑体" w:hAnsi="黑体" w:eastAsia="黑体" w:cs="黑体"/>
          <w:b/>
          <w:bCs/>
          <w:sz w:val="44"/>
          <w:szCs w:val="44"/>
        </w:rPr>
      </w:pPr>
      <w:r>
        <w:rPr>
          <w:rFonts w:hint="eastAsia" w:ascii="黑体" w:hAnsi="黑体" w:eastAsia="黑体" w:cs="黑体"/>
          <w:b/>
          <w:bCs/>
          <w:sz w:val="44"/>
          <w:szCs w:val="44"/>
        </w:rPr>
        <w:t>（自行采购）</w:t>
      </w:r>
    </w:p>
    <w:p>
      <w:pPr>
        <w:pStyle w:val="15"/>
        <w:spacing w:line="360" w:lineRule="auto"/>
        <w:ind w:firstLine="0" w:firstLineChars="0"/>
        <w:rPr>
          <w:rFonts w:ascii="仿宋" w:hAnsi="仿宋" w:eastAsia="仿宋"/>
          <w:b/>
          <w:bCs/>
          <w:sz w:val="30"/>
          <w:szCs w:val="30"/>
        </w:rPr>
      </w:pPr>
      <w:r>
        <w:rPr>
          <w:rFonts w:hint="eastAsia" w:ascii="仿宋" w:hAnsi="仿宋" w:eastAsia="仿宋"/>
          <w:b/>
          <w:bCs/>
          <w:sz w:val="30"/>
          <w:szCs w:val="30"/>
        </w:rPr>
        <w:t>一、采购项目概况</w:t>
      </w:r>
    </w:p>
    <w:p>
      <w:pPr>
        <w:pStyle w:val="15"/>
        <w:adjustRightInd w:val="0"/>
        <w:spacing w:line="560" w:lineRule="exact"/>
        <w:ind w:left="0" w:leftChars="0" w:firstLine="300" w:firstLineChars="100"/>
        <w:rPr>
          <w:rFonts w:ascii="Times New Roman" w:hAnsi="仿宋_GB2312" w:eastAsia="仿宋_GB2312"/>
          <w:color w:val="000000"/>
          <w:sz w:val="30"/>
          <w:szCs w:val="30"/>
        </w:rPr>
      </w:pPr>
      <w:r>
        <w:rPr>
          <w:rFonts w:ascii="Times New Roman" w:hAnsi="仿宋_GB2312" w:eastAsia="仿宋_GB2312"/>
          <w:color w:val="000000"/>
          <w:sz w:val="30"/>
          <w:szCs w:val="30"/>
        </w:rPr>
        <w:t>（一）项目名称：</w:t>
      </w:r>
      <w:r>
        <w:rPr>
          <w:rFonts w:hint="eastAsia" w:ascii="Times New Roman" w:hAnsi="仿宋_GB2312" w:eastAsia="仿宋_GB2312"/>
          <w:color w:val="000000"/>
          <w:sz w:val="30"/>
          <w:szCs w:val="30"/>
        </w:rPr>
        <w:t>龙园路区域地面沉降应急勘测</w:t>
      </w:r>
      <w:r>
        <w:rPr>
          <w:rFonts w:hint="eastAsia" w:ascii="Times New Roman" w:hAnsi="仿宋_GB2312" w:eastAsia="仿宋_GB2312"/>
          <w:color w:val="000000"/>
          <w:sz w:val="30"/>
          <w:szCs w:val="30"/>
          <w:lang w:val="en-US" w:eastAsia="zh-CN"/>
        </w:rPr>
        <w:t>监理项目。</w:t>
      </w:r>
    </w:p>
    <w:p>
      <w:pPr>
        <w:pStyle w:val="15"/>
        <w:spacing w:line="360" w:lineRule="auto"/>
        <w:ind w:left="0" w:leftChars="0" w:firstLine="300" w:firstLineChars="100"/>
        <w:rPr>
          <w:rFonts w:hint="default" w:ascii="Times New Roman" w:hAnsi="仿宋_GB2312" w:eastAsia="仿宋_GB2312"/>
          <w:color w:val="000000"/>
          <w:sz w:val="30"/>
          <w:szCs w:val="30"/>
          <w:lang w:val="en-US" w:eastAsia="zh-CN"/>
        </w:rPr>
      </w:pPr>
      <w:r>
        <w:rPr>
          <w:rFonts w:ascii="Times New Roman" w:hAnsi="仿宋_GB2312" w:eastAsia="仿宋_GB2312"/>
          <w:color w:val="000000"/>
          <w:sz w:val="30"/>
          <w:szCs w:val="30"/>
        </w:rPr>
        <w:t>（二）</w:t>
      </w:r>
      <w:r>
        <w:rPr>
          <w:rFonts w:hint="eastAsia" w:ascii="Times New Roman" w:hAnsi="仿宋_GB2312" w:eastAsia="仿宋_GB2312"/>
          <w:color w:val="000000"/>
          <w:sz w:val="30"/>
          <w:szCs w:val="30"/>
          <w:lang w:val="en-US" w:eastAsia="zh-CN"/>
        </w:rPr>
        <w:t>项目背景：2019年12月5日，龙岗街道龙园路出现地面塌陷险情，根</w:t>
      </w:r>
      <w:r>
        <w:rPr>
          <w:rFonts w:hint="eastAsia" w:ascii="仿宋" w:hAnsi="仿宋" w:eastAsia="仿宋"/>
          <w:sz w:val="30"/>
          <w:szCs w:val="30"/>
          <w:lang w:val="en-US" w:eastAsia="zh-CN"/>
        </w:rPr>
        <w:t>据区域地质资料和《深圳市地质灾害防治规划（2016-2025）》中深圳市地质灾害易发分区图，龙园路一带为石炭系灰岩分布区，属岩溶地面塌陷高易发区。根据区政府工作安排，由市规划和自然资源局龙岗管理局负责开展该区域勘察和监测工作。该项目是对龙园路区域地面沉降险情处置过程中勘察（查）和监测工作进行监理。</w:t>
      </w:r>
    </w:p>
    <w:p>
      <w:pPr>
        <w:pStyle w:val="15"/>
        <w:spacing w:line="360" w:lineRule="auto"/>
        <w:ind w:left="0" w:leftChars="0" w:firstLine="300" w:firstLineChars="100"/>
        <w:rPr>
          <w:rFonts w:hint="default" w:ascii="仿宋" w:hAnsi="仿宋" w:eastAsia="仿宋"/>
          <w:sz w:val="30"/>
          <w:szCs w:val="30"/>
          <w:lang w:val="en-US" w:eastAsia="zh-CN"/>
        </w:rPr>
      </w:pPr>
      <w:r>
        <w:rPr>
          <w:rFonts w:hint="eastAsia" w:ascii="仿宋" w:hAnsi="仿宋" w:eastAsia="仿宋"/>
          <w:sz w:val="30"/>
          <w:szCs w:val="30"/>
          <w:lang w:val="en-US" w:eastAsia="zh-CN"/>
        </w:rPr>
        <w:t>（三）立项依据：根据2019年12月7日区政府关于“12·5”龙岗区龙园路区域地面沉降险情处置工作会议和2020年4月26日龙园路地面沉降应急处置工作协调会议精神，为保护人民群众生命财产安全，做好应急处置工作，委托深圳市合创建设工程顾问有限公司开展勘测监理工作事项。龙岗区发展和改革局关于下达《深圳·东部能源生态园周边环境提升规划及详细方案设计》规划研究等9个项目前期工作计划的通知（深龙发改〔2020〕645 号）已对该项目下达前期工作计划。</w:t>
      </w:r>
    </w:p>
    <w:p>
      <w:pPr>
        <w:pStyle w:val="15"/>
        <w:adjustRightInd w:val="0"/>
        <w:spacing w:line="560" w:lineRule="exact"/>
        <w:ind w:left="0" w:leftChars="0" w:firstLine="300" w:firstLineChars="100"/>
        <w:rPr>
          <w:rFonts w:ascii="Times New Roman" w:hAnsi="仿宋_GB2312" w:eastAsia="仿宋_GB2312"/>
          <w:color w:val="000000"/>
          <w:sz w:val="30"/>
          <w:szCs w:val="30"/>
        </w:rPr>
      </w:pPr>
      <w:r>
        <w:rPr>
          <w:rFonts w:ascii="Times New Roman" w:hAnsi="仿宋_GB2312" w:eastAsia="仿宋_GB2312"/>
          <w:color w:val="000000"/>
          <w:sz w:val="30"/>
          <w:szCs w:val="30"/>
        </w:rPr>
        <w:t>（</w:t>
      </w:r>
      <w:r>
        <w:rPr>
          <w:rFonts w:hint="eastAsia" w:ascii="Times New Roman" w:hAnsi="仿宋_GB2312" w:eastAsia="仿宋_GB2312"/>
          <w:color w:val="000000"/>
          <w:sz w:val="30"/>
          <w:szCs w:val="30"/>
          <w:lang w:val="en-US" w:eastAsia="zh-CN"/>
        </w:rPr>
        <w:t>四</w:t>
      </w:r>
      <w:r>
        <w:rPr>
          <w:rFonts w:ascii="Times New Roman" w:hAnsi="仿宋_GB2312" w:eastAsia="仿宋_GB2312"/>
          <w:color w:val="000000"/>
          <w:sz w:val="30"/>
          <w:szCs w:val="30"/>
        </w:rPr>
        <w:t>）主要工作内容：</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1.编制项目监理规划；</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2.督促勘查单位做好开工准备；</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3.审查勘查单位提交的勘查工作方案文件；</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4.审查勘查单位提交的安全保障措施；</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5.签发开工令；</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6.检查勘查单位的安全安全保障措施落实情况；</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7.跟踪进度计划，监控工程进度；</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8.组织工地例会，并协调工程各方关系；</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9.进行工程计量，签署付款凭证；</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10.主持或参与工程质量事故的调查与处理；</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11.调解工程合同争议；</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12.提出工程质量评估报告；</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13.组织和参加工程验收；</w:t>
      </w:r>
    </w:p>
    <w:p>
      <w:pPr>
        <w:pStyle w:val="15"/>
        <w:adjustRightInd w:val="0"/>
        <w:spacing w:line="560" w:lineRule="exact"/>
        <w:ind w:firstLine="600"/>
        <w:rPr>
          <w:rFonts w:hint="eastAsia" w:ascii="Times New Roman" w:hAnsi="Times New Roman" w:eastAsia="仿宋_GB2312"/>
          <w:color w:val="000000"/>
          <w:sz w:val="30"/>
          <w:szCs w:val="30"/>
          <w:lang w:val="en-US" w:eastAsia="zh-CN"/>
        </w:rPr>
      </w:pPr>
      <w:r>
        <w:rPr>
          <w:rFonts w:hint="eastAsia" w:ascii="Times New Roman" w:hAnsi="Times New Roman" w:eastAsia="仿宋_GB2312"/>
          <w:color w:val="000000"/>
          <w:sz w:val="30"/>
          <w:szCs w:val="30"/>
          <w:lang w:val="en-US" w:eastAsia="zh-CN"/>
        </w:rPr>
        <w:t>14.向建设单位提交监理工作报告；</w:t>
      </w:r>
    </w:p>
    <w:p>
      <w:pPr>
        <w:pStyle w:val="15"/>
        <w:adjustRightInd w:val="0"/>
        <w:spacing w:line="560" w:lineRule="exact"/>
        <w:ind w:firstLine="600"/>
        <w:rPr>
          <w:rFonts w:ascii="Times New Roman" w:hAnsi="Times New Roman" w:eastAsia="仿宋_GB2312"/>
          <w:color w:val="000000"/>
          <w:sz w:val="30"/>
          <w:szCs w:val="30"/>
        </w:rPr>
      </w:pPr>
      <w:r>
        <w:rPr>
          <w:rFonts w:hint="eastAsia" w:ascii="Times New Roman" w:hAnsi="Times New Roman" w:eastAsia="仿宋_GB2312"/>
          <w:color w:val="000000"/>
          <w:sz w:val="30"/>
          <w:szCs w:val="30"/>
          <w:lang w:val="en-US" w:eastAsia="zh-CN"/>
        </w:rPr>
        <w:t>15.协助建设单位进行竣工结算。</w:t>
      </w:r>
      <w:r>
        <w:rPr>
          <w:rFonts w:ascii="Times New Roman" w:hAnsi="Times New Roman" w:eastAsia="仿宋_GB2312"/>
          <w:color w:val="000000"/>
          <w:sz w:val="30"/>
          <w:szCs w:val="30"/>
        </w:rPr>
        <w:t xml:space="preserve"> </w:t>
      </w:r>
    </w:p>
    <w:p>
      <w:pPr>
        <w:pStyle w:val="15"/>
        <w:adjustRightInd w:val="0"/>
        <w:spacing w:line="560" w:lineRule="exact"/>
        <w:ind w:left="0" w:leftChars="0" w:firstLine="300" w:firstLineChars="100"/>
        <w:rPr>
          <w:rFonts w:ascii="Times New Roman" w:hAnsi="Times New Roman" w:eastAsia="仿宋_GB2312"/>
          <w:color w:val="000000"/>
          <w:sz w:val="30"/>
          <w:szCs w:val="30"/>
        </w:rPr>
      </w:pPr>
      <w:r>
        <w:rPr>
          <w:rFonts w:ascii="Times New Roman" w:hAnsi="仿宋_GB2312" w:eastAsia="仿宋_GB2312"/>
          <w:color w:val="000000"/>
          <w:sz w:val="30"/>
          <w:szCs w:val="30"/>
        </w:rPr>
        <w:t>（</w:t>
      </w:r>
      <w:r>
        <w:rPr>
          <w:rFonts w:hint="eastAsia" w:ascii="Times New Roman" w:hAnsi="仿宋_GB2312" w:eastAsia="仿宋_GB2312"/>
          <w:color w:val="000000"/>
          <w:sz w:val="30"/>
          <w:szCs w:val="30"/>
          <w:lang w:val="en-US" w:eastAsia="zh-CN"/>
        </w:rPr>
        <w:t>五</w:t>
      </w:r>
      <w:r>
        <w:rPr>
          <w:rFonts w:ascii="Times New Roman" w:hAnsi="仿宋_GB2312" w:eastAsia="仿宋_GB2312"/>
          <w:color w:val="000000"/>
          <w:sz w:val="30"/>
          <w:szCs w:val="30"/>
        </w:rPr>
        <w:t>）费用预算</w:t>
      </w:r>
      <w:r>
        <w:rPr>
          <w:rFonts w:hint="eastAsia" w:ascii="Times New Roman" w:hAnsi="仿宋_GB2312" w:eastAsia="仿宋_GB2312"/>
          <w:color w:val="000000"/>
          <w:sz w:val="30"/>
          <w:szCs w:val="30"/>
          <w:lang w:eastAsia="zh-CN"/>
        </w:rPr>
        <w:t>：</w:t>
      </w:r>
      <w:r>
        <w:rPr>
          <w:rFonts w:ascii="Times New Roman" w:hAnsi="仿宋_GB2312" w:eastAsia="仿宋_GB2312"/>
          <w:color w:val="000000"/>
          <w:sz w:val="30"/>
          <w:szCs w:val="30"/>
        </w:rPr>
        <w:t>本项目费用预算</w:t>
      </w:r>
      <w:r>
        <w:rPr>
          <w:rFonts w:hint="eastAsia" w:ascii="Times New Roman" w:hAnsi="Times New Roman" w:eastAsia="仿宋_GB2312"/>
          <w:color w:val="000000"/>
          <w:sz w:val="30"/>
          <w:szCs w:val="30"/>
          <w:lang w:val="en-US" w:eastAsia="zh-CN"/>
        </w:rPr>
        <w:t>70</w:t>
      </w:r>
      <w:r>
        <w:rPr>
          <w:rFonts w:ascii="Times New Roman" w:hAnsi="仿宋_GB2312" w:eastAsia="仿宋_GB2312"/>
          <w:color w:val="000000"/>
          <w:sz w:val="30"/>
          <w:szCs w:val="30"/>
        </w:rPr>
        <w:t>万元，投标方报价不应高于此预算。</w:t>
      </w:r>
    </w:p>
    <w:p>
      <w:pPr>
        <w:pStyle w:val="15"/>
        <w:adjustRightInd w:val="0"/>
        <w:spacing w:line="560" w:lineRule="exact"/>
        <w:ind w:left="0" w:leftChars="0" w:firstLine="300" w:firstLineChars="100"/>
        <w:rPr>
          <w:rFonts w:ascii="Times New Roman" w:hAnsi="Times New Roman" w:eastAsia="仿宋_GB2312"/>
          <w:color w:val="000000"/>
          <w:sz w:val="30"/>
          <w:szCs w:val="30"/>
        </w:rPr>
      </w:pPr>
      <w:r>
        <w:rPr>
          <w:rFonts w:ascii="Times New Roman" w:hAnsi="仿宋_GB2312" w:eastAsia="仿宋_GB2312"/>
          <w:color w:val="000000"/>
          <w:sz w:val="30"/>
          <w:szCs w:val="30"/>
        </w:rPr>
        <w:t>（</w:t>
      </w:r>
      <w:r>
        <w:rPr>
          <w:rFonts w:hint="eastAsia" w:ascii="Times New Roman" w:hAnsi="仿宋_GB2312" w:eastAsia="仿宋_GB2312"/>
          <w:color w:val="000000"/>
          <w:sz w:val="30"/>
          <w:szCs w:val="30"/>
          <w:lang w:val="en-US" w:eastAsia="zh-CN"/>
        </w:rPr>
        <w:t>六</w:t>
      </w:r>
      <w:r>
        <w:rPr>
          <w:rFonts w:ascii="Times New Roman" w:hAnsi="仿宋_GB2312" w:eastAsia="仿宋_GB2312"/>
          <w:color w:val="000000"/>
          <w:sz w:val="30"/>
          <w:szCs w:val="30"/>
        </w:rPr>
        <w:t>）采购方式</w:t>
      </w:r>
      <w:r>
        <w:rPr>
          <w:rFonts w:hint="eastAsia" w:ascii="Times New Roman" w:hAnsi="仿宋_GB2312" w:eastAsia="仿宋_GB2312"/>
          <w:color w:val="000000"/>
          <w:sz w:val="30"/>
          <w:szCs w:val="30"/>
          <w:lang w:eastAsia="zh-CN"/>
        </w:rPr>
        <w:t>：</w:t>
      </w:r>
      <w:r>
        <w:rPr>
          <w:rFonts w:ascii="Times New Roman" w:hAnsi="仿宋_GB2312" w:eastAsia="仿宋_GB2312"/>
          <w:color w:val="000000"/>
          <w:sz w:val="30"/>
          <w:szCs w:val="30"/>
        </w:rPr>
        <w:t>采用</w:t>
      </w:r>
      <w:r>
        <w:rPr>
          <w:rFonts w:hint="eastAsia" w:ascii="Times New Roman" w:hAnsi="仿宋_GB2312" w:eastAsia="仿宋_GB2312"/>
          <w:color w:val="000000"/>
          <w:sz w:val="30"/>
          <w:szCs w:val="30"/>
          <w:lang w:val="en-US" w:eastAsia="zh-CN"/>
        </w:rPr>
        <w:t>单一来源</w:t>
      </w:r>
      <w:r>
        <w:rPr>
          <w:rFonts w:ascii="Times New Roman" w:hAnsi="仿宋_GB2312" w:eastAsia="仿宋_GB2312"/>
          <w:color w:val="000000"/>
          <w:sz w:val="30"/>
          <w:szCs w:val="30"/>
        </w:rPr>
        <w:t>方式采购。</w:t>
      </w:r>
    </w:p>
    <w:p>
      <w:pPr>
        <w:pStyle w:val="15"/>
        <w:numPr>
          <w:ilvl w:val="0"/>
          <w:numId w:val="1"/>
        </w:numPr>
        <w:spacing w:line="360" w:lineRule="auto"/>
        <w:ind w:firstLine="0" w:firstLineChars="0"/>
        <w:rPr>
          <w:rFonts w:hint="eastAsia" w:ascii="仿宋" w:hAnsi="仿宋" w:eastAsia="仿宋"/>
          <w:b/>
          <w:bCs/>
          <w:sz w:val="30"/>
          <w:szCs w:val="30"/>
        </w:rPr>
      </w:pPr>
      <w:r>
        <w:rPr>
          <w:rFonts w:hint="eastAsia" w:ascii="仿宋" w:hAnsi="仿宋" w:eastAsia="仿宋"/>
          <w:b/>
          <w:bCs/>
          <w:sz w:val="30"/>
          <w:szCs w:val="30"/>
        </w:rPr>
        <w:t>项目管理和服务要求</w:t>
      </w:r>
      <w:r>
        <w:rPr>
          <w:rFonts w:hint="eastAsia" w:ascii="仿宋" w:hAnsi="仿宋" w:eastAsia="仿宋"/>
          <w:b/>
          <w:bCs/>
          <w:sz w:val="30"/>
          <w:szCs w:val="30"/>
          <w:lang w:eastAsia="zh-CN"/>
        </w:rPr>
        <w:t>：</w:t>
      </w:r>
    </w:p>
    <w:p>
      <w:pPr>
        <w:pStyle w:val="15"/>
        <w:numPr>
          <w:ilvl w:val="0"/>
          <w:numId w:val="0"/>
        </w:numPr>
        <w:spacing w:line="360" w:lineRule="auto"/>
        <w:ind w:firstLine="300" w:firstLineChars="100"/>
        <w:rPr>
          <w:rFonts w:hint="eastAsia" w:ascii="仿宋" w:hAnsi="仿宋" w:eastAsia="仿宋"/>
          <w:sz w:val="30"/>
          <w:szCs w:val="30"/>
          <w:lang w:val="en-US" w:eastAsia="zh-CN"/>
        </w:rPr>
      </w:pPr>
      <w:r>
        <w:rPr>
          <w:rFonts w:hint="eastAsia" w:ascii="仿宋" w:hAnsi="仿宋" w:eastAsia="仿宋"/>
          <w:sz w:val="30"/>
          <w:szCs w:val="30"/>
          <w:lang w:val="en-US" w:eastAsia="zh-CN"/>
        </w:rPr>
        <w:t>（一）合同签订后一年内服务单位自行组织专业技术人员完成勘察（查）和监测过程中的相关监理工作。</w:t>
      </w:r>
    </w:p>
    <w:p>
      <w:pPr>
        <w:ind w:firstLine="300" w:firstLineChars="100"/>
        <w:jc w:val="left"/>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（二）成果要求</w:t>
      </w:r>
    </w:p>
    <w:p>
      <w:pPr>
        <w:numPr>
          <w:ilvl w:val="0"/>
          <w:numId w:val="0"/>
        </w:numPr>
        <w:ind w:firstLine="600" w:firstLineChars="200"/>
        <w:jc w:val="left"/>
        <w:rPr>
          <w:rFonts w:hint="default"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1.</w:t>
      </w:r>
      <w:r>
        <w:rPr>
          <w:rFonts w:hint="default" w:ascii="仿宋" w:hAnsi="仿宋" w:eastAsia="仿宋" w:cstheme="minorBidi"/>
          <w:kern w:val="2"/>
          <w:sz w:val="30"/>
          <w:szCs w:val="30"/>
          <w:lang w:val="en-US" w:eastAsia="zh-CN" w:bidi="ar-SA"/>
        </w:rPr>
        <w:t>签订监理合同后提供《监理规划》一式两份；</w:t>
      </w:r>
    </w:p>
    <w:p>
      <w:pPr>
        <w:numPr>
          <w:ilvl w:val="0"/>
          <w:numId w:val="0"/>
        </w:numPr>
        <w:ind w:firstLine="600" w:firstLineChars="200"/>
        <w:jc w:val="left"/>
        <w:rPr>
          <w:rFonts w:hint="default"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2.</w:t>
      </w:r>
      <w:r>
        <w:rPr>
          <w:rFonts w:hint="default" w:ascii="仿宋" w:hAnsi="仿宋" w:eastAsia="仿宋" w:cstheme="minorBidi"/>
          <w:kern w:val="2"/>
          <w:sz w:val="30"/>
          <w:szCs w:val="30"/>
          <w:lang w:val="en-US" w:eastAsia="zh-CN" w:bidi="ar-SA"/>
        </w:rPr>
        <w:t>每月5日前提交上月监理月报一式贰份；</w:t>
      </w:r>
    </w:p>
    <w:p>
      <w:pPr>
        <w:numPr>
          <w:ilvl w:val="0"/>
          <w:numId w:val="0"/>
        </w:numPr>
        <w:ind w:firstLine="600" w:firstLineChars="200"/>
        <w:jc w:val="left"/>
        <w:rPr>
          <w:rFonts w:hint="eastAsia" w:ascii="仿宋" w:hAnsi="仿宋" w:eastAsia="仿宋"/>
          <w:sz w:val="30"/>
          <w:szCs w:val="30"/>
          <w:lang w:val="en-US" w:eastAsia="zh-CN"/>
        </w:rPr>
      </w:pPr>
      <w:r>
        <w:rPr>
          <w:rFonts w:hint="eastAsia" w:ascii="仿宋" w:hAnsi="仿宋" w:eastAsia="仿宋" w:cstheme="minorBidi"/>
          <w:kern w:val="2"/>
          <w:sz w:val="30"/>
          <w:szCs w:val="30"/>
          <w:lang w:val="en-US" w:eastAsia="zh-CN" w:bidi="ar-SA"/>
        </w:rPr>
        <w:t>3.</w:t>
      </w:r>
      <w:r>
        <w:rPr>
          <w:rFonts w:hint="default" w:ascii="仿宋" w:hAnsi="仿宋" w:eastAsia="仿宋" w:cstheme="minorBidi"/>
          <w:kern w:val="2"/>
          <w:sz w:val="30"/>
          <w:szCs w:val="30"/>
          <w:lang w:val="en-US" w:eastAsia="zh-CN" w:bidi="ar-SA"/>
        </w:rPr>
        <w:t>专项会议后三个日历天内提交专项报告（实际时间以专项会议上约定为准）</w:t>
      </w:r>
      <w:r>
        <w:rPr>
          <w:rFonts w:hint="eastAsia" w:ascii="仿宋" w:hAnsi="仿宋" w:eastAsia="仿宋" w:cstheme="minorBidi"/>
          <w:kern w:val="2"/>
          <w:sz w:val="30"/>
          <w:szCs w:val="30"/>
          <w:lang w:val="en-US" w:eastAsia="zh-CN" w:bidi="ar-SA"/>
        </w:rPr>
        <w:t>。</w:t>
      </w:r>
    </w:p>
    <w:p>
      <w:pPr>
        <w:pStyle w:val="15"/>
        <w:spacing w:line="360" w:lineRule="auto"/>
        <w:ind w:firstLine="0" w:firstLineChars="0"/>
        <w:rPr>
          <w:rFonts w:hint="eastAsia" w:ascii="仿宋" w:hAnsi="仿宋" w:eastAsia="仿宋"/>
          <w:b/>
          <w:bCs/>
          <w:sz w:val="30"/>
          <w:szCs w:val="30"/>
        </w:rPr>
      </w:pPr>
      <w:r>
        <w:rPr>
          <w:rFonts w:hint="eastAsia" w:ascii="仿宋" w:hAnsi="仿宋" w:eastAsia="仿宋"/>
          <w:b/>
          <w:bCs/>
          <w:sz w:val="30"/>
          <w:szCs w:val="30"/>
        </w:rPr>
        <w:t>三、供应商资格要求</w:t>
      </w:r>
    </w:p>
    <w:p>
      <w:pPr>
        <w:pStyle w:val="15"/>
        <w:spacing w:line="360" w:lineRule="auto"/>
        <w:ind w:left="0" w:leftChars="0" w:firstLine="300" w:firstLineChars="100"/>
        <w:rPr>
          <w:rFonts w:hint="eastAsia" w:ascii="仿宋" w:hAnsi="仿宋" w:eastAsia="仿宋"/>
          <w:sz w:val="30"/>
          <w:szCs w:val="30"/>
          <w:lang w:val="en-US" w:eastAsia="zh-CN"/>
        </w:rPr>
      </w:pPr>
      <w:r>
        <w:rPr>
          <w:rFonts w:hint="eastAsia" w:ascii="仿宋" w:hAnsi="仿宋" w:eastAsia="仿宋"/>
          <w:sz w:val="30"/>
          <w:szCs w:val="30"/>
          <w:lang w:val="en-US" w:eastAsia="zh-CN"/>
        </w:rPr>
        <w:t>（一）具有独立法人资格（提供合法有效的营业执照原件扫描件）；</w:t>
      </w:r>
    </w:p>
    <w:p>
      <w:pPr>
        <w:pStyle w:val="15"/>
        <w:spacing w:line="360" w:lineRule="auto"/>
        <w:ind w:left="0" w:leftChars="0" w:firstLine="300" w:firstLineChars="100"/>
        <w:rPr>
          <w:rFonts w:hint="eastAsia" w:ascii="仿宋" w:hAnsi="仿宋" w:eastAsia="仿宋"/>
          <w:sz w:val="30"/>
          <w:szCs w:val="30"/>
          <w:lang w:val="en-US" w:eastAsia="zh-CN"/>
        </w:rPr>
      </w:pPr>
      <w:r>
        <w:rPr>
          <w:rFonts w:hint="eastAsia" w:ascii="仿宋" w:hAnsi="仿宋" w:eastAsia="仿宋"/>
          <w:sz w:val="30"/>
          <w:szCs w:val="30"/>
          <w:lang w:val="en-US" w:eastAsia="zh-CN"/>
        </w:rPr>
        <w:t>（二）住房和城乡建设部颁发的市政公用工程监理甲级资质；</w:t>
      </w:r>
    </w:p>
    <w:p>
      <w:pPr>
        <w:pStyle w:val="15"/>
        <w:spacing w:line="360" w:lineRule="auto"/>
        <w:ind w:left="0" w:leftChars="0" w:firstLine="300" w:firstLineChars="100"/>
        <w:rPr>
          <w:rFonts w:hint="eastAsia" w:ascii="仿宋" w:hAnsi="仿宋" w:eastAsia="仿宋"/>
          <w:sz w:val="30"/>
          <w:szCs w:val="30"/>
          <w:lang w:val="en-US" w:eastAsia="zh-CN"/>
        </w:rPr>
      </w:pPr>
      <w:r>
        <w:rPr>
          <w:rFonts w:hint="eastAsia" w:ascii="仿宋" w:hAnsi="仿宋" w:eastAsia="仿宋"/>
          <w:sz w:val="30"/>
          <w:szCs w:val="30"/>
          <w:lang w:val="en-US" w:eastAsia="zh-CN"/>
        </w:rPr>
        <w:t>（三）具有深圳政府采购注册供应商资格；</w:t>
      </w:r>
    </w:p>
    <w:p>
      <w:pPr>
        <w:pStyle w:val="15"/>
        <w:spacing w:line="360" w:lineRule="auto"/>
        <w:ind w:left="0" w:leftChars="0" w:firstLine="300" w:firstLineChars="100"/>
        <w:rPr>
          <w:rFonts w:hint="eastAsia" w:ascii="仿宋" w:hAnsi="仿宋" w:eastAsia="仿宋"/>
          <w:sz w:val="30"/>
          <w:szCs w:val="30"/>
        </w:rPr>
      </w:pPr>
      <w:r>
        <w:rPr>
          <w:rFonts w:hint="eastAsia" w:ascii="仿宋" w:hAnsi="仿宋" w:eastAsia="仿宋"/>
          <w:sz w:val="30"/>
          <w:szCs w:val="30"/>
          <w:lang w:val="en-US" w:eastAsia="zh-CN"/>
        </w:rPr>
        <w:t>（四）不接受联合体投标，不允许转包、分包。</w:t>
      </w:r>
    </w:p>
    <w:p>
      <w:pPr>
        <w:pStyle w:val="15"/>
        <w:spacing w:line="360" w:lineRule="auto"/>
        <w:ind w:firstLine="0" w:firstLineChars="0"/>
        <w:rPr>
          <w:rFonts w:hint="default" w:ascii="仿宋" w:hAnsi="仿宋" w:eastAsia="仿宋"/>
          <w:sz w:val="30"/>
          <w:szCs w:val="30"/>
          <w:lang w:val="en-US" w:eastAsia="zh-CN"/>
        </w:rPr>
      </w:pPr>
      <w:r>
        <w:rPr>
          <w:rFonts w:hint="eastAsia" w:ascii="仿宋" w:hAnsi="仿宋" w:eastAsia="仿宋"/>
          <w:b/>
          <w:bCs/>
          <w:sz w:val="30"/>
          <w:szCs w:val="30"/>
        </w:rPr>
        <w:t>四、评标定标方法</w:t>
      </w:r>
      <w:r>
        <w:rPr>
          <w:rFonts w:hint="eastAsia" w:ascii="仿宋" w:hAnsi="仿宋" w:eastAsia="仿宋"/>
          <w:b/>
          <w:bCs/>
          <w:sz w:val="30"/>
          <w:szCs w:val="30"/>
          <w:lang w:eastAsia="zh-CN"/>
        </w:rPr>
        <w:t>：</w:t>
      </w:r>
      <w:r>
        <w:rPr>
          <w:rFonts w:hint="eastAsia" w:ascii="仿宋" w:hAnsi="仿宋" w:eastAsia="仿宋"/>
          <w:sz w:val="30"/>
          <w:szCs w:val="30"/>
          <w:lang w:val="en-US" w:eastAsia="zh-CN"/>
        </w:rPr>
        <w:t>采用单一来源采购。</w:t>
      </w:r>
      <w:bookmarkStart w:id="0" w:name="_GoBack"/>
      <w:bookmarkEnd w:id="0"/>
    </w:p>
    <w:p>
      <w:pPr>
        <w:pStyle w:val="15"/>
        <w:spacing w:line="360" w:lineRule="auto"/>
        <w:ind w:firstLine="0" w:firstLineChars="0"/>
        <w:rPr>
          <w:rFonts w:ascii="仿宋" w:hAnsi="仿宋" w:eastAsia="仿宋"/>
          <w:b/>
          <w:bCs/>
          <w:sz w:val="30"/>
          <w:szCs w:val="30"/>
        </w:rPr>
      </w:pPr>
      <w:r>
        <w:rPr>
          <w:rFonts w:hint="eastAsia" w:ascii="仿宋" w:hAnsi="仿宋" w:eastAsia="仿宋"/>
          <w:b/>
          <w:bCs/>
          <w:sz w:val="30"/>
          <w:szCs w:val="30"/>
        </w:rPr>
        <w:t>五、商务需求</w:t>
      </w:r>
    </w:p>
    <w:p>
      <w:pPr>
        <w:pStyle w:val="15"/>
        <w:spacing w:line="360" w:lineRule="auto"/>
        <w:ind w:firstLine="300" w:firstLineChars="100"/>
        <w:rPr>
          <w:rFonts w:ascii="仿宋" w:hAnsi="仿宋" w:eastAsia="仿宋"/>
          <w:sz w:val="30"/>
          <w:szCs w:val="30"/>
        </w:rPr>
      </w:pPr>
      <w:r>
        <w:rPr>
          <w:rFonts w:hint="eastAsia" w:ascii="仿宋" w:hAnsi="仿宋" w:eastAsia="仿宋"/>
          <w:sz w:val="30"/>
          <w:szCs w:val="30"/>
        </w:rPr>
        <w:t>（一）服务期：</w:t>
      </w:r>
      <w:r>
        <w:rPr>
          <w:rFonts w:hint="eastAsia" w:ascii="仿宋" w:hAnsi="仿宋" w:eastAsia="仿宋"/>
          <w:sz w:val="30"/>
          <w:szCs w:val="30"/>
          <w:lang w:val="en-US" w:eastAsia="zh-CN"/>
        </w:rPr>
        <w:t>自合同签订之日起一年内</w:t>
      </w:r>
      <w:r>
        <w:rPr>
          <w:rFonts w:hint="eastAsia" w:ascii="仿宋" w:hAnsi="仿宋" w:eastAsia="仿宋"/>
          <w:sz w:val="30"/>
          <w:szCs w:val="30"/>
        </w:rPr>
        <w:t>。</w:t>
      </w:r>
    </w:p>
    <w:p>
      <w:pPr>
        <w:pStyle w:val="15"/>
        <w:spacing w:line="360" w:lineRule="auto"/>
        <w:ind w:firstLine="300" w:firstLineChars="100"/>
        <w:rPr>
          <w:rFonts w:ascii="仿宋" w:hAnsi="仿宋" w:eastAsia="仿宋"/>
          <w:sz w:val="30"/>
          <w:szCs w:val="30"/>
        </w:rPr>
      </w:pPr>
      <w:r>
        <w:rPr>
          <w:rFonts w:hint="eastAsia" w:ascii="仿宋" w:hAnsi="仿宋" w:eastAsia="仿宋"/>
          <w:sz w:val="30"/>
          <w:szCs w:val="30"/>
        </w:rPr>
        <w:t>（二）服务地点：</w:t>
      </w:r>
      <w:r>
        <w:rPr>
          <w:rFonts w:hint="eastAsia" w:ascii="仿宋" w:hAnsi="仿宋" w:eastAsia="仿宋"/>
          <w:sz w:val="30"/>
          <w:szCs w:val="30"/>
          <w:lang w:val="en-US" w:eastAsia="zh-CN"/>
        </w:rPr>
        <w:t>龙岗区</w:t>
      </w:r>
      <w:r>
        <w:rPr>
          <w:rFonts w:hint="eastAsia" w:ascii="仿宋" w:hAnsi="仿宋" w:eastAsia="仿宋"/>
          <w:sz w:val="30"/>
          <w:szCs w:val="30"/>
        </w:rPr>
        <w:t>。</w:t>
      </w:r>
    </w:p>
    <w:p>
      <w:pPr>
        <w:pStyle w:val="15"/>
        <w:spacing w:line="360" w:lineRule="auto"/>
        <w:ind w:firstLine="300" w:firstLineChars="100"/>
        <w:rPr>
          <w:rFonts w:ascii="仿宋" w:hAnsi="仿宋" w:eastAsia="仿宋"/>
          <w:sz w:val="30"/>
          <w:szCs w:val="30"/>
        </w:rPr>
      </w:pPr>
      <w:r>
        <w:rPr>
          <w:rFonts w:hint="eastAsia" w:ascii="仿宋" w:hAnsi="仿宋" w:eastAsia="仿宋"/>
          <w:sz w:val="30"/>
          <w:szCs w:val="30"/>
        </w:rPr>
        <w:t>（三）报价要求：</w:t>
      </w:r>
    </w:p>
    <w:p>
      <w:pPr>
        <w:pStyle w:val="15"/>
        <w:spacing w:line="360" w:lineRule="auto"/>
        <w:ind w:left="0" w:leftChars="0" w:firstLine="600" w:firstLineChars="200"/>
        <w:rPr>
          <w:rFonts w:hint="default" w:ascii="仿宋" w:hAnsi="仿宋" w:eastAsia="仿宋"/>
          <w:sz w:val="30"/>
          <w:szCs w:val="30"/>
          <w:lang w:val="en-US" w:eastAsia="zh-CN"/>
        </w:rPr>
      </w:pPr>
      <w:r>
        <w:rPr>
          <w:rFonts w:ascii="仿宋" w:hAnsi="仿宋" w:eastAsia="仿宋"/>
          <w:sz w:val="30"/>
          <w:szCs w:val="30"/>
        </w:rPr>
        <w:t>1.</w:t>
      </w:r>
      <w:r>
        <w:rPr>
          <w:rFonts w:hint="eastAsia" w:ascii="仿宋" w:hAnsi="仿宋" w:eastAsia="仿宋"/>
          <w:sz w:val="30"/>
          <w:szCs w:val="30"/>
          <w:lang w:val="en-US" w:eastAsia="zh-CN"/>
        </w:rPr>
        <w:t>本项目服务费按成果验收后龙园路区域勘察和监测实际费用结算监理费。</w:t>
      </w:r>
    </w:p>
    <w:p>
      <w:pPr>
        <w:pStyle w:val="15"/>
        <w:spacing w:line="360" w:lineRule="auto"/>
        <w:ind w:left="0" w:leftChars="0" w:firstLine="600" w:firstLineChars="200"/>
        <w:rPr>
          <w:rFonts w:ascii="仿宋" w:hAnsi="仿宋" w:eastAsia="仿宋"/>
          <w:sz w:val="30"/>
          <w:szCs w:val="30"/>
        </w:rPr>
      </w:pPr>
      <w:r>
        <w:rPr>
          <w:rFonts w:ascii="仿宋" w:hAnsi="仿宋" w:eastAsia="仿宋"/>
          <w:sz w:val="30"/>
          <w:szCs w:val="30"/>
        </w:rPr>
        <w:t>2.投标供应商应当根据本企业的成本自行决定报价，但不得以低于其</w:t>
      </w:r>
      <w:r>
        <w:rPr>
          <w:rFonts w:hint="eastAsia" w:ascii="仿宋" w:hAnsi="仿宋" w:eastAsia="仿宋"/>
          <w:sz w:val="30"/>
          <w:szCs w:val="30"/>
        </w:rPr>
        <w:t>企业成本的报价投标。</w:t>
      </w:r>
    </w:p>
    <w:p>
      <w:pPr>
        <w:pStyle w:val="15"/>
        <w:spacing w:line="360" w:lineRule="auto"/>
        <w:ind w:firstLine="600" w:firstLineChars="200"/>
        <w:rPr>
          <w:rFonts w:ascii="仿宋" w:hAnsi="仿宋" w:eastAsia="仿宋"/>
          <w:sz w:val="30"/>
          <w:szCs w:val="30"/>
        </w:rPr>
      </w:pPr>
      <w:r>
        <w:rPr>
          <w:rFonts w:ascii="仿宋" w:hAnsi="仿宋" w:eastAsia="仿宋"/>
          <w:sz w:val="30"/>
          <w:szCs w:val="30"/>
        </w:rPr>
        <w:t>3.投标供应商的报价不得超过项目预算金额。</w:t>
      </w:r>
    </w:p>
    <w:p>
      <w:pPr>
        <w:pStyle w:val="15"/>
        <w:spacing w:line="360" w:lineRule="auto"/>
        <w:ind w:firstLine="600" w:firstLineChars="200"/>
        <w:rPr>
          <w:rFonts w:ascii="仿宋" w:hAnsi="仿宋" w:eastAsia="仿宋"/>
          <w:sz w:val="30"/>
          <w:szCs w:val="30"/>
        </w:rPr>
      </w:pPr>
      <w:r>
        <w:rPr>
          <w:rFonts w:ascii="仿宋" w:hAnsi="仿宋" w:eastAsia="仿宋"/>
          <w:sz w:val="30"/>
          <w:szCs w:val="30"/>
        </w:rPr>
        <w:t>4.投标供应商的报价，应当是本项目采购范围和采购文件及合同条款上所列的各项内容中所述的全部，不得以任何理由予以重复。</w:t>
      </w:r>
    </w:p>
    <w:p>
      <w:pPr>
        <w:pStyle w:val="15"/>
        <w:spacing w:line="360" w:lineRule="auto"/>
        <w:ind w:firstLine="600" w:firstLineChars="200"/>
        <w:rPr>
          <w:rFonts w:ascii="仿宋" w:hAnsi="仿宋" w:eastAsia="仿宋"/>
          <w:sz w:val="30"/>
          <w:szCs w:val="30"/>
        </w:rPr>
      </w:pPr>
      <w:r>
        <w:rPr>
          <w:rFonts w:ascii="仿宋" w:hAnsi="仿宋" w:eastAsia="仿宋"/>
          <w:sz w:val="30"/>
          <w:szCs w:val="30"/>
        </w:rPr>
        <w:t>5.除非采购人通过修改采购文件予以更正，否则，投标供应商应毫无例外地按响应文件所列的清单</w:t>
      </w:r>
      <w:r>
        <w:rPr>
          <w:rFonts w:hint="eastAsia" w:ascii="仿宋" w:hAnsi="仿宋" w:eastAsia="仿宋"/>
          <w:sz w:val="30"/>
          <w:szCs w:val="30"/>
        </w:rPr>
        <w:t>中项目和数量填报综合单价和合价。投标供应商未填综合单价或合价的项目，在实施后，将不得以支付，并视作该项费用已包括在其它有价款的综合单价或合价内。</w:t>
      </w:r>
    </w:p>
    <w:p>
      <w:pPr>
        <w:pStyle w:val="15"/>
        <w:spacing w:line="360" w:lineRule="auto"/>
        <w:ind w:firstLine="600" w:firstLineChars="200"/>
        <w:rPr>
          <w:rFonts w:ascii="仿宋" w:hAnsi="仿宋" w:eastAsia="仿宋"/>
          <w:sz w:val="30"/>
          <w:szCs w:val="30"/>
        </w:rPr>
      </w:pPr>
      <w:r>
        <w:rPr>
          <w:rFonts w:ascii="仿宋" w:hAnsi="仿宋" w:eastAsia="仿宋"/>
          <w:sz w:val="30"/>
          <w:szCs w:val="30"/>
        </w:rPr>
        <w:t>6.投标供应商应先到项目地点踏勘以充分了解项目的位置、情况、道路及任何其它足以影响投标报价的情况，任何因忽视或误解项目情况而导致的索赔或服务期限延长申请将不获批准。</w:t>
      </w:r>
    </w:p>
    <w:p>
      <w:pPr>
        <w:pStyle w:val="15"/>
        <w:spacing w:line="360" w:lineRule="auto"/>
        <w:ind w:firstLine="600" w:firstLineChars="200"/>
        <w:rPr>
          <w:rFonts w:ascii="仿宋" w:hAnsi="仿宋" w:eastAsia="仿宋"/>
          <w:sz w:val="30"/>
          <w:szCs w:val="30"/>
        </w:rPr>
      </w:pPr>
      <w:r>
        <w:rPr>
          <w:rFonts w:ascii="仿宋" w:hAnsi="仿宋" w:eastAsia="仿宋"/>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pPr>
        <w:widowControl/>
        <w:spacing w:line="560" w:lineRule="exact"/>
        <w:ind w:firstLine="600" w:firstLineChars="200"/>
        <w:jc w:val="both"/>
        <w:rPr>
          <w:rFonts w:hint="default" w:ascii="仿宋" w:hAnsi="仿宋" w:eastAsia="仿宋_GB2312"/>
          <w:sz w:val="30"/>
          <w:szCs w:val="30"/>
          <w:lang w:val="en-US" w:eastAsia="zh-CN"/>
        </w:rPr>
      </w:pPr>
      <w:r>
        <w:rPr>
          <w:rFonts w:hint="eastAsia" w:ascii="仿宋" w:hAnsi="仿宋" w:eastAsia="仿宋"/>
          <w:sz w:val="30"/>
          <w:szCs w:val="30"/>
        </w:rPr>
        <w:t>（四）付款方式：付款方式分三期，首期款占总合同额的</w:t>
      </w:r>
      <w:r>
        <w:rPr>
          <w:rFonts w:hint="eastAsia" w:ascii="仿宋" w:hAnsi="仿宋" w:eastAsia="仿宋"/>
          <w:sz w:val="30"/>
          <w:szCs w:val="30"/>
          <w:lang w:val="en-US" w:eastAsia="zh-CN"/>
        </w:rPr>
        <w:t>4</w:t>
      </w:r>
      <w:r>
        <w:rPr>
          <w:rFonts w:hint="eastAsia" w:ascii="仿宋" w:hAnsi="仿宋" w:eastAsia="仿宋"/>
          <w:sz w:val="30"/>
          <w:szCs w:val="30"/>
        </w:rPr>
        <w:t>0%，于项目合同签订后10个工作日内由</w:t>
      </w:r>
      <w:r>
        <w:rPr>
          <w:rFonts w:hint="eastAsia" w:ascii="仿宋" w:hAnsi="仿宋" w:eastAsia="仿宋"/>
          <w:sz w:val="30"/>
          <w:szCs w:val="30"/>
          <w:lang w:val="en-US" w:eastAsia="zh-CN"/>
        </w:rPr>
        <w:t>中标方</w:t>
      </w:r>
      <w:r>
        <w:rPr>
          <w:rFonts w:hint="eastAsia" w:ascii="仿宋" w:hAnsi="仿宋" w:eastAsia="仿宋"/>
          <w:sz w:val="30"/>
          <w:szCs w:val="30"/>
        </w:rPr>
        <w:t>提出付款申请后，</w:t>
      </w:r>
      <w:r>
        <w:rPr>
          <w:rFonts w:hint="eastAsia" w:ascii="仿宋" w:hAnsi="仿宋" w:eastAsia="仿宋"/>
          <w:sz w:val="30"/>
          <w:szCs w:val="30"/>
          <w:lang w:val="en-US" w:eastAsia="zh-CN"/>
        </w:rPr>
        <w:t>采购方</w:t>
      </w:r>
      <w:r>
        <w:rPr>
          <w:rFonts w:hint="eastAsia" w:ascii="仿宋" w:hAnsi="仿宋" w:eastAsia="仿宋"/>
          <w:sz w:val="30"/>
          <w:szCs w:val="30"/>
        </w:rPr>
        <w:t>依据财政</w:t>
      </w:r>
      <w:r>
        <w:rPr>
          <w:rFonts w:hint="eastAsia" w:ascii="仿宋" w:hAnsi="仿宋" w:eastAsia="仿宋"/>
          <w:sz w:val="30"/>
          <w:szCs w:val="30"/>
          <w:lang w:val="en-US" w:eastAsia="zh-CN"/>
        </w:rPr>
        <w:t>部门当年</w:t>
      </w:r>
      <w:r>
        <w:rPr>
          <w:rFonts w:hint="eastAsia" w:ascii="仿宋" w:hAnsi="仿宋" w:eastAsia="仿宋"/>
          <w:sz w:val="30"/>
          <w:szCs w:val="30"/>
        </w:rPr>
        <w:t>资金安排开展付款工作；中期款占总合同额的</w:t>
      </w:r>
      <w:r>
        <w:rPr>
          <w:rFonts w:hint="eastAsia" w:ascii="仿宋" w:hAnsi="仿宋" w:eastAsia="仿宋"/>
          <w:sz w:val="30"/>
          <w:szCs w:val="30"/>
          <w:lang w:val="en-US" w:eastAsia="zh-CN"/>
        </w:rPr>
        <w:t>4</w:t>
      </w:r>
      <w:r>
        <w:rPr>
          <w:rFonts w:hint="eastAsia" w:ascii="仿宋" w:hAnsi="仿宋" w:eastAsia="仿宋"/>
          <w:sz w:val="30"/>
          <w:szCs w:val="30"/>
        </w:rPr>
        <w:t>0%，于中期成果通过深圳市规划和自然资源局龙岗管理局主管科室审查通过后10个工作日内由</w:t>
      </w:r>
      <w:r>
        <w:rPr>
          <w:rFonts w:hint="eastAsia" w:ascii="仿宋" w:hAnsi="仿宋" w:eastAsia="仿宋"/>
          <w:sz w:val="30"/>
          <w:szCs w:val="30"/>
          <w:lang w:val="en-US" w:eastAsia="zh-CN"/>
        </w:rPr>
        <w:t>中标方</w:t>
      </w:r>
      <w:r>
        <w:rPr>
          <w:rFonts w:hint="eastAsia" w:ascii="仿宋" w:hAnsi="仿宋" w:eastAsia="仿宋"/>
          <w:sz w:val="30"/>
          <w:szCs w:val="30"/>
        </w:rPr>
        <w:t>提出付款申请后，</w:t>
      </w:r>
      <w:r>
        <w:rPr>
          <w:rFonts w:hint="eastAsia" w:ascii="仿宋" w:hAnsi="仿宋" w:eastAsia="仿宋"/>
          <w:sz w:val="30"/>
          <w:szCs w:val="30"/>
          <w:lang w:val="en-US" w:eastAsia="zh-CN"/>
        </w:rPr>
        <w:t>采购方</w:t>
      </w:r>
      <w:r>
        <w:rPr>
          <w:rFonts w:hint="eastAsia" w:ascii="仿宋" w:hAnsi="仿宋" w:eastAsia="仿宋"/>
          <w:sz w:val="30"/>
          <w:szCs w:val="30"/>
        </w:rPr>
        <w:t>依据财政</w:t>
      </w:r>
      <w:r>
        <w:rPr>
          <w:rFonts w:hint="eastAsia" w:ascii="仿宋" w:hAnsi="仿宋" w:eastAsia="仿宋"/>
          <w:sz w:val="30"/>
          <w:szCs w:val="30"/>
          <w:lang w:val="en-US" w:eastAsia="zh-CN"/>
        </w:rPr>
        <w:t>部门当年</w:t>
      </w:r>
      <w:r>
        <w:rPr>
          <w:rFonts w:hint="eastAsia" w:ascii="仿宋" w:hAnsi="仿宋" w:eastAsia="仿宋"/>
          <w:sz w:val="30"/>
          <w:szCs w:val="30"/>
        </w:rPr>
        <w:t>资金安排开展付款工作；尾款占总合同额的</w:t>
      </w:r>
      <w:r>
        <w:rPr>
          <w:rFonts w:hint="eastAsia" w:ascii="仿宋" w:hAnsi="仿宋" w:eastAsia="仿宋"/>
          <w:sz w:val="30"/>
          <w:szCs w:val="30"/>
          <w:lang w:val="en-US" w:eastAsia="zh-CN"/>
        </w:rPr>
        <w:t>2</w:t>
      </w:r>
      <w:r>
        <w:rPr>
          <w:rFonts w:hint="eastAsia" w:ascii="仿宋" w:hAnsi="仿宋" w:eastAsia="仿宋"/>
          <w:sz w:val="30"/>
          <w:szCs w:val="30"/>
        </w:rPr>
        <w:t>0%，本项目将</w:t>
      </w:r>
      <w:r>
        <w:rPr>
          <w:rFonts w:hint="eastAsia" w:ascii="仿宋" w:hAnsi="仿宋" w:eastAsia="仿宋"/>
          <w:sz w:val="30"/>
          <w:szCs w:val="30"/>
          <w:lang w:val="en-US" w:eastAsia="zh-CN"/>
        </w:rPr>
        <w:t>全部</w:t>
      </w:r>
      <w:r>
        <w:rPr>
          <w:rFonts w:hint="eastAsia" w:ascii="仿宋" w:hAnsi="仿宋" w:eastAsia="仿宋"/>
          <w:sz w:val="30"/>
          <w:szCs w:val="30"/>
        </w:rPr>
        <w:t>成果提交深圳市规划和自然资源局龙岗管理局业务会审议通过，并经主管科室验收归档后10个工作日内由</w:t>
      </w:r>
      <w:r>
        <w:rPr>
          <w:rFonts w:hint="eastAsia" w:ascii="仿宋" w:hAnsi="仿宋" w:eastAsia="仿宋"/>
          <w:sz w:val="30"/>
          <w:szCs w:val="30"/>
          <w:lang w:val="en-US" w:eastAsia="zh-CN"/>
        </w:rPr>
        <w:t>中标</w:t>
      </w:r>
      <w:r>
        <w:rPr>
          <w:rFonts w:hint="eastAsia" w:ascii="仿宋" w:hAnsi="仿宋" w:eastAsia="仿宋"/>
          <w:sz w:val="30"/>
          <w:szCs w:val="30"/>
        </w:rPr>
        <w:t>方提出付款申请后，</w:t>
      </w:r>
      <w:r>
        <w:rPr>
          <w:rFonts w:hint="eastAsia" w:ascii="仿宋" w:hAnsi="仿宋" w:eastAsia="仿宋"/>
          <w:sz w:val="30"/>
          <w:szCs w:val="30"/>
          <w:lang w:val="en-US" w:eastAsia="zh-CN"/>
        </w:rPr>
        <w:t>采购方</w:t>
      </w:r>
      <w:r>
        <w:rPr>
          <w:rFonts w:hint="eastAsia" w:ascii="仿宋" w:hAnsi="仿宋" w:eastAsia="仿宋"/>
          <w:sz w:val="30"/>
          <w:szCs w:val="30"/>
        </w:rPr>
        <w:t>依据财政</w:t>
      </w:r>
      <w:r>
        <w:rPr>
          <w:rFonts w:hint="eastAsia" w:ascii="仿宋" w:hAnsi="仿宋" w:eastAsia="仿宋"/>
          <w:sz w:val="30"/>
          <w:szCs w:val="30"/>
          <w:lang w:val="en-US" w:eastAsia="zh-CN"/>
        </w:rPr>
        <w:t>部门当年</w:t>
      </w:r>
      <w:r>
        <w:rPr>
          <w:rFonts w:hint="eastAsia" w:ascii="仿宋" w:hAnsi="仿宋" w:eastAsia="仿宋"/>
          <w:sz w:val="30"/>
          <w:szCs w:val="30"/>
        </w:rPr>
        <w:t>资金安排开展付款工作</w:t>
      </w:r>
      <w:r>
        <w:rPr>
          <w:rFonts w:hint="eastAsia" w:ascii="仿宋" w:hAnsi="仿宋" w:eastAsia="仿宋"/>
          <w:sz w:val="30"/>
          <w:szCs w:val="30"/>
          <w:lang w:eastAsia="zh-CN"/>
        </w:rPr>
        <w:t>。</w:t>
      </w:r>
      <w:r>
        <w:rPr>
          <w:rFonts w:hint="eastAsia" w:eastAsia="仿宋_GB2312"/>
          <w:kern w:val="0"/>
          <w:sz w:val="28"/>
          <w:szCs w:val="28"/>
          <w:lang w:val="en-US" w:eastAsia="zh-CN"/>
        </w:rPr>
        <w:tab/>
      </w:r>
      <w:r>
        <w:rPr>
          <w:rFonts w:hint="eastAsia" w:eastAsia="仿宋_GB2312"/>
          <w:kern w:val="0"/>
          <w:sz w:val="28"/>
          <w:szCs w:val="28"/>
          <w:lang w:val="en-US" w:eastAsia="zh-CN"/>
        </w:rPr>
        <w:tab/>
      </w:r>
      <w:r>
        <w:rPr>
          <w:rFonts w:hint="eastAsia" w:eastAsia="仿宋_GB2312"/>
          <w:kern w:val="0"/>
          <w:sz w:val="28"/>
          <w:szCs w:val="28"/>
          <w:lang w:val="en-US" w:eastAsia="zh-CN"/>
        </w:rPr>
        <w:tab/>
      </w:r>
      <w:r>
        <w:rPr>
          <w:rFonts w:hint="eastAsia" w:eastAsia="仿宋_GB2312"/>
          <w:kern w:val="0"/>
          <w:sz w:val="28"/>
          <w:szCs w:val="28"/>
          <w:lang w:val="en-US" w:eastAsia="zh-CN"/>
        </w:rPr>
        <w:tab/>
      </w:r>
    </w:p>
    <w:p>
      <w:pPr>
        <w:pStyle w:val="15"/>
        <w:spacing w:line="360" w:lineRule="auto"/>
        <w:ind w:firstLine="300" w:firstLineChars="100"/>
        <w:rPr>
          <w:rFonts w:hint="default" w:ascii="仿宋" w:hAnsi="仿宋" w:eastAsia="仿宋"/>
          <w:sz w:val="30"/>
          <w:szCs w:val="30"/>
          <w:lang w:val="en-US" w:eastAsia="zh-CN"/>
        </w:rPr>
      </w:pPr>
      <w:r>
        <w:rPr>
          <w:rFonts w:hint="eastAsia" w:ascii="仿宋" w:hAnsi="仿宋" w:eastAsia="仿宋"/>
          <w:sz w:val="30"/>
          <w:szCs w:val="30"/>
        </w:rPr>
        <w:t>（五）履约担保金：</w:t>
      </w:r>
      <w:r>
        <w:rPr>
          <w:rFonts w:hint="eastAsia" w:ascii="仿宋" w:hAnsi="仿宋" w:eastAsia="仿宋"/>
          <w:sz w:val="30"/>
          <w:szCs w:val="30"/>
          <w:lang w:val="en-US" w:eastAsia="zh-CN"/>
        </w:rPr>
        <w:t>无需提供履约担保金。</w:t>
      </w:r>
    </w:p>
    <w:p>
      <w:pPr>
        <w:pStyle w:val="15"/>
        <w:spacing w:line="360" w:lineRule="auto"/>
        <w:ind w:firstLine="300" w:firstLineChars="100"/>
        <w:rPr>
          <w:rFonts w:hint="eastAsia" w:ascii="仿宋" w:hAnsi="仿宋" w:eastAsia="仿宋"/>
          <w:sz w:val="30"/>
          <w:szCs w:val="30"/>
        </w:rPr>
      </w:pPr>
      <w:r>
        <w:rPr>
          <w:rFonts w:hint="eastAsia" w:ascii="仿宋" w:hAnsi="仿宋" w:eastAsia="仿宋"/>
          <w:sz w:val="30"/>
          <w:szCs w:val="30"/>
        </w:rPr>
        <w:t>（六）违约责任：投标人应给出违约承诺，并提供完善的服务质量保障。</w:t>
      </w:r>
    </w:p>
    <w:p>
      <w:pPr>
        <w:pStyle w:val="15"/>
        <w:spacing w:line="360" w:lineRule="auto"/>
        <w:ind w:firstLine="300" w:firstLineChars="100"/>
        <w:rPr>
          <w:rFonts w:ascii="仿宋" w:hAnsi="仿宋" w:eastAsia="仿宋"/>
          <w:bCs/>
          <w:sz w:val="18"/>
          <w:szCs w:val="18"/>
        </w:rPr>
      </w:pPr>
      <w:r>
        <w:rPr>
          <w:rFonts w:hint="eastAsia" w:ascii="仿宋" w:hAnsi="仿宋" w:eastAsia="仿宋"/>
          <w:sz w:val="30"/>
          <w:szCs w:val="30"/>
        </w:rPr>
        <w:t>（七）其他：政府采购投标及履约承诺函（明确要求投标人必须签署，否则做废标处理）</w:t>
      </w:r>
      <w:r>
        <w:rPr>
          <w:rFonts w:hint="eastAsia" w:ascii="仿宋" w:hAnsi="仿宋" w:eastAsia="仿宋"/>
          <w:sz w:val="30"/>
          <w:szCs w:val="30"/>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634A78"/>
    <w:multiLevelType w:val="singleLevel"/>
    <w:tmpl w:val="97634A7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EF9"/>
    <w:rsid w:val="000019BB"/>
    <w:rsid w:val="00006B8D"/>
    <w:rsid w:val="00015D13"/>
    <w:rsid w:val="000234CB"/>
    <w:rsid w:val="0002736D"/>
    <w:rsid w:val="000539DC"/>
    <w:rsid w:val="00072D8B"/>
    <w:rsid w:val="00082732"/>
    <w:rsid w:val="00084AE1"/>
    <w:rsid w:val="000948F2"/>
    <w:rsid w:val="000A5BD8"/>
    <w:rsid w:val="000B26A8"/>
    <w:rsid w:val="000C22C7"/>
    <w:rsid w:val="000D4F2E"/>
    <w:rsid w:val="00110E3F"/>
    <w:rsid w:val="00130DC3"/>
    <w:rsid w:val="00136C4D"/>
    <w:rsid w:val="00145723"/>
    <w:rsid w:val="00172CD3"/>
    <w:rsid w:val="001A76C2"/>
    <w:rsid w:val="001B4E35"/>
    <w:rsid w:val="001C1809"/>
    <w:rsid w:val="001C7C8C"/>
    <w:rsid w:val="001E1432"/>
    <w:rsid w:val="001E3C2B"/>
    <w:rsid w:val="001F7751"/>
    <w:rsid w:val="001F7F98"/>
    <w:rsid w:val="00233619"/>
    <w:rsid w:val="00264661"/>
    <w:rsid w:val="00283607"/>
    <w:rsid w:val="00285CBD"/>
    <w:rsid w:val="00294BD5"/>
    <w:rsid w:val="002A35D2"/>
    <w:rsid w:val="002A4D8E"/>
    <w:rsid w:val="002A78BC"/>
    <w:rsid w:val="002C4F96"/>
    <w:rsid w:val="002D1E53"/>
    <w:rsid w:val="002D265F"/>
    <w:rsid w:val="00313CA4"/>
    <w:rsid w:val="00327C42"/>
    <w:rsid w:val="00366535"/>
    <w:rsid w:val="003755DE"/>
    <w:rsid w:val="00381B70"/>
    <w:rsid w:val="003856B2"/>
    <w:rsid w:val="003B68D7"/>
    <w:rsid w:val="003D475D"/>
    <w:rsid w:val="00412C07"/>
    <w:rsid w:val="00425B6B"/>
    <w:rsid w:val="00433EA6"/>
    <w:rsid w:val="00441648"/>
    <w:rsid w:val="0044337B"/>
    <w:rsid w:val="004447DB"/>
    <w:rsid w:val="00452101"/>
    <w:rsid w:val="00472478"/>
    <w:rsid w:val="004D233F"/>
    <w:rsid w:val="004D3484"/>
    <w:rsid w:val="004D64D8"/>
    <w:rsid w:val="004E11D3"/>
    <w:rsid w:val="004E2DA8"/>
    <w:rsid w:val="004F3EA9"/>
    <w:rsid w:val="00506FD6"/>
    <w:rsid w:val="00553285"/>
    <w:rsid w:val="00562644"/>
    <w:rsid w:val="00570B84"/>
    <w:rsid w:val="00574228"/>
    <w:rsid w:val="00581E86"/>
    <w:rsid w:val="005B359E"/>
    <w:rsid w:val="005C266C"/>
    <w:rsid w:val="005C7E46"/>
    <w:rsid w:val="005E3EF1"/>
    <w:rsid w:val="005F44A6"/>
    <w:rsid w:val="006005AF"/>
    <w:rsid w:val="00610F91"/>
    <w:rsid w:val="0062721B"/>
    <w:rsid w:val="00632C5B"/>
    <w:rsid w:val="006339B7"/>
    <w:rsid w:val="00633EFC"/>
    <w:rsid w:val="006359B1"/>
    <w:rsid w:val="0065752E"/>
    <w:rsid w:val="006638B0"/>
    <w:rsid w:val="00676039"/>
    <w:rsid w:val="006B1DA7"/>
    <w:rsid w:val="006C2FCB"/>
    <w:rsid w:val="006E082C"/>
    <w:rsid w:val="006F5F87"/>
    <w:rsid w:val="00717121"/>
    <w:rsid w:val="007332F0"/>
    <w:rsid w:val="007413CD"/>
    <w:rsid w:val="00752213"/>
    <w:rsid w:val="00760676"/>
    <w:rsid w:val="0077293C"/>
    <w:rsid w:val="00775D1E"/>
    <w:rsid w:val="00784822"/>
    <w:rsid w:val="0079316D"/>
    <w:rsid w:val="007C1BBF"/>
    <w:rsid w:val="00800CBD"/>
    <w:rsid w:val="00806E9B"/>
    <w:rsid w:val="00812A75"/>
    <w:rsid w:val="008554D7"/>
    <w:rsid w:val="008765F0"/>
    <w:rsid w:val="008810A1"/>
    <w:rsid w:val="00885513"/>
    <w:rsid w:val="008C4425"/>
    <w:rsid w:val="008D7A53"/>
    <w:rsid w:val="008F6562"/>
    <w:rsid w:val="00926816"/>
    <w:rsid w:val="0094082B"/>
    <w:rsid w:val="009644D1"/>
    <w:rsid w:val="00990B83"/>
    <w:rsid w:val="009A2036"/>
    <w:rsid w:val="009D1854"/>
    <w:rsid w:val="009D5EC6"/>
    <w:rsid w:val="009F3D41"/>
    <w:rsid w:val="00A03846"/>
    <w:rsid w:val="00A050BF"/>
    <w:rsid w:val="00A14498"/>
    <w:rsid w:val="00A27C28"/>
    <w:rsid w:val="00A37F78"/>
    <w:rsid w:val="00A449CE"/>
    <w:rsid w:val="00A53A40"/>
    <w:rsid w:val="00A8298E"/>
    <w:rsid w:val="00A95BD4"/>
    <w:rsid w:val="00AB0270"/>
    <w:rsid w:val="00AD24F5"/>
    <w:rsid w:val="00AD322B"/>
    <w:rsid w:val="00AD411E"/>
    <w:rsid w:val="00AD4AA0"/>
    <w:rsid w:val="00AD70E8"/>
    <w:rsid w:val="00AF0169"/>
    <w:rsid w:val="00AF3ACE"/>
    <w:rsid w:val="00B37C39"/>
    <w:rsid w:val="00B4358D"/>
    <w:rsid w:val="00B53EF9"/>
    <w:rsid w:val="00BA5931"/>
    <w:rsid w:val="00BC2E28"/>
    <w:rsid w:val="00BE0935"/>
    <w:rsid w:val="00C04F85"/>
    <w:rsid w:val="00C07689"/>
    <w:rsid w:val="00C12277"/>
    <w:rsid w:val="00C146AD"/>
    <w:rsid w:val="00C16519"/>
    <w:rsid w:val="00C271B8"/>
    <w:rsid w:val="00C27911"/>
    <w:rsid w:val="00C445F0"/>
    <w:rsid w:val="00C73A42"/>
    <w:rsid w:val="00C76F3E"/>
    <w:rsid w:val="00CB13D9"/>
    <w:rsid w:val="00CE4CC4"/>
    <w:rsid w:val="00CF0C60"/>
    <w:rsid w:val="00CF3A7B"/>
    <w:rsid w:val="00D00D80"/>
    <w:rsid w:val="00D11518"/>
    <w:rsid w:val="00D2449F"/>
    <w:rsid w:val="00D333E4"/>
    <w:rsid w:val="00D44657"/>
    <w:rsid w:val="00D47A10"/>
    <w:rsid w:val="00D576BC"/>
    <w:rsid w:val="00D60358"/>
    <w:rsid w:val="00D71D63"/>
    <w:rsid w:val="00D74AF8"/>
    <w:rsid w:val="00DB75D4"/>
    <w:rsid w:val="00DD3406"/>
    <w:rsid w:val="00DE4331"/>
    <w:rsid w:val="00E2683F"/>
    <w:rsid w:val="00E775D7"/>
    <w:rsid w:val="00E876A5"/>
    <w:rsid w:val="00EA3A6E"/>
    <w:rsid w:val="00EC3676"/>
    <w:rsid w:val="00EE2193"/>
    <w:rsid w:val="00EF1C98"/>
    <w:rsid w:val="00F36DCD"/>
    <w:rsid w:val="00F61E52"/>
    <w:rsid w:val="00F83B48"/>
    <w:rsid w:val="00F948FB"/>
    <w:rsid w:val="00FA51EF"/>
    <w:rsid w:val="00FD0F55"/>
    <w:rsid w:val="00FF5397"/>
    <w:rsid w:val="01A27FC3"/>
    <w:rsid w:val="046B7C8E"/>
    <w:rsid w:val="054E0788"/>
    <w:rsid w:val="078C6996"/>
    <w:rsid w:val="0B8C0695"/>
    <w:rsid w:val="11FE09A7"/>
    <w:rsid w:val="13A56CF7"/>
    <w:rsid w:val="16C1776F"/>
    <w:rsid w:val="178C71A3"/>
    <w:rsid w:val="1D191FAA"/>
    <w:rsid w:val="26651D90"/>
    <w:rsid w:val="27D96757"/>
    <w:rsid w:val="2BBC79FD"/>
    <w:rsid w:val="303E1D19"/>
    <w:rsid w:val="322F1469"/>
    <w:rsid w:val="357617E1"/>
    <w:rsid w:val="35A36E30"/>
    <w:rsid w:val="3B925BF9"/>
    <w:rsid w:val="418E748B"/>
    <w:rsid w:val="41F7613A"/>
    <w:rsid w:val="4385542C"/>
    <w:rsid w:val="51B77C0D"/>
    <w:rsid w:val="537A53AA"/>
    <w:rsid w:val="53AF6B98"/>
    <w:rsid w:val="57932301"/>
    <w:rsid w:val="583D5D53"/>
    <w:rsid w:val="58B52820"/>
    <w:rsid w:val="59261D2B"/>
    <w:rsid w:val="5CB12CF4"/>
    <w:rsid w:val="5ECF41E7"/>
    <w:rsid w:val="69B84C7D"/>
    <w:rsid w:val="69C774B6"/>
    <w:rsid w:val="704921A8"/>
    <w:rsid w:val="73EE3C04"/>
    <w:rsid w:val="74082F04"/>
    <w:rsid w:val="78CE4035"/>
    <w:rsid w:val="7D552B85"/>
    <w:rsid w:val="7D8F2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before="260" w:after="260" w:line="416" w:lineRule="auto"/>
      <w:jc w:val="both"/>
      <w:outlineLvl w:val="1"/>
    </w:pPr>
    <w:rPr>
      <w:rFonts w:ascii="Arial" w:hAnsi="Arial" w:eastAsia="黑体"/>
      <w:b/>
      <w:bCs/>
      <w:sz w:val="32"/>
      <w:szCs w:val="32"/>
    </w:rPr>
  </w:style>
  <w:style w:type="paragraph" w:styleId="3">
    <w:name w:val="heading 3"/>
    <w:basedOn w:val="1"/>
    <w:next w:val="1"/>
    <w:unhideWhenUsed/>
    <w:qFormat/>
    <w:uiPriority w:val="9"/>
    <w:pPr>
      <w:keepNext/>
      <w:keepLines/>
      <w:spacing w:before="260" w:after="260" w:line="416" w:lineRule="auto"/>
      <w:outlineLvl w:val="2"/>
    </w:pPr>
    <w:rPr>
      <w:rFonts w:ascii="Times New Roman" w:hAnsi="Times New Roman" w:eastAsia="华文楷体"/>
      <w:b/>
      <w:bCs/>
      <w:sz w:val="24"/>
      <w:szCs w:val="32"/>
    </w:rPr>
  </w:style>
  <w:style w:type="character" w:default="1" w:styleId="12">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4">
    <w:name w:val="annotation text"/>
    <w:basedOn w:val="1"/>
    <w:link w:val="16"/>
    <w:unhideWhenUsed/>
    <w:qFormat/>
    <w:uiPriority w:val="99"/>
    <w:pPr>
      <w:jc w:val="left"/>
    </w:pPr>
    <w:rPr>
      <w:rFonts w:ascii="Times New Roman" w:hAnsi="Times New Roman" w:eastAsia="宋体" w:cs="Times New Roman"/>
      <w:szCs w:val="20"/>
    </w:rPr>
  </w:style>
  <w:style w:type="paragraph" w:styleId="5">
    <w:name w:val="Plain Text"/>
    <w:basedOn w:val="1"/>
    <w:qFormat/>
    <w:uiPriority w:val="0"/>
    <w:rPr>
      <w:rFonts w:ascii="宋体" w:hAnsi="Courier New"/>
      <w:sz w:val="21"/>
      <w:szCs w:val="20"/>
    </w:rPr>
  </w:style>
  <w:style w:type="paragraph" w:styleId="6">
    <w:name w:val="Balloon Text"/>
    <w:basedOn w:val="1"/>
    <w:link w:val="20"/>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21"/>
    <w:unhideWhenUsed/>
    <w:qFormat/>
    <w:uiPriority w:val="99"/>
    <w:rPr>
      <w:rFonts w:asciiTheme="minorHAnsi" w:hAnsiTheme="minorHAnsi" w:eastAsiaTheme="minorEastAsia" w:cstheme="minorBidi"/>
      <w:b/>
      <w:bCs/>
      <w:szCs w:val="22"/>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3">
    <w:name w:val="Hyperlink"/>
    <w:qFormat/>
    <w:uiPriority w:val="0"/>
    <w:rPr>
      <w:color w:val="0000FF"/>
      <w:u w:val="single"/>
    </w:rPr>
  </w:style>
  <w:style w:type="character" w:styleId="14">
    <w:name w:val="annotation reference"/>
    <w:basedOn w:val="12"/>
    <w:unhideWhenUsed/>
    <w:qFormat/>
    <w:uiPriority w:val="99"/>
    <w:rPr>
      <w:sz w:val="21"/>
      <w:szCs w:val="21"/>
    </w:rPr>
  </w:style>
  <w:style w:type="paragraph" w:customStyle="1" w:styleId="15">
    <w:name w:val="List Paragraph"/>
    <w:basedOn w:val="1"/>
    <w:qFormat/>
    <w:uiPriority w:val="34"/>
    <w:pPr>
      <w:ind w:firstLine="420" w:firstLineChars="200"/>
    </w:pPr>
  </w:style>
  <w:style w:type="character" w:customStyle="1" w:styleId="16">
    <w:name w:val="批注文字 Char"/>
    <w:link w:val="4"/>
    <w:qFormat/>
    <w:uiPriority w:val="99"/>
    <w:rPr>
      <w:rFonts w:ascii="Times New Roman" w:hAnsi="Times New Roman" w:eastAsia="宋体" w:cs="Times New Roman"/>
      <w:szCs w:val="20"/>
    </w:rPr>
  </w:style>
  <w:style w:type="character" w:customStyle="1" w:styleId="17">
    <w:name w:val="批注文字 字符1"/>
    <w:basedOn w:val="12"/>
    <w:semiHidden/>
    <w:qFormat/>
    <w:uiPriority w:val="99"/>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99"/>
    <w:rPr>
      <w:sz w:val="18"/>
      <w:szCs w:val="18"/>
    </w:rPr>
  </w:style>
  <w:style w:type="character" w:customStyle="1" w:styleId="20">
    <w:name w:val="批注框文本 Char"/>
    <w:basedOn w:val="12"/>
    <w:link w:val="6"/>
    <w:semiHidden/>
    <w:qFormat/>
    <w:uiPriority w:val="99"/>
    <w:rPr>
      <w:sz w:val="18"/>
      <w:szCs w:val="18"/>
    </w:rPr>
  </w:style>
  <w:style w:type="character" w:customStyle="1" w:styleId="21">
    <w:name w:val="批注主题 Char"/>
    <w:basedOn w:val="16"/>
    <w:link w:val="9"/>
    <w:semiHidden/>
    <w:qFormat/>
    <w:uiPriority w:val="99"/>
    <w:rPr>
      <w:rFonts w:ascii="Times New Roman" w:hAnsi="Times New Roman" w:eastAsia="宋体" w:cs="Times New Roman"/>
      <w:b/>
      <w:bCs/>
      <w:szCs w:val="20"/>
    </w:rPr>
  </w:style>
  <w:style w:type="paragraph" w:customStyle="1" w:styleId="2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9DEEB4-5B2C-48FB-9E15-E2C6E0957E76}">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7</Pages>
  <Words>700</Words>
  <Characters>3995</Characters>
  <Lines>33</Lines>
  <Paragraphs>9</Paragraphs>
  <TotalTime>6</TotalTime>
  <ScaleCrop>false</ScaleCrop>
  <LinksUpToDate>false</LinksUpToDate>
  <CharactersWithSpaces>4686</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2013-03-29T05:20:00Z</dcterms:created>
  <dc:creator>周东晓</dc:creator>
  <cp:lastModifiedBy>null</cp:lastModifiedBy>
  <cp:lastPrinted>2021-06-09T11:13:00Z</cp:lastPrinted>
  <dcterms:modified xsi:type="dcterms:W3CDTF">2021-06-18T08:44:01Z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