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服务类项目采购需求模板</w:t>
      </w:r>
    </w:p>
    <w:p>
      <w:pPr>
        <w:pStyle w:val="11"/>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（自行采购）</w:t>
      </w:r>
    </w:p>
    <w:p>
      <w:pPr>
        <w:pStyle w:val="11"/>
        <w:spacing w:line="360" w:lineRule="auto"/>
        <w:ind w:firstLine="0" w:firstLineChars="0"/>
        <w:rPr>
          <w:rFonts w:ascii="仿宋" w:hAnsi="仿宋" w:eastAsia="仿宋"/>
          <w:b/>
          <w:bCs/>
          <w:sz w:val="30"/>
          <w:szCs w:val="30"/>
        </w:rPr>
      </w:pPr>
      <w:r>
        <w:rPr>
          <w:rFonts w:hint="eastAsia" w:ascii="仿宋" w:hAnsi="仿宋" w:eastAsia="仿宋"/>
          <w:b/>
          <w:bCs/>
          <w:sz w:val="30"/>
          <w:szCs w:val="30"/>
        </w:rPr>
        <w:t>一、采购项目概况</w:t>
      </w:r>
    </w:p>
    <w:p>
      <w:pPr>
        <w:pStyle w:val="11"/>
        <w:adjustRightInd w:val="0"/>
        <w:spacing w:line="560" w:lineRule="exact"/>
        <w:ind w:left="0" w:leftChars="0" w:firstLine="300" w:firstLineChars="100"/>
        <w:rPr>
          <w:rFonts w:ascii="Times New Roman" w:hAnsi="仿宋_GB2312" w:eastAsia="仿宋_GB2312"/>
          <w:color w:val="000000"/>
          <w:sz w:val="30"/>
          <w:szCs w:val="30"/>
        </w:rPr>
      </w:pPr>
      <w:r>
        <w:rPr>
          <w:rFonts w:ascii="Times New Roman" w:hAnsi="仿宋_GB2312" w:eastAsia="仿宋_GB2312"/>
          <w:color w:val="000000"/>
          <w:sz w:val="30"/>
          <w:szCs w:val="30"/>
        </w:rPr>
        <w:t>（一）项目名称：</w:t>
      </w:r>
      <w:r>
        <w:rPr>
          <w:rFonts w:hint="default" w:ascii="Times New Roman" w:hAnsi="仿宋_GB2312" w:eastAsia="仿宋_GB2312"/>
          <w:color w:val="000000"/>
          <w:sz w:val="30"/>
          <w:szCs w:val="30"/>
          <w:lang w:val="en-US" w:eastAsia="zh-CN"/>
        </w:rPr>
        <w:t>2021年龙岗区地质灾害安全警戒设施的制作设置及维护</w:t>
      </w:r>
      <w:r>
        <w:rPr>
          <w:rFonts w:hint="eastAsia" w:ascii="Times New Roman" w:hAnsi="仿宋_GB2312" w:eastAsia="仿宋_GB2312"/>
          <w:color w:val="000000"/>
          <w:sz w:val="30"/>
          <w:szCs w:val="30"/>
          <w:lang w:val="en-US" w:eastAsia="zh-CN"/>
        </w:rPr>
        <w:t>。</w:t>
      </w:r>
    </w:p>
    <w:p>
      <w:pPr>
        <w:pStyle w:val="11"/>
        <w:spacing w:line="360" w:lineRule="auto"/>
        <w:ind w:firstLine="300" w:firstLineChars="100"/>
        <w:rPr>
          <w:rFonts w:hint="eastAsia" w:ascii="Times New Roman" w:hAnsi="仿宋_GB2312" w:eastAsia="仿宋_GB2312"/>
          <w:color w:val="000000"/>
          <w:sz w:val="30"/>
          <w:szCs w:val="30"/>
          <w:lang w:val="en-US" w:eastAsia="zh-CN"/>
        </w:rPr>
      </w:pPr>
      <w:r>
        <w:rPr>
          <w:rFonts w:ascii="Times New Roman" w:hAnsi="仿宋_GB2312" w:eastAsia="仿宋_GB2312"/>
          <w:color w:val="000000"/>
          <w:sz w:val="30"/>
          <w:szCs w:val="30"/>
        </w:rPr>
        <w:t>（二）</w:t>
      </w:r>
      <w:r>
        <w:rPr>
          <w:rFonts w:hint="eastAsia" w:ascii="Times New Roman" w:hAnsi="仿宋_GB2312" w:eastAsia="仿宋_GB2312"/>
          <w:color w:val="000000"/>
          <w:sz w:val="30"/>
          <w:szCs w:val="30"/>
          <w:lang w:val="en-US" w:eastAsia="zh-CN"/>
        </w:rPr>
        <w:t>项目背景：通过设置警示标志对地质灾害隐患点周围居民及过往行人起到明显的警示效果，达到及时警示地质灾害、提高公众对地质灾害的认知及防御能力的目的，降低地质灾害对人员和经济造成的损失。</w:t>
      </w:r>
    </w:p>
    <w:p>
      <w:pPr>
        <w:pStyle w:val="11"/>
        <w:spacing w:line="360" w:lineRule="auto"/>
        <w:ind w:firstLine="300" w:firstLineChars="100"/>
        <w:rPr>
          <w:rFonts w:hint="eastAsia" w:ascii="Times New Roman" w:hAnsi="仿宋_GB2312" w:eastAsia="仿宋_GB2312"/>
          <w:color w:val="000000"/>
          <w:sz w:val="30"/>
          <w:szCs w:val="30"/>
          <w:lang w:val="en-US" w:eastAsia="zh-CN"/>
        </w:rPr>
      </w:pPr>
      <w:r>
        <w:rPr>
          <w:rFonts w:hint="eastAsia" w:ascii="仿宋" w:hAnsi="仿宋" w:eastAsia="仿宋"/>
          <w:sz w:val="30"/>
          <w:szCs w:val="30"/>
          <w:lang w:val="en-US" w:eastAsia="zh-CN"/>
        </w:rPr>
        <w:t>（三）立项依据：</w:t>
      </w:r>
      <w:r>
        <w:rPr>
          <w:rFonts w:hint="eastAsia" w:ascii="Times New Roman" w:hAnsi="仿宋_GB2312" w:eastAsia="仿宋_GB2312"/>
          <w:color w:val="000000"/>
          <w:sz w:val="30"/>
          <w:szCs w:val="30"/>
          <w:lang w:val="en-US" w:eastAsia="zh-CN"/>
        </w:rPr>
        <w:t>根据《国务院关于加强地质灾害防治工作的决定》（国发[2011]20号）、《深圳市地质灾害防治管理办法》和《印发深圳市贯彻落实国务院关于加强地质灾害防治工作决定重点工作分工方案的通知》（深府办函[2012]133号）及《广东省地质环境管理条例》第十四条规定“县级以上国土资源行政主管部门应当将地质灾害防治规划划定的地质灾害易发区、地质灾害危险区予以公布，并在地质灾害危险区边界设立明显的警示标志。”及《地质灾害防治条例》第十九条规定，对出现地质灾害前兆、可能造成人员伤亡或者重大财产损失的区域和地段，县级人民政府应当及时划定为地质灾害危险区，予以公告，并在地质灾害危险区的边界设置明显警示标志。地质灾害安全警戒设施的设置和维护是地质灾害预防中较为重要的一环，能及时提醒群众防灾意识和注意避让。</w:t>
      </w:r>
    </w:p>
    <w:p>
      <w:pPr>
        <w:pStyle w:val="11"/>
        <w:spacing w:line="360" w:lineRule="auto"/>
        <w:ind w:firstLine="300" w:firstLineChars="100"/>
        <w:rPr>
          <w:rFonts w:hint="eastAsia" w:ascii="Times New Roman" w:hAnsi="仿宋_GB2312" w:eastAsia="仿宋_GB2312"/>
          <w:color w:val="000000"/>
          <w:sz w:val="30"/>
          <w:szCs w:val="30"/>
          <w:lang w:val="en-US" w:eastAsia="zh-CN"/>
        </w:rPr>
      </w:pPr>
      <w:r>
        <w:rPr>
          <w:rFonts w:hint="eastAsia" w:ascii="Times New Roman" w:hAnsi="仿宋_GB2312" w:eastAsia="仿宋_GB2312"/>
          <w:color w:val="000000"/>
          <w:sz w:val="30"/>
          <w:szCs w:val="30"/>
          <w:lang w:val="en-US" w:eastAsia="zh-CN"/>
        </w:rPr>
        <w:t xml:space="preserve">（四）测算依据：1.取费依据：参考市场价格取费。2.项目计费：550元/个*800个=440000元。综上，本项目总费用为44万元。 </w:t>
      </w:r>
    </w:p>
    <w:p>
      <w:pPr>
        <w:pStyle w:val="11"/>
        <w:adjustRightInd w:val="0"/>
        <w:spacing w:line="560" w:lineRule="exact"/>
        <w:ind w:left="0" w:leftChars="0" w:firstLine="300" w:firstLineChars="100"/>
        <w:rPr>
          <w:rFonts w:ascii="Times New Roman" w:hAnsi="仿宋_GB2312"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五</w:t>
      </w:r>
      <w:r>
        <w:rPr>
          <w:rFonts w:ascii="Times New Roman" w:hAnsi="仿宋_GB2312" w:eastAsia="仿宋_GB2312"/>
          <w:color w:val="000000"/>
          <w:sz w:val="30"/>
          <w:szCs w:val="30"/>
        </w:rPr>
        <w:t>）主要工作内容：</w:t>
      </w:r>
    </w:p>
    <w:p>
      <w:pPr>
        <w:pStyle w:val="11"/>
        <w:adjustRightInd w:val="0"/>
        <w:spacing w:line="560" w:lineRule="exact"/>
        <w:ind w:left="0" w:leftChars="0" w:firstLine="600" w:firstLineChars="200"/>
        <w:rPr>
          <w:rFonts w:hint="eastAsia" w:ascii="Times New Roman" w:hAnsi="仿宋_GB2312" w:eastAsia="仿宋_GB2312"/>
          <w:color w:val="000000"/>
          <w:sz w:val="30"/>
          <w:szCs w:val="30"/>
          <w:lang w:eastAsia="zh-CN"/>
        </w:rPr>
      </w:pPr>
      <w:r>
        <w:rPr>
          <w:rFonts w:hint="eastAsia" w:ascii="Times New Roman" w:hAnsi="仿宋_GB2312" w:eastAsia="仿宋_GB2312"/>
          <w:color w:val="000000"/>
          <w:sz w:val="30"/>
          <w:szCs w:val="30"/>
        </w:rPr>
        <w:t>1</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lang w:val="en-US" w:eastAsia="zh-CN"/>
        </w:rPr>
        <w:t>从合同签订之日起</w:t>
      </w:r>
      <w:r>
        <w:rPr>
          <w:rFonts w:hint="eastAsia" w:ascii="Times New Roman" w:hAnsi="仿宋_GB2312" w:eastAsia="仿宋_GB2312"/>
          <w:color w:val="000000"/>
          <w:sz w:val="30"/>
          <w:szCs w:val="30"/>
        </w:rPr>
        <w:t>一年</w:t>
      </w:r>
      <w:r>
        <w:rPr>
          <w:rFonts w:hint="eastAsia" w:ascii="Times New Roman" w:hAnsi="仿宋_GB2312" w:eastAsia="仿宋_GB2312"/>
          <w:color w:val="000000"/>
          <w:sz w:val="30"/>
          <w:szCs w:val="30"/>
          <w:lang w:val="en-US" w:eastAsia="zh-CN"/>
        </w:rPr>
        <w:t>内</w:t>
      </w:r>
      <w:r>
        <w:rPr>
          <w:rFonts w:hint="eastAsia" w:ascii="Times New Roman" w:hAnsi="仿宋_GB2312" w:eastAsia="仿宋_GB2312"/>
          <w:color w:val="000000"/>
          <w:sz w:val="30"/>
          <w:szCs w:val="30"/>
        </w:rPr>
        <w:t>制作800块地质灾害警示牌</w:t>
      </w:r>
      <w:r>
        <w:rPr>
          <w:rFonts w:hint="eastAsia" w:ascii="Times New Roman" w:hAnsi="仿宋_GB2312" w:eastAsia="仿宋_GB2312"/>
          <w:color w:val="000000"/>
          <w:sz w:val="30"/>
          <w:szCs w:val="30"/>
          <w:lang w:eastAsia="zh-CN"/>
        </w:rPr>
        <w:t>；</w:t>
      </w:r>
    </w:p>
    <w:p>
      <w:pPr>
        <w:pStyle w:val="11"/>
        <w:adjustRightInd w:val="0"/>
        <w:spacing w:line="560" w:lineRule="exact"/>
        <w:ind w:left="0" w:leftChars="0" w:firstLine="600" w:firstLineChars="200"/>
        <w:rPr>
          <w:rFonts w:hint="eastAsia" w:ascii="Times New Roman" w:hAnsi="仿宋_GB2312" w:eastAsia="仿宋_GB2312"/>
          <w:color w:val="000000"/>
          <w:sz w:val="30"/>
          <w:szCs w:val="30"/>
        </w:rPr>
      </w:pPr>
      <w:r>
        <w:rPr>
          <w:rFonts w:hint="eastAsia" w:ascii="Times New Roman" w:hAnsi="仿宋_GB2312" w:eastAsia="仿宋_GB2312"/>
          <w:color w:val="000000"/>
          <w:sz w:val="30"/>
          <w:szCs w:val="30"/>
        </w:rPr>
        <w:t>2</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rPr>
        <w:t>每处</w:t>
      </w:r>
      <w:r>
        <w:rPr>
          <w:rFonts w:hint="eastAsia" w:ascii="Times New Roman" w:hAnsi="仿宋_GB2312" w:eastAsia="仿宋_GB2312"/>
          <w:color w:val="000000"/>
          <w:sz w:val="30"/>
          <w:szCs w:val="30"/>
          <w:lang w:val="en-US" w:eastAsia="zh-CN"/>
        </w:rPr>
        <w:t>地质灾害隐患点</w:t>
      </w:r>
      <w:r>
        <w:rPr>
          <w:rFonts w:hint="eastAsia" w:ascii="Times New Roman" w:hAnsi="仿宋_GB2312" w:eastAsia="仿宋_GB2312"/>
          <w:color w:val="000000"/>
          <w:sz w:val="30"/>
          <w:szCs w:val="30"/>
        </w:rPr>
        <w:t>长度超过100米的，在边坡的两端至少各安装</w:t>
      </w:r>
      <w:r>
        <w:rPr>
          <w:rFonts w:hint="eastAsia" w:ascii="Times New Roman" w:hAnsi="仿宋_GB2312" w:eastAsia="仿宋_GB2312"/>
          <w:color w:val="000000"/>
          <w:sz w:val="30"/>
          <w:szCs w:val="30"/>
          <w:lang w:val="en-US" w:eastAsia="zh-CN"/>
        </w:rPr>
        <w:t>1</w:t>
      </w:r>
      <w:r>
        <w:rPr>
          <w:rFonts w:hint="eastAsia" w:ascii="Times New Roman" w:hAnsi="仿宋_GB2312" w:eastAsia="仿宋_GB2312"/>
          <w:color w:val="000000"/>
          <w:sz w:val="30"/>
          <w:szCs w:val="30"/>
        </w:rPr>
        <w:t>块警示牌，其它特殊情况的边坡视情况增装警示牌；</w:t>
      </w:r>
    </w:p>
    <w:p>
      <w:pPr>
        <w:pStyle w:val="11"/>
        <w:adjustRightInd w:val="0"/>
        <w:spacing w:line="560" w:lineRule="exact"/>
        <w:ind w:left="0" w:leftChars="0" w:firstLine="600" w:firstLineChars="200"/>
        <w:rPr>
          <w:rFonts w:hint="eastAsia" w:ascii="Times New Roman" w:hAnsi="仿宋_GB2312" w:eastAsia="仿宋_GB2312"/>
          <w:color w:val="000000"/>
          <w:sz w:val="30"/>
          <w:szCs w:val="30"/>
          <w:lang w:eastAsia="zh-CN"/>
        </w:rPr>
      </w:pPr>
      <w:r>
        <w:rPr>
          <w:rFonts w:hint="eastAsia" w:ascii="Times New Roman" w:hAnsi="仿宋_GB2312" w:eastAsia="仿宋_GB2312"/>
          <w:color w:val="000000"/>
          <w:sz w:val="30"/>
          <w:szCs w:val="30"/>
          <w:lang w:val="en-US" w:eastAsia="zh-CN"/>
        </w:rPr>
        <w:t>3.</w:t>
      </w:r>
      <w:r>
        <w:rPr>
          <w:rFonts w:hint="eastAsia" w:ascii="Times New Roman" w:hAnsi="仿宋_GB2312" w:eastAsia="仿宋_GB2312"/>
          <w:color w:val="000000"/>
          <w:sz w:val="30"/>
          <w:szCs w:val="30"/>
        </w:rPr>
        <w:t>警示牌安装数量：中标单位负责安装50</w:t>
      </w:r>
      <w:r>
        <w:rPr>
          <w:rFonts w:hint="eastAsia" w:ascii="Times New Roman" w:hAnsi="仿宋_GB2312" w:eastAsia="仿宋_GB2312"/>
          <w:color w:val="000000"/>
          <w:sz w:val="30"/>
          <w:szCs w:val="30"/>
          <w:lang w:val="en-US" w:eastAsia="zh-CN"/>
        </w:rPr>
        <w:t>个地质灾害隐患点</w:t>
      </w:r>
      <w:r>
        <w:rPr>
          <w:rFonts w:hint="eastAsia" w:ascii="Times New Roman" w:hAnsi="仿宋_GB2312" w:eastAsia="仿宋_GB2312"/>
          <w:color w:val="000000"/>
          <w:sz w:val="30"/>
          <w:szCs w:val="30"/>
        </w:rPr>
        <w:t>，其余警示牌由各街道负责安装</w:t>
      </w:r>
      <w:r>
        <w:rPr>
          <w:rFonts w:hint="eastAsia" w:ascii="Times New Roman" w:hAnsi="仿宋_GB2312" w:eastAsia="仿宋_GB2312"/>
          <w:color w:val="000000"/>
          <w:sz w:val="30"/>
          <w:szCs w:val="30"/>
          <w:lang w:eastAsia="zh-CN"/>
        </w:rPr>
        <w:t>；</w:t>
      </w:r>
    </w:p>
    <w:p>
      <w:pPr>
        <w:pStyle w:val="11"/>
        <w:adjustRightInd w:val="0"/>
        <w:spacing w:line="560" w:lineRule="exact"/>
        <w:ind w:left="0" w:leftChars="0" w:firstLine="600" w:firstLineChars="200"/>
        <w:rPr>
          <w:rFonts w:hint="eastAsia" w:ascii="Times New Roman" w:hAnsi="仿宋_GB2312" w:eastAsia="仿宋_GB2312"/>
          <w:color w:val="000000"/>
          <w:sz w:val="30"/>
          <w:szCs w:val="30"/>
        </w:rPr>
      </w:pPr>
      <w:r>
        <w:rPr>
          <w:rFonts w:hint="eastAsia" w:ascii="Times New Roman" w:hAnsi="仿宋_GB2312" w:eastAsia="仿宋_GB2312"/>
          <w:color w:val="000000"/>
          <w:sz w:val="30"/>
          <w:szCs w:val="30"/>
          <w:lang w:val="en-US" w:eastAsia="zh-CN"/>
        </w:rPr>
        <w:t>4</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rPr>
        <w:t>警示牌维护期自警示牌全部安装1年内，维护期内警示牌如发生损坏、丢失、文字污损或模糊不清，中标单位接我局通知进行补装、更换或刷新维护；</w:t>
      </w:r>
    </w:p>
    <w:p>
      <w:pPr>
        <w:pStyle w:val="11"/>
        <w:adjustRightInd w:val="0"/>
        <w:spacing w:line="560" w:lineRule="exact"/>
        <w:ind w:left="0" w:leftChars="0" w:firstLine="600" w:firstLineChars="200"/>
        <w:rPr>
          <w:rFonts w:hint="eastAsia" w:ascii="Times New Roman" w:hAnsi="仿宋_GB2312" w:eastAsia="仿宋_GB2312"/>
          <w:color w:val="000000"/>
          <w:sz w:val="30"/>
          <w:szCs w:val="30"/>
        </w:rPr>
      </w:pPr>
      <w:r>
        <w:rPr>
          <w:rFonts w:hint="eastAsia" w:ascii="Times New Roman" w:hAnsi="仿宋_GB2312" w:eastAsia="仿宋_GB2312"/>
          <w:color w:val="000000"/>
          <w:sz w:val="30"/>
          <w:szCs w:val="30"/>
          <w:lang w:val="en-US" w:eastAsia="zh-CN"/>
        </w:rPr>
        <w:t>5</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rPr>
        <w:t>维护期内对已严重损坏、影响市容、市貌的警示牌进行全部清理更换；</w:t>
      </w:r>
    </w:p>
    <w:p>
      <w:pPr>
        <w:pStyle w:val="11"/>
        <w:adjustRightInd w:val="0"/>
        <w:spacing w:line="560" w:lineRule="exact"/>
        <w:ind w:left="0" w:leftChars="0" w:firstLine="600" w:firstLineChars="200"/>
        <w:rPr>
          <w:rFonts w:ascii="Times New Roman" w:hAnsi="仿宋_GB2312" w:eastAsia="仿宋_GB2312"/>
          <w:color w:val="000000"/>
          <w:sz w:val="30"/>
          <w:szCs w:val="30"/>
        </w:rPr>
      </w:pPr>
      <w:r>
        <w:rPr>
          <w:rFonts w:hint="eastAsia" w:ascii="Times New Roman" w:hAnsi="仿宋_GB2312" w:eastAsia="仿宋_GB2312"/>
          <w:color w:val="000000"/>
          <w:sz w:val="30"/>
          <w:szCs w:val="30"/>
          <w:lang w:val="en-US" w:eastAsia="zh-CN"/>
        </w:rPr>
        <w:t>6</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rPr>
        <w:t>对</w:t>
      </w:r>
      <w:r>
        <w:rPr>
          <w:rFonts w:hint="eastAsia" w:ascii="Times New Roman" w:hAnsi="仿宋_GB2312" w:eastAsia="仿宋_GB2312"/>
          <w:color w:val="000000"/>
          <w:sz w:val="30"/>
          <w:szCs w:val="30"/>
          <w:lang w:val="en-US" w:eastAsia="zh-CN"/>
        </w:rPr>
        <w:t>合同期限内</w:t>
      </w:r>
      <w:r>
        <w:rPr>
          <w:rFonts w:hint="eastAsia" w:ascii="Times New Roman" w:hAnsi="仿宋_GB2312" w:eastAsia="仿宋_GB2312"/>
          <w:color w:val="000000"/>
          <w:sz w:val="30"/>
          <w:szCs w:val="30"/>
        </w:rPr>
        <w:t>安装的警示牌进行定期巡查并全程维护。</w:t>
      </w:r>
    </w:p>
    <w:p>
      <w:pPr>
        <w:pStyle w:val="11"/>
        <w:adjustRightInd w:val="0"/>
        <w:spacing w:line="560" w:lineRule="exact"/>
        <w:ind w:left="0" w:leftChars="0" w:firstLine="300" w:firstLineChars="100"/>
        <w:rPr>
          <w:rFonts w:ascii="Times New Roman" w:hAnsi="Times New Roman"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六</w:t>
      </w:r>
      <w:r>
        <w:rPr>
          <w:rFonts w:ascii="Times New Roman" w:hAnsi="仿宋_GB2312" w:eastAsia="仿宋_GB2312"/>
          <w:color w:val="000000"/>
          <w:sz w:val="30"/>
          <w:szCs w:val="30"/>
        </w:rPr>
        <w:t>）费用预算</w:t>
      </w:r>
      <w:r>
        <w:rPr>
          <w:rFonts w:hint="eastAsia" w:ascii="Times New Roman" w:hAnsi="仿宋_GB2312" w:eastAsia="仿宋_GB2312"/>
          <w:color w:val="000000"/>
          <w:sz w:val="30"/>
          <w:szCs w:val="30"/>
          <w:lang w:eastAsia="zh-CN"/>
        </w:rPr>
        <w:t>：</w:t>
      </w:r>
      <w:r>
        <w:rPr>
          <w:rFonts w:ascii="Times New Roman" w:hAnsi="仿宋_GB2312" w:eastAsia="仿宋_GB2312"/>
          <w:color w:val="000000"/>
          <w:sz w:val="30"/>
          <w:szCs w:val="30"/>
        </w:rPr>
        <w:t>本项目费用预算</w:t>
      </w:r>
      <w:r>
        <w:rPr>
          <w:rFonts w:hint="eastAsia" w:ascii="Times New Roman" w:hAnsi="Times New Roman" w:eastAsia="仿宋_GB2312"/>
          <w:color w:val="000000"/>
          <w:sz w:val="30"/>
          <w:szCs w:val="30"/>
          <w:lang w:val="en-US" w:eastAsia="zh-CN"/>
        </w:rPr>
        <w:t>44</w:t>
      </w:r>
      <w:r>
        <w:rPr>
          <w:rFonts w:ascii="Times New Roman" w:hAnsi="仿宋_GB2312" w:eastAsia="仿宋_GB2312"/>
          <w:color w:val="000000"/>
          <w:sz w:val="30"/>
          <w:szCs w:val="30"/>
        </w:rPr>
        <w:t>万元，投标方报价不应高于此预算。</w:t>
      </w:r>
    </w:p>
    <w:p>
      <w:pPr>
        <w:pStyle w:val="11"/>
        <w:adjustRightInd w:val="0"/>
        <w:spacing w:line="560" w:lineRule="exact"/>
        <w:ind w:left="0" w:leftChars="0" w:firstLine="300" w:firstLineChars="100"/>
        <w:rPr>
          <w:rFonts w:ascii="Times New Roman" w:hAnsi="Times New Roman"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七</w:t>
      </w:r>
      <w:r>
        <w:rPr>
          <w:rFonts w:ascii="Times New Roman" w:hAnsi="仿宋_GB2312" w:eastAsia="仿宋_GB2312"/>
          <w:color w:val="000000"/>
          <w:sz w:val="30"/>
          <w:szCs w:val="30"/>
        </w:rPr>
        <w:t>）采购方式</w:t>
      </w:r>
      <w:r>
        <w:rPr>
          <w:rFonts w:hint="eastAsia" w:ascii="Times New Roman" w:hAnsi="仿宋_GB2312" w:eastAsia="仿宋_GB2312"/>
          <w:color w:val="000000"/>
          <w:sz w:val="30"/>
          <w:szCs w:val="30"/>
          <w:lang w:eastAsia="zh-CN"/>
        </w:rPr>
        <w:t>：</w:t>
      </w:r>
      <w:r>
        <w:rPr>
          <w:rFonts w:ascii="Times New Roman" w:hAnsi="仿宋_GB2312" w:eastAsia="仿宋_GB2312"/>
          <w:color w:val="000000"/>
          <w:sz w:val="30"/>
          <w:szCs w:val="30"/>
        </w:rPr>
        <w:t>采用</w:t>
      </w:r>
      <w:r>
        <w:rPr>
          <w:rFonts w:hint="eastAsia" w:ascii="Times New Roman" w:hAnsi="仿宋_GB2312" w:eastAsia="仿宋_GB2312"/>
          <w:color w:val="000000"/>
          <w:sz w:val="30"/>
          <w:szCs w:val="30"/>
          <w:lang w:val="en-US" w:eastAsia="zh-CN"/>
        </w:rPr>
        <w:t>公开招标</w:t>
      </w:r>
      <w:r>
        <w:rPr>
          <w:rFonts w:ascii="Times New Roman" w:hAnsi="仿宋_GB2312" w:eastAsia="仿宋_GB2312"/>
          <w:color w:val="000000"/>
          <w:sz w:val="30"/>
          <w:szCs w:val="30"/>
        </w:rPr>
        <w:t>方式采购。</w:t>
      </w:r>
    </w:p>
    <w:p>
      <w:pPr>
        <w:pStyle w:val="11"/>
        <w:numPr>
          <w:ilvl w:val="0"/>
          <w:numId w:val="1"/>
        </w:numPr>
        <w:spacing w:line="360" w:lineRule="auto"/>
        <w:ind w:firstLine="0" w:firstLineChars="0"/>
        <w:rPr>
          <w:rFonts w:hint="eastAsia" w:ascii="仿宋" w:hAnsi="仿宋" w:eastAsia="仿宋"/>
          <w:b/>
          <w:bCs/>
          <w:sz w:val="30"/>
          <w:szCs w:val="30"/>
        </w:rPr>
      </w:pPr>
      <w:r>
        <w:rPr>
          <w:rFonts w:hint="eastAsia" w:ascii="仿宋" w:hAnsi="仿宋" w:eastAsia="仿宋"/>
          <w:b/>
          <w:bCs/>
          <w:sz w:val="30"/>
          <w:szCs w:val="30"/>
        </w:rPr>
        <w:t>项目管理和服务要求</w:t>
      </w:r>
      <w:r>
        <w:rPr>
          <w:rFonts w:hint="eastAsia" w:ascii="仿宋" w:hAnsi="仿宋" w:eastAsia="仿宋"/>
          <w:b/>
          <w:bCs/>
          <w:sz w:val="30"/>
          <w:szCs w:val="30"/>
          <w:lang w:eastAsia="zh-CN"/>
        </w:rPr>
        <w:t>：</w:t>
      </w:r>
    </w:p>
    <w:p>
      <w:pPr>
        <w:pStyle w:val="11"/>
        <w:adjustRightInd w:val="0"/>
        <w:spacing w:line="560" w:lineRule="exact"/>
        <w:ind w:left="0" w:leftChars="0" w:firstLine="300" w:firstLineChars="100"/>
        <w:rPr>
          <w:rFonts w:hint="eastAsia" w:ascii="Times New Roman" w:hAnsi="仿宋_GB2312" w:eastAsia="仿宋_GB2312"/>
          <w:color w:val="000000"/>
          <w:sz w:val="30"/>
          <w:szCs w:val="30"/>
        </w:rPr>
      </w:pP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lang w:val="en-US" w:eastAsia="zh-CN"/>
        </w:rPr>
        <w:t>一</w:t>
      </w:r>
      <w:r>
        <w:rPr>
          <w:rFonts w:hint="eastAsia" w:ascii="Times New Roman" w:hAnsi="仿宋_GB2312" w:eastAsia="仿宋_GB2312"/>
          <w:color w:val="000000"/>
          <w:sz w:val="30"/>
          <w:szCs w:val="30"/>
          <w:lang w:eastAsia="zh-CN"/>
        </w:rPr>
        <w:t>）</w:t>
      </w:r>
      <w:r>
        <w:rPr>
          <w:rFonts w:hint="eastAsia" w:ascii="Times New Roman" w:hAnsi="仿宋_GB2312" w:eastAsia="仿宋_GB2312"/>
          <w:color w:val="000000"/>
          <w:sz w:val="30"/>
          <w:szCs w:val="30"/>
          <w:lang w:val="en-US" w:eastAsia="zh-CN"/>
        </w:rPr>
        <w:t>项目管理</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1.中标单位应成立项目组，具体负责本项目的实施、管理等工作，项目组基本工作人员必须提供近个人社保清单证明。中标单位需为项目组基本工作人员购买意外保险。</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2.中标方在警示牌安装阶段初期应向采购方报告，采购方派出工作人员到现场作指导和监督；</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3.本项目所需车辆、司机</w:t>
      </w:r>
      <w:bookmarkStart w:id="17" w:name="_GoBack"/>
      <w:bookmarkEnd w:id="17"/>
      <w:r>
        <w:rPr>
          <w:rFonts w:hint="eastAsia" w:ascii="仿宋" w:hAnsi="仿宋" w:eastAsia="仿宋"/>
          <w:sz w:val="30"/>
          <w:szCs w:val="30"/>
          <w:lang w:val="en-US" w:eastAsia="zh-CN"/>
        </w:rPr>
        <w:t>等均由中标方提供，采购方不再额外支付任何费用。</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4.中标方中标后在约定的日期内提交工作方案，采购方对工作方案进行审定，中标方按照采购方的修改意见在约定的日期内对方案进行完善定稿。</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5.采购方负责组织对中标方交付的报告、成果、文件进行检查验收。</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6.采购方可根据项目需要要求中标方提供各类专项材料质检合格报告，所需费用包含在合同总价内，不再另付费用。</w:t>
      </w:r>
    </w:p>
    <w:p>
      <w:pPr>
        <w:pStyle w:val="11"/>
        <w:spacing w:line="360" w:lineRule="auto"/>
        <w:ind w:left="0" w:leftChars="0" w:firstLine="300" w:firstLineChars="100"/>
        <w:rPr>
          <w:rFonts w:hint="default" w:ascii="仿宋" w:hAnsi="仿宋" w:eastAsia="仿宋"/>
          <w:sz w:val="30"/>
          <w:szCs w:val="30"/>
          <w:lang w:val="en-US" w:eastAsia="zh-CN"/>
        </w:rPr>
      </w:pPr>
      <w:r>
        <w:rPr>
          <w:rFonts w:hint="eastAsia" w:ascii="仿宋" w:hAnsi="仿宋" w:eastAsia="仿宋"/>
          <w:sz w:val="30"/>
          <w:szCs w:val="30"/>
          <w:lang w:val="en-US" w:eastAsia="zh-CN"/>
        </w:rPr>
        <w:t>（二）服务要求</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1.警示牌标示范围：对经辖区人民政府认定的地质灾害危险区，应设置地质灾害危险区警示牌；对登记在册的地质灾害隐患点，应设置地质灾害隐患点警示牌。</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2.警示牌标示内容：警示牌的标示内容分成两部分，最上方标示警示语，如“斜坡危险、请勿靠近”、“地质灾害危险区 请注意安全”等；最下方为制作单位和时间。也可以根据实际情况，在警示牌上增加其它标示内容，如撤离路线、避险场所等。</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3.警示牌尺寸规格：警示牌的材质应尽量满足防风、防雨、防晒、防腐和防盗等需要，宜选用水泥预制板、不锈钢或其它新材料，最小规格为长100厘米×宽70厘米，厚度根据材质性能确定。颜色为白底红字。市政警示牌最上方的警示语用大号加粗字体，中下方的标示内容用适当标准的宋体字。警示牌用支架固定后埋入土中，并用水泥混凝土铺设基座。警示牌距离地面高度控制在1.5-2米之间。</w:t>
      </w:r>
    </w:p>
    <w:p>
      <w:pPr>
        <w:pStyle w:val="11"/>
        <w:spacing w:line="360" w:lineRule="auto"/>
        <w:rPr>
          <w:rFonts w:hint="eastAsia" w:ascii="仿宋" w:hAnsi="仿宋" w:eastAsia="仿宋"/>
          <w:sz w:val="30"/>
          <w:szCs w:val="30"/>
          <w:lang w:val="en-US" w:eastAsia="zh-CN"/>
        </w:rPr>
      </w:pPr>
      <w:r>
        <w:rPr>
          <w:rFonts w:hint="eastAsia" w:ascii="仿宋" w:hAnsi="仿宋" w:eastAsia="仿宋"/>
          <w:sz w:val="30"/>
          <w:szCs w:val="30"/>
          <w:lang w:val="en-US" w:eastAsia="zh-CN"/>
        </w:rPr>
        <w:t>4.警示牌安装：根据采购方指定地点，浇灌水泥施工安装。</w:t>
      </w:r>
    </w:p>
    <w:p>
      <w:pPr>
        <w:pStyle w:val="11"/>
        <w:spacing w:line="360" w:lineRule="auto"/>
        <w:ind w:left="0" w:leftChars="0"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5.警示牌龙岗区辖区安装范围：具体安装区域中标后由招标人现场指定。</w:t>
      </w:r>
    </w:p>
    <w:p>
      <w:pPr>
        <w:pStyle w:val="11"/>
        <w:spacing w:line="360" w:lineRule="auto"/>
        <w:ind w:firstLine="0" w:firstLineChars="0"/>
        <w:rPr>
          <w:rFonts w:hint="eastAsia" w:ascii="仿宋" w:hAnsi="仿宋" w:eastAsia="仿宋"/>
          <w:b/>
          <w:bCs/>
          <w:sz w:val="30"/>
          <w:szCs w:val="30"/>
        </w:rPr>
      </w:pPr>
      <w:r>
        <w:rPr>
          <w:rFonts w:hint="eastAsia" w:ascii="仿宋" w:hAnsi="仿宋" w:eastAsia="仿宋"/>
          <w:b/>
          <w:bCs/>
          <w:sz w:val="30"/>
          <w:szCs w:val="30"/>
        </w:rPr>
        <w:t>三、供应商资格要求</w:t>
      </w:r>
    </w:p>
    <w:p>
      <w:pPr>
        <w:pStyle w:val="11"/>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（一）在中华人民共和国境内注册的有合法经营资格的国内独立法人（营业执照中具有相关经营范围）；</w:t>
      </w:r>
    </w:p>
    <w:p>
      <w:pPr>
        <w:pStyle w:val="11"/>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（二）具有市政公共设施建设资质（具体指：市政公用工程施工总承包三级（或以上）资质）。</w:t>
      </w:r>
    </w:p>
    <w:p>
      <w:pPr>
        <w:pStyle w:val="11"/>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（三）本项目不接受联合体投标，不允许分包。</w:t>
      </w:r>
    </w:p>
    <w:p>
      <w:pPr>
        <w:pStyle w:val="11"/>
        <w:spacing w:line="360" w:lineRule="auto"/>
        <w:ind w:left="0" w:leftChars="0" w:firstLine="0" w:firstLineChars="0"/>
        <w:rPr>
          <w:rFonts w:hint="default" w:ascii="仿宋" w:hAnsi="仿宋" w:eastAsia="仿宋"/>
          <w:sz w:val="30"/>
          <w:szCs w:val="30"/>
          <w:lang w:val="en-US" w:eastAsia="zh-CN"/>
        </w:rPr>
      </w:pPr>
      <w:r>
        <w:rPr>
          <w:rFonts w:hint="eastAsia" w:ascii="仿宋" w:hAnsi="仿宋" w:eastAsia="仿宋"/>
          <w:b/>
          <w:bCs/>
          <w:sz w:val="30"/>
          <w:szCs w:val="30"/>
        </w:rPr>
        <w:t>四、评标定标方法</w:t>
      </w:r>
      <w:r>
        <w:rPr>
          <w:rFonts w:hint="eastAsia" w:ascii="仿宋" w:hAnsi="仿宋" w:eastAsia="仿宋"/>
          <w:b/>
          <w:bCs/>
          <w:sz w:val="30"/>
          <w:szCs w:val="30"/>
          <w:lang w:eastAsia="zh-CN"/>
        </w:rPr>
        <w:t>：</w:t>
      </w:r>
      <w:r>
        <w:rPr>
          <w:rFonts w:hint="eastAsia" w:ascii="仿宋" w:hAnsi="仿宋" w:eastAsia="仿宋"/>
          <w:sz w:val="30"/>
          <w:szCs w:val="30"/>
          <w:lang w:val="en-US" w:eastAsia="zh-CN"/>
        </w:rPr>
        <w:t>综合评分法。</w:t>
      </w:r>
    </w:p>
    <w:p>
      <w:pPr>
        <w:pStyle w:val="11"/>
        <w:spacing w:line="360" w:lineRule="auto"/>
        <w:ind w:firstLine="0" w:firstLineChars="0"/>
        <w:rPr>
          <w:rFonts w:ascii="仿宋" w:hAnsi="仿宋" w:eastAsia="仿宋"/>
          <w:b/>
          <w:bCs/>
          <w:sz w:val="30"/>
          <w:szCs w:val="30"/>
        </w:rPr>
      </w:pPr>
      <w:r>
        <w:rPr>
          <w:rFonts w:hint="eastAsia" w:ascii="仿宋" w:hAnsi="仿宋" w:eastAsia="仿宋"/>
          <w:b/>
          <w:bCs/>
          <w:sz w:val="30"/>
          <w:szCs w:val="30"/>
        </w:rPr>
        <w:t>五、商务需求</w:t>
      </w:r>
    </w:p>
    <w:p>
      <w:pPr>
        <w:pStyle w:val="11"/>
        <w:spacing w:line="360" w:lineRule="auto"/>
        <w:ind w:firstLine="300" w:firstLineChars="100"/>
        <w:rPr>
          <w:rFonts w:hint="default" w:ascii="仿宋" w:hAnsi="仿宋" w:eastAsia="仿宋"/>
          <w:sz w:val="30"/>
          <w:szCs w:val="30"/>
          <w:lang w:val="en-US" w:eastAsia="zh-CN"/>
        </w:rPr>
      </w:pPr>
      <w:r>
        <w:rPr>
          <w:rFonts w:hint="eastAsia" w:ascii="仿宋" w:hAnsi="仿宋" w:eastAsia="仿宋"/>
          <w:sz w:val="30"/>
          <w:szCs w:val="30"/>
        </w:rPr>
        <w:t>（一）服务期：</w:t>
      </w:r>
      <w:r>
        <w:rPr>
          <w:rFonts w:hint="eastAsia" w:ascii="仿宋" w:hAnsi="仿宋" w:eastAsia="仿宋"/>
          <w:sz w:val="30"/>
          <w:szCs w:val="30"/>
          <w:lang w:val="en-US" w:eastAsia="zh-CN"/>
        </w:rPr>
        <w:t>自合同签订之日起一年内</w:t>
      </w:r>
      <w:r>
        <w:rPr>
          <w:rFonts w:hint="eastAsia" w:ascii="仿宋" w:hAnsi="仿宋" w:eastAsia="仿宋"/>
          <w:sz w:val="30"/>
          <w:szCs w:val="30"/>
        </w:rPr>
        <w:t>。</w:t>
      </w:r>
      <w:r>
        <w:rPr>
          <w:rFonts w:hint="eastAsia" w:ascii="仿宋" w:hAnsi="仿宋" w:eastAsia="仿宋"/>
          <w:sz w:val="30"/>
          <w:szCs w:val="30"/>
          <w:lang w:val="en-US" w:eastAsia="zh-CN"/>
        </w:rPr>
        <w:t>遇有特殊情况，经甲乙双方协商后服务期限可适当延长。</w:t>
      </w:r>
    </w:p>
    <w:p>
      <w:pPr>
        <w:pStyle w:val="11"/>
        <w:spacing w:line="360" w:lineRule="auto"/>
        <w:ind w:firstLine="300" w:firstLineChars="100"/>
        <w:rPr>
          <w:rFonts w:ascii="仿宋" w:hAnsi="仿宋" w:eastAsia="仿宋"/>
          <w:sz w:val="30"/>
          <w:szCs w:val="30"/>
        </w:rPr>
      </w:pPr>
      <w:r>
        <w:rPr>
          <w:rFonts w:hint="eastAsia" w:ascii="仿宋" w:hAnsi="仿宋" w:eastAsia="仿宋"/>
          <w:sz w:val="30"/>
          <w:szCs w:val="30"/>
        </w:rPr>
        <w:t>（二）服务地点：</w:t>
      </w:r>
      <w:r>
        <w:rPr>
          <w:rFonts w:hint="eastAsia" w:ascii="仿宋" w:hAnsi="仿宋" w:eastAsia="仿宋"/>
          <w:sz w:val="30"/>
          <w:szCs w:val="30"/>
          <w:lang w:val="en-US" w:eastAsia="zh-CN"/>
        </w:rPr>
        <w:t>龙岗区</w:t>
      </w:r>
      <w:r>
        <w:rPr>
          <w:rFonts w:hint="eastAsia" w:ascii="仿宋" w:hAnsi="仿宋" w:eastAsia="仿宋"/>
          <w:sz w:val="30"/>
          <w:szCs w:val="30"/>
        </w:rPr>
        <w:t>。</w:t>
      </w:r>
    </w:p>
    <w:p>
      <w:pPr>
        <w:pStyle w:val="11"/>
        <w:spacing w:line="360" w:lineRule="auto"/>
        <w:ind w:firstLine="300" w:firstLineChars="100"/>
        <w:rPr>
          <w:rFonts w:ascii="仿宋" w:hAnsi="仿宋" w:eastAsia="仿宋"/>
          <w:sz w:val="30"/>
          <w:szCs w:val="30"/>
        </w:rPr>
      </w:pPr>
      <w:r>
        <w:rPr>
          <w:rFonts w:hint="eastAsia" w:ascii="仿宋" w:hAnsi="仿宋" w:eastAsia="仿宋"/>
          <w:sz w:val="30"/>
          <w:szCs w:val="30"/>
        </w:rPr>
        <w:t>（三）报价要求：</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1.本项目服务费采用包干制，应包括服务成本、法定税费和企业的利润。由投标供应商根据采购文件所提供的资料自行测算投标报价；一经中标，报价总价作为中标供应商与采购人</w:t>
      </w:r>
      <w:r>
        <w:rPr>
          <w:rFonts w:hint="eastAsia" w:ascii="仿宋" w:hAnsi="仿宋" w:eastAsia="仿宋"/>
          <w:sz w:val="30"/>
          <w:szCs w:val="30"/>
        </w:rPr>
        <w:t>签定的合同金额，合同期限内不做调整。</w:t>
      </w:r>
    </w:p>
    <w:p>
      <w:pPr>
        <w:pStyle w:val="11"/>
        <w:spacing w:line="360" w:lineRule="auto"/>
        <w:ind w:left="0" w:leftChars="0" w:firstLine="600" w:firstLineChars="200"/>
        <w:rPr>
          <w:rFonts w:ascii="仿宋" w:hAnsi="仿宋" w:eastAsia="仿宋"/>
          <w:sz w:val="30"/>
          <w:szCs w:val="30"/>
        </w:rPr>
      </w:pPr>
      <w:r>
        <w:rPr>
          <w:rFonts w:ascii="仿宋" w:hAnsi="仿宋" w:eastAsia="仿宋"/>
          <w:sz w:val="30"/>
          <w:szCs w:val="30"/>
        </w:rPr>
        <w:t>2.投标供应商应当根据本企业的成本自行决定报价，但不得以低于其</w:t>
      </w:r>
      <w:r>
        <w:rPr>
          <w:rFonts w:hint="eastAsia" w:ascii="仿宋" w:hAnsi="仿宋" w:eastAsia="仿宋"/>
          <w:sz w:val="30"/>
          <w:szCs w:val="30"/>
        </w:rPr>
        <w:t>企业成本的报价投标。</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3.投标供应商的报价不得超过项目预算金额。</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4.投标供应商的报价，应当是本项目采购范围和采购文件及合同条款上所列的各项内容中所述的全部，不得以任何理由予以重复。</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5.除非采购人通过修改采购文件予以更正，否则，投标供应商应毫无例外地按响应文件所列的清单</w:t>
      </w:r>
      <w:r>
        <w:rPr>
          <w:rFonts w:hint="eastAsia" w:ascii="仿宋" w:hAnsi="仿宋" w:eastAsia="仿宋"/>
          <w:sz w:val="30"/>
          <w:szCs w:val="30"/>
        </w:rPr>
        <w:t>中项目和数量填报综合单价和合价。投标供应商未填综合单价或合价的项目，在实施后，将不得以支付，并视作该项费用已包括在其它有价款的综合单价或合价内。</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6.投标供应商应先到项目地点踏勘以充分了解项目的位置、情况、道路及任何其它足以影响投标报价的情况，任何因忽视或误解项目情况而导致的索赔或服务期限延长申请将不获批准。</w:t>
      </w:r>
    </w:p>
    <w:p>
      <w:pPr>
        <w:pStyle w:val="11"/>
        <w:spacing w:line="360" w:lineRule="auto"/>
        <w:ind w:firstLine="600" w:firstLineChars="200"/>
        <w:rPr>
          <w:rFonts w:ascii="仿宋" w:hAnsi="仿宋" w:eastAsia="仿宋"/>
          <w:sz w:val="30"/>
          <w:szCs w:val="30"/>
        </w:rPr>
      </w:pPr>
      <w:r>
        <w:rPr>
          <w:rFonts w:ascii="仿宋" w:hAnsi="仿宋" w:eastAsia="仿宋"/>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pPr>
        <w:widowControl/>
        <w:spacing w:line="560" w:lineRule="exact"/>
        <w:ind w:firstLine="600" w:firstLineChars="200"/>
        <w:jc w:val="both"/>
        <w:rPr>
          <w:rFonts w:hint="eastAsia" w:ascii="仿宋" w:hAnsi="仿宋" w:eastAsia="仿宋"/>
          <w:sz w:val="30"/>
          <w:szCs w:val="30"/>
          <w:lang w:val="en-US" w:eastAsia="zh-CN"/>
        </w:rPr>
      </w:pPr>
      <w:r>
        <w:rPr>
          <w:rFonts w:hint="eastAsia" w:ascii="仿宋" w:hAnsi="仿宋" w:eastAsia="仿宋"/>
          <w:sz w:val="30"/>
          <w:szCs w:val="30"/>
        </w:rPr>
        <w:t>（四）付款方式：付款方式分三期，首期款占总合同额的</w:t>
      </w:r>
      <w:r>
        <w:rPr>
          <w:rFonts w:hint="eastAsia" w:ascii="仿宋" w:hAnsi="仿宋" w:eastAsia="仿宋"/>
          <w:sz w:val="30"/>
          <w:szCs w:val="30"/>
          <w:lang w:val="en-US" w:eastAsia="zh-CN"/>
        </w:rPr>
        <w:t>1</w:t>
      </w:r>
      <w:r>
        <w:rPr>
          <w:rFonts w:hint="eastAsia" w:ascii="仿宋" w:hAnsi="仿宋" w:eastAsia="仿宋"/>
          <w:sz w:val="30"/>
          <w:szCs w:val="30"/>
        </w:rPr>
        <w:t>0%，于项目合同签订后10个工作日内由</w:t>
      </w:r>
      <w:r>
        <w:rPr>
          <w:rFonts w:hint="eastAsia" w:ascii="仿宋" w:hAnsi="仿宋" w:eastAsia="仿宋"/>
          <w:sz w:val="30"/>
          <w:szCs w:val="30"/>
          <w:lang w:val="en-US" w:eastAsia="zh-CN"/>
        </w:rPr>
        <w:t>中标方</w:t>
      </w:r>
      <w:r>
        <w:rPr>
          <w:rFonts w:hint="eastAsia" w:ascii="仿宋" w:hAnsi="仿宋" w:eastAsia="仿宋"/>
          <w:sz w:val="30"/>
          <w:szCs w:val="30"/>
        </w:rPr>
        <w:t>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资金安排开展付款工作；中期款占总合同额的</w:t>
      </w:r>
      <w:r>
        <w:rPr>
          <w:rFonts w:hint="eastAsia" w:ascii="仿宋" w:hAnsi="仿宋" w:eastAsia="仿宋"/>
          <w:sz w:val="30"/>
          <w:szCs w:val="30"/>
          <w:lang w:val="en-US" w:eastAsia="zh-CN"/>
        </w:rPr>
        <w:t>5</w:t>
      </w:r>
      <w:r>
        <w:rPr>
          <w:rFonts w:hint="eastAsia" w:ascii="仿宋" w:hAnsi="仿宋" w:eastAsia="仿宋"/>
          <w:sz w:val="30"/>
          <w:szCs w:val="30"/>
        </w:rPr>
        <w:t>0%，于中期成果通过深圳市规划和自然资源局龙岗管理局主管科室审查通过后10个工作日内由</w:t>
      </w:r>
      <w:r>
        <w:rPr>
          <w:rFonts w:hint="eastAsia" w:ascii="仿宋" w:hAnsi="仿宋" w:eastAsia="仿宋"/>
          <w:sz w:val="30"/>
          <w:szCs w:val="30"/>
          <w:lang w:val="en-US" w:eastAsia="zh-CN"/>
        </w:rPr>
        <w:t>中标方</w:t>
      </w:r>
      <w:r>
        <w:rPr>
          <w:rFonts w:hint="eastAsia" w:ascii="仿宋" w:hAnsi="仿宋" w:eastAsia="仿宋"/>
          <w:sz w:val="30"/>
          <w:szCs w:val="30"/>
        </w:rPr>
        <w:t>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资金安排开展付款工作；尾款占总合同额的</w:t>
      </w:r>
      <w:r>
        <w:rPr>
          <w:rFonts w:hint="eastAsia" w:ascii="仿宋" w:hAnsi="仿宋" w:eastAsia="仿宋"/>
          <w:sz w:val="30"/>
          <w:szCs w:val="30"/>
          <w:lang w:val="en-US" w:eastAsia="zh-CN"/>
        </w:rPr>
        <w:t>4</w:t>
      </w:r>
      <w:r>
        <w:rPr>
          <w:rFonts w:hint="eastAsia" w:ascii="仿宋" w:hAnsi="仿宋" w:eastAsia="仿宋"/>
          <w:sz w:val="30"/>
          <w:szCs w:val="30"/>
        </w:rPr>
        <w:t>0%，本项目将正式成果提交深圳市规划和自然资源局龙岗管理局业务会审议通过，并经主管科室验收归档后10个工作日内由</w:t>
      </w:r>
      <w:r>
        <w:rPr>
          <w:rFonts w:hint="eastAsia" w:ascii="仿宋" w:hAnsi="仿宋" w:eastAsia="仿宋"/>
          <w:sz w:val="30"/>
          <w:szCs w:val="30"/>
          <w:lang w:val="en-US" w:eastAsia="zh-CN"/>
        </w:rPr>
        <w:t>中标</w:t>
      </w:r>
      <w:r>
        <w:rPr>
          <w:rFonts w:hint="eastAsia" w:ascii="仿宋" w:hAnsi="仿宋" w:eastAsia="仿宋"/>
          <w:sz w:val="30"/>
          <w:szCs w:val="30"/>
        </w:rPr>
        <w:t>方提出付款申请后，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w:t>
      </w:r>
      <w:r>
        <w:rPr>
          <w:rFonts w:hint="eastAsia" w:ascii="仿宋" w:hAnsi="仿宋" w:eastAsia="仿宋"/>
          <w:sz w:val="30"/>
          <w:szCs w:val="30"/>
          <w:lang w:eastAsia="zh-CN"/>
        </w:rPr>
        <w:t>。</w:t>
      </w:r>
    </w:p>
    <w:p>
      <w:pPr>
        <w:pStyle w:val="11"/>
        <w:spacing w:line="360" w:lineRule="auto"/>
        <w:ind w:firstLine="300" w:firstLineChars="100"/>
        <w:rPr>
          <w:rFonts w:hint="default" w:ascii="仿宋" w:hAnsi="仿宋" w:eastAsia="仿宋"/>
          <w:sz w:val="30"/>
          <w:szCs w:val="30"/>
          <w:lang w:val="en-US" w:eastAsia="zh-CN"/>
        </w:rPr>
      </w:pPr>
      <w:r>
        <w:rPr>
          <w:rFonts w:hint="eastAsia" w:ascii="仿宋" w:hAnsi="仿宋" w:eastAsia="仿宋"/>
          <w:sz w:val="30"/>
          <w:szCs w:val="30"/>
        </w:rPr>
        <w:t>（五）履约担保金：</w:t>
      </w:r>
      <w:r>
        <w:rPr>
          <w:rFonts w:hint="eastAsia" w:ascii="仿宋" w:hAnsi="仿宋" w:eastAsia="仿宋"/>
          <w:sz w:val="30"/>
          <w:szCs w:val="30"/>
          <w:lang w:val="en-US" w:eastAsia="zh-CN"/>
        </w:rPr>
        <w:t>无需提供履约担保金。</w:t>
      </w:r>
    </w:p>
    <w:p>
      <w:pPr>
        <w:pStyle w:val="11"/>
        <w:spacing w:line="360" w:lineRule="auto"/>
        <w:ind w:firstLine="300" w:firstLineChars="100"/>
        <w:rPr>
          <w:rFonts w:hint="eastAsia" w:ascii="仿宋" w:hAnsi="仿宋" w:eastAsia="仿宋"/>
          <w:sz w:val="30"/>
          <w:szCs w:val="30"/>
        </w:rPr>
      </w:pPr>
      <w:r>
        <w:rPr>
          <w:rFonts w:hint="eastAsia" w:ascii="仿宋" w:hAnsi="仿宋" w:eastAsia="仿宋"/>
          <w:sz w:val="30"/>
          <w:szCs w:val="30"/>
        </w:rPr>
        <w:t>（六）违约责任：投标人应给出违约承诺，并提供完善的服务质量保障。</w:t>
      </w:r>
    </w:p>
    <w:p>
      <w:pPr>
        <w:pStyle w:val="11"/>
        <w:spacing w:line="360" w:lineRule="auto"/>
        <w:ind w:firstLine="300" w:firstLineChars="100"/>
        <w:rPr>
          <w:rFonts w:hint="eastAsia" w:ascii="仿宋" w:hAnsi="仿宋" w:eastAsia="仿宋"/>
          <w:sz w:val="30"/>
          <w:szCs w:val="30"/>
          <w:lang w:eastAsia="zh-CN"/>
        </w:rPr>
      </w:pPr>
      <w:r>
        <w:rPr>
          <w:rFonts w:hint="eastAsia" w:ascii="仿宋" w:hAnsi="仿宋" w:eastAsia="仿宋"/>
          <w:sz w:val="30"/>
          <w:szCs w:val="30"/>
        </w:rPr>
        <w:t>（七）其他：政府采购投标及履约承诺函（明确要求投标人必须签署，否则做废标处理）</w:t>
      </w:r>
      <w:r>
        <w:rPr>
          <w:rFonts w:hint="eastAsia" w:ascii="仿宋" w:hAnsi="仿宋" w:eastAsia="仿宋"/>
          <w:sz w:val="30"/>
          <w:szCs w:val="30"/>
          <w:lang w:eastAsia="zh-CN"/>
        </w:rPr>
        <w:t>。</w:t>
      </w:r>
    </w:p>
    <w:p>
      <w:pPr>
        <w:pStyle w:val="11"/>
        <w:spacing w:line="360" w:lineRule="auto"/>
        <w:ind w:firstLine="0" w:firstLineChars="0"/>
        <w:rPr>
          <w:rFonts w:hint="default" w:ascii="仿宋" w:hAnsi="仿宋" w:eastAsia="仿宋"/>
          <w:b/>
          <w:bCs/>
          <w:sz w:val="30"/>
          <w:szCs w:val="30"/>
          <w:lang w:val="en-US" w:eastAsia="zh-CN"/>
        </w:rPr>
      </w:pPr>
      <w:r>
        <w:rPr>
          <w:rFonts w:hint="eastAsia" w:ascii="仿宋" w:hAnsi="仿宋" w:eastAsia="仿宋"/>
          <w:b/>
          <w:bCs/>
          <w:sz w:val="30"/>
          <w:szCs w:val="30"/>
          <w:lang w:val="en-US" w:eastAsia="zh-CN"/>
        </w:rPr>
        <w:t>六、评标方法</w:t>
      </w:r>
    </w:p>
    <w:tbl>
      <w:tblPr>
        <w:tblStyle w:val="8"/>
        <w:tblW w:w="82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496"/>
        <w:gridCol w:w="2094"/>
        <w:gridCol w:w="859"/>
        <w:gridCol w:w="1186"/>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jc w:val="center"/>
        </w:trPr>
        <w:tc>
          <w:tcPr>
            <w:tcW w:w="1215" w:type="dxa"/>
            <w:vMerge w:val="restart"/>
            <w:vAlign w:val="center"/>
          </w:tcPr>
          <w:p>
            <w:pPr>
              <w:jc w:val="both"/>
              <w:rPr>
                <w:rFonts w:hint="default" w:ascii="仿宋" w:hAnsi="仿宋" w:eastAsia="仿宋" w:cs="仿宋"/>
                <w:lang w:val="en-US" w:eastAsia="zh-CN"/>
              </w:rPr>
            </w:pPr>
            <w:bookmarkStart w:id="0" w:name="bt投标人须知"/>
            <w:bookmarkEnd w:id="0"/>
            <w:bookmarkStart w:id="1" w:name="bt投标函"/>
            <w:bookmarkEnd w:id="1"/>
            <w:bookmarkStart w:id="2" w:name="bt本工程承诺书"/>
            <w:bookmarkEnd w:id="2"/>
            <w:bookmarkStart w:id="3" w:name="合同格式"/>
            <w:bookmarkEnd w:id="3"/>
            <w:bookmarkStart w:id="4" w:name="bt商务标投标文件格式"/>
            <w:bookmarkEnd w:id="4"/>
            <w:bookmarkStart w:id="5" w:name="bt其他资料2"/>
            <w:bookmarkEnd w:id="5"/>
            <w:bookmarkStart w:id="6" w:name="bt合同格式"/>
            <w:bookmarkEnd w:id="6"/>
            <w:bookmarkStart w:id="7" w:name="bt合同条款"/>
            <w:bookmarkEnd w:id="7"/>
            <w:bookmarkStart w:id="8" w:name="bt项目管理班子配备情况"/>
            <w:bookmarkEnd w:id="8"/>
            <w:bookmarkStart w:id="9" w:name="bt投标报价汇总表"/>
            <w:bookmarkEnd w:id="9"/>
            <w:bookmarkStart w:id="10" w:name="bt合同条款及格式"/>
            <w:bookmarkEnd w:id="10"/>
            <w:bookmarkStart w:id="11" w:name="bt投标文件签署授权委托书"/>
            <w:bookmarkEnd w:id="11"/>
            <w:bookmarkStart w:id="12" w:name="bt其他资料由投标人自定"/>
            <w:bookmarkEnd w:id="12"/>
            <w:bookmarkStart w:id="13" w:name="bt投标人情况介绍"/>
            <w:bookmarkEnd w:id="13"/>
            <w:bookmarkStart w:id="14" w:name="bt技术标投标文件格式"/>
            <w:bookmarkEnd w:id="14"/>
            <w:bookmarkStart w:id="15" w:name="bt开标一览表"/>
            <w:bookmarkEnd w:id="15"/>
            <w:bookmarkStart w:id="16" w:name="bt说明"/>
            <w:bookmarkEnd w:id="16"/>
            <w:r>
              <w:rPr>
                <w:rFonts w:hint="eastAsia" w:ascii="仿宋" w:hAnsi="仿宋" w:eastAsia="仿宋" w:cs="仿宋"/>
                <w:lang w:val="en-US" w:eastAsia="zh-CN"/>
              </w:rPr>
              <w:t>评标信息</w:t>
            </w:r>
          </w:p>
        </w:tc>
        <w:tc>
          <w:tcPr>
            <w:tcW w:w="4635" w:type="dxa"/>
            <w:gridSpan w:val="4"/>
            <w:vAlign w:val="center"/>
          </w:tcPr>
          <w:p>
            <w:pPr>
              <w:jc w:val="center"/>
              <w:rPr>
                <w:rFonts w:ascii="仿宋" w:hAnsi="仿宋" w:eastAsia="仿宋" w:cs="仿宋"/>
              </w:rPr>
            </w:pPr>
            <w:r>
              <w:rPr>
                <w:rFonts w:hint="eastAsia" w:ascii="仿宋" w:hAnsi="仿宋" w:eastAsia="仿宋" w:cs="仿宋"/>
              </w:rPr>
              <w:t>评分项</w:t>
            </w:r>
          </w:p>
        </w:tc>
        <w:tc>
          <w:tcPr>
            <w:tcW w:w="2443" w:type="dxa"/>
            <w:vAlign w:val="center"/>
          </w:tcPr>
          <w:p>
            <w:pPr>
              <w:jc w:val="center"/>
              <w:rPr>
                <w:rFonts w:ascii="仿宋" w:hAnsi="仿宋" w:eastAsia="仿宋" w:cs="仿宋"/>
              </w:rPr>
            </w:pPr>
            <w:r>
              <w:rPr>
                <w:rFonts w:hint="eastAsia" w:ascii="仿宋" w:hAnsi="仿宋" w:eastAsia="仿宋" w:cs="仿宋"/>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635" w:type="dxa"/>
            <w:gridSpan w:val="4"/>
            <w:vAlign w:val="center"/>
          </w:tcPr>
          <w:p>
            <w:pPr>
              <w:jc w:val="center"/>
              <w:rPr>
                <w:rFonts w:ascii="仿宋" w:hAnsi="仿宋" w:eastAsia="仿宋" w:cs="仿宋"/>
                <w:kern w:val="2"/>
                <w:sz w:val="21"/>
                <w:szCs w:val="22"/>
                <w:lang w:val="en-US" w:eastAsia="zh-CN" w:bidi="ar-SA"/>
              </w:rPr>
            </w:pPr>
            <w:r>
              <w:rPr>
                <w:rFonts w:hint="eastAsia" w:ascii="仿宋" w:hAnsi="仿宋" w:eastAsia="仿宋" w:cs="仿宋"/>
              </w:rPr>
              <w:t xml:space="preserve"> 价格部分</w:t>
            </w:r>
          </w:p>
        </w:tc>
        <w:tc>
          <w:tcPr>
            <w:tcW w:w="2443" w:type="dxa"/>
            <w:vAlign w:val="center"/>
          </w:tcPr>
          <w:p>
            <w:pPr>
              <w:jc w:val="center"/>
              <w:rPr>
                <w:rFonts w:ascii="仿宋" w:hAnsi="仿宋" w:eastAsia="仿宋" w:cs="仿宋"/>
                <w:kern w:val="2"/>
                <w:sz w:val="21"/>
                <w:szCs w:val="22"/>
                <w:lang w:val="en-US" w:eastAsia="zh-CN" w:bidi="ar-SA"/>
              </w:rPr>
            </w:pPr>
            <w:r>
              <w:rPr>
                <w:rFonts w:hint="eastAsia" w:ascii="仿宋" w:hAnsi="仿宋" w:eastAsia="仿宋" w:cs="仿宋"/>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635" w:type="dxa"/>
            <w:gridSpan w:val="4"/>
            <w:vAlign w:val="center"/>
          </w:tcPr>
          <w:p>
            <w:pPr>
              <w:jc w:val="center"/>
              <w:rPr>
                <w:rFonts w:ascii="仿宋" w:hAnsi="仿宋" w:eastAsia="仿宋" w:cs="仿宋"/>
              </w:rPr>
            </w:pPr>
            <w:r>
              <w:rPr>
                <w:rFonts w:hint="eastAsia" w:ascii="仿宋" w:hAnsi="仿宋" w:eastAsia="仿宋" w:cs="仿宋"/>
              </w:rPr>
              <w:t>技术部分</w:t>
            </w:r>
          </w:p>
        </w:tc>
        <w:tc>
          <w:tcPr>
            <w:tcW w:w="2443" w:type="dxa"/>
            <w:vAlign w:val="center"/>
          </w:tcPr>
          <w:p>
            <w:pPr>
              <w:jc w:val="center"/>
              <w:rPr>
                <w:rFonts w:hint="default" w:ascii="仿宋" w:hAnsi="仿宋" w:eastAsia="仿宋" w:cs="仿宋"/>
                <w:lang w:val="en-US" w:eastAsia="zh-CN"/>
              </w:rPr>
            </w:pPr>
            <w:r>
              <w:rPr>
                <w:rFonts w:hint="eastAsia" w:ascii="仿宋" w:hAnsi="仿宋" w:eastAsia="仿宋" w:cs="仿宋"/>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ascii="仿宋" w:hAnsi="仿宋" w:eastAsia="仿宋" w:cs="仿宋"/>
              </w:rPr>
            </w:pPr>
            <w:r>
              <w:rPr>
                <w:rFonts w:hint="eastAsia" w:ascii="仿宋" w:hAnsi="仿宋" w:eastAsia="仿宋" w:cs="仿宋"/>
              </w:rPr>
              <w:t>序号</w:t>
            </w:r>
          </w:p>
        </w:tc>
        <w:tc>
          <w:tcPr>
            <w:tcW w:w="2094" w:type="dxa"/>
            <w:vAlign w:val="center"/>
          </w:tcPr>
          <w:p>
            <w:pPr>
              <w:jc w:val="center"/>
              <w:rPr>
                <w:rFonts w:ascii="仿宋" w:hAnsi="仿宋" w:eastAsia="仿宋" w:cs="仿宋"/>
              </w:rPr>
            </w:pPr>
            <w:r>
              <w:rPr>
                <w:rFonts w:hint="eastAsia" w:ascii="仿宋" w:hAnsi="仿宋" w:eastAsia="仿宋" w:cs="仿宋"/>
              </w:rPr>
              <w:t>评分因素</w:t>
            </w:r>
          </w:p>
        </w:tc>
        <w:tc>
          <w:tcPr>
            <w:tcW w:w="859" w:type="dxa"/>
            <w:vAlign w:val="center"/>
          </w:tcPr>
          <w:p>
            <w:pPr>
              <w:jc w:val="center"/>
              <w:rPr>
                <w:rFonts w:ascii="仿宋" w:hAnsi="仿宋" w:eastAsia="仿宋" w:cs="仿宋"/>
              </w:rPr>
            </w:pPr>
            <w:r>
              <w:rPr>
                <w:rFonts w:hint="eastAsia" w:ascii="仿宋" w:hAnsi="仿宋" w:eastAsia="仿宋" w:cs="仿宋"/>
              </w:rPr>
              <w:t>权重</w:t>
            </w:r>
          </w:p>
        </w:tc>
        <w:tc>
          <w:tcPr>
            <w:tcW w:w="1186" w:type="dxa"/>
            <w:vAlign w:val="center"/>
          </w:tcPr>
          <w:p>
            <w:pPr>
              <w:jc w:val="center"/>
              <w:rPr>
                <w:rFonts w:ascii="仿宋" w:hAnsi="仿宋" w:eastAsia="仿宋" w:cs="仿宋"/>
              </w:rPr>
            </w:pPr>
            <w:r>
              <w:rPr>
                <w:rFonts w:hint="eastAsia" w:ascii="仿宋" w:hAnsi="仿宋" w:eastAsia="仿宋" w:cs="仿宋"/>
              </w:rPr>
              <w:t>评分方式</w:t>
            </w:r>
          </w:p>
        </w:tc>
        <w:tc>
          <w:tcPr>
            <w:tcW w:w="2443" w:type="dxa"/>
            <w:vAlign w:val="center"/>
          </w:tcPr>
          <w:p>
            <w:pPr>
              <w:jc w:val="center"/>
              <w:rPr>
                <w:rFonts w:ascii="仿宋" w:hAnsi="仿宋" w:eastAsia="仿宋" w:cs="仿宋"/>
              </w:rPr>
            </w:pPr>
            <w:r>
              <w:rPr>
                <w:rFonts w:hint="eastAsia" w:ascii="仿宋" w:hAnsi="仿宋" w:eastAsia="仿宋" w:cs="仿宋"/>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ascii="仿宋" w:hAnsi="仿宋" w:eastAsia="仿宋" w:cs="仿宋"/>
              </w:rPr>
            </w:pPr>
            <w:r>
              <w:rPr>
                <w:rFonts w:hint="eastAsia" w:ascii="仿宋" w:hAnsi="仿宋" w:eastAsia="仿宋" w:cs="仿宋"/>
              </w:rPr>
              <w:t>1</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实施方案（工作措施、工作方法、工作手段、工作流程）</w:t>
            </w:r>
          </w:p>
        </w:tc>
        <w:tc>
          <w:tcPr>
            <w:tcW w:w="859" w:type="dxa"/>
            <w:vAlign w:val="center"/>
          </w:tcPr>
          <w:p>
            <w:pPr>
              <w:jc w:val="center"/>
              <w:rPr>
                <w:rFonts w:hint="eastAsia" w:ascii="仿宋" w:hAnsi="仿宋" w:eastAsia="仿宋" w:cs="仿宋"/>
                <w:szCs w:val="21"/>
                <w:lang w:eastAsia="zh-CN"/>
              </w:rPr>
            </w:pPr>
            <w:r>
              <w:rPr>
                <w:rFonts w:hint="eastAsia" w:ascii="仿宋" w:hAnsi="仿宋" w:eastAsia="仿宋" w:cs="仿宋"/>
                <w:szCs w:val="21"/>
              </w:rPr>
              <w:t>1</w:t>
            </w:r>
            <w:r>
              <w:rPr>
                <w:rFonts w:hint="eastAsia" w:ascii="仿宋" w:hAnsi="仿宋" w:eastAsia="仿宋" w:cs="仿宋"/>
                <w:szCs w:val="21"/>
                <w:lang w:val="en-US" w:eastAsia="zh-CN"/>
              </w:rPr>
              <w:t>5</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hint="eastAsia"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项目实施方案的科学性、合理性和可操作性；对本项目服务工作内容的理解把握程度，整体思路是否清晰且符合本项目实际情况，工作内容与实施方案</w:t>
            </w:r>
            <w:r>
              <w:rPr>
                <w:rFonts w:hint="eastAsia" w:ascii="仿宋" w:hAnsi="仿宋" w:eastAsia="仿宋" w:cs="仿宋"/>
                <w:szCs w:val="21"/>
                <w:lang w:eastAsia="zh-CN"/>
              </w:rPr>
              <w:t>、</w:t>
            </w:r>
            <w:r>
              <w:rPr>
                <w:rFonts w:hint="eastAsia" w:ascii="仿宋" w:hAnsi="仿宋" w:eastAsia="仿宋" w:cs="仿宋"/>
                <w:szCs w:val="21"/>
              </w:rPr>
              <w:t>招标技术要求的一致性。</w:t>
            </w:r>
          </w:p>
          <w:p>
            <w:pPr>
              <w:rPr>
                <w:rFonts w:hint="eastAsia"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ascii="仿宋" w:hAnsi="仿宋" w:eastAsia="仿宋" w:cs="仿宋"/>
              </w:rPr>
            </w:pPr>
            <w:r>
              <w:rPr>
                <w:rFonts w:hint="eastAsia" w:ascii="仿宋" w:hAnsi="仿宋" w:eastAsia="仿宋" w:cs="仿宋"/>
              </w:rPr>
              <w:t>2</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项目重点难点分析、应对措施及相关的合理化建议</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10</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重点考察对招标技术要求中的难点的分析、应对措施以及合理化建议情况，必须有有效可行的应对措施，如无有效应对措施的不得分。</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ascii="仿宋" w:hAnsi="仿宋" w:eastAsia="仿宋" w:cs="仿宋"/>
              </w:rPr>
            </w:pPr>
            <w:r>
              <w:rPr>
                <w:rFonts w:hint="eastAsia" w:ascii="仿宋" w:hAnsi="仿宋" w:eastAsia="仿宋" w:cs="仿宋"/>
              </w:rPr>
              <w:t>3</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质量（完成时间、安全、环保）保障措施及方案</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10</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重点考察对招标技术要求中所涉及的人员、设备、服务，能够保质保量的完成项目需求。</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ascii="仿宋" w:hAnsi="仿宋" w:eastAsia="仿宋" w:cs="仿宋"/>
              </w:rPr>
            </w:pPr>
            <w:r>
              <w:rPr>
                <w:rFonts w:hint="eastAsia" w:ascii="仿宋" w:hAnsi="仿宋" w:eastAsia="仿宋" w:cs="仿宋"/>
              </w:rPr>
              <w:t>4</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违约承诺</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5</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针对本项目的违约承诺书，考察投标人对项目违约处理承诺是否具体、合理、可行情况进行优劣对比评分。</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jc w:val="left"/>
              <w:rPr>
                <w:rFonts w:ascii="仿宋" w:hAnsi="仿宋" w:eastAsia="仿宋" w:cs="仿宋"/>
                <w:szCs w:val="21"/>
              </w:rPr>
            </w:pPr>
            <w:r>
              <w:rPr>
                <w:rFonts w:hint="eastAsia" w:ascii="仿宋" w:hAnsi="仿宋" w:eastAsia="仿宋" w:cs="仿宋"/>
                <w:szCs w:val="21"/>
              </w:rPr>
              <w:t>1、须提供针对本项目的违约承诺书作为得分依据，要求提供原件并加盖投标人公章；</w:t>
            </w:r>
          </w:p>
          <w:p>
            <w:pPr>
              <w:rPr>
                <w:rFonts w:ascii="仿宋" w:hAnsi="仿宋" w:eastAsia="仿宋" w:cs="仿宋"/>
                <w:szCs w:val="21"/>
              </w:rPr>
            </w:pPr>
            <w:r>
              <w:rPr>
                <w:rFonts w:hint="eastAsia" w:ascii="仿宋" w:hAnsi="仿宋" w:eastAsia="仿宋" w:cs="仿宋"/>
                <w:szCs w:val="21"/>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635" w:type="dxa"/>
            <w:gridSpan w:val="4"/>
            <w:vAlign w:val="center"/>
          </w:tcPr>
          <w:p>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综合实力</w:t>
            </w:r>
          </w:p>
        </w:tc>
        <w:tc>
          <w:tcPr>
            <w:tcW w:w="2443" w:type="dxa"/>
            <w:vAlign w:val="center"/>
          </w:tcPr>
          <w:p>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rPr>
            </w:pPr>
            <w:r>
              <w:rPr>
                <w:rFonts w:hint="eastAsia" w:ascii="仿宋" w:hAnsi="仿宋" w:eastAsia="仿宋" w:cs="仿宋"/>
              </w:rPr>
              <w:t>序号</w:t>
            </w:r>
          </w:p>
        </w:tc>
        <w:tc>
          <w:tcPr>
            <w:tcW w:w="2094" w:type="dxa"/>
            <w:vAlign w:val="center"/>
          </w:tcPr>
          <w:p>
            <w:pPr>
              <w:jc w:val="center"/>
              <w:rPr>
                <w:rFonts w:hint="eastAsia" w:ascii="仿宋" w:hAnsi="仿宋" w:eastAsia="仿宋" w:cs="仿宋"/>
                <w:szCs w:val="21"/>
              </w:rPr>
            </w:pPr>
            <w:r>
              <w:rPr>
                <w:rFonts w:hint="eastAsia" w:ascii="仿宋" w:hAnsi="仿宋" w:eastAsia="仿宋" w:cs="仿宋"/>
              </w:rPr>
              <w:t>评分因素</w:t>
            </w:r>
          </w:p>
        </w:tc>
        <w:tc>
          <w:tcPr>
            <w:tcW w:w="859" w:type="dxa"/>
            <w:vAlign w:val="center"/>
          </w:tcPr>
          <w:p>
            <w:pPr>
              <w:jc w:val="center"/>
              <w:rPr>
                <w:rFonts w:hint="eastAsia" w:ascii="仿宋" w:hAnsi="仿宋" w:eastAsia="仿宋" w:cs="仿宋"/>
                <w:szCs w:val="21"/>
              </w:rPr>
            </w:pPr>
            <w:r>
              <w:rPr>
                <w:rFonts w:hint="eastAsia" w:ascii="仿宋" w:hAnsi="仿宋" w:eastAsia="仿宋" w:cs="仿宋"/>
              </w:rPr>
              <w:t>权重</w:t>
            </w:r>
          </w:p>
        </w:tc>
        <w:tc>
          <w:tcPr>
            <w:tcW w:w="1186" w:type="dxa"/>
            <w:vAlign w:val="center"/>
          </w:tcPr>
          <w:p>
            <w:pPr>
              <w:jc w:val="center"/>
              <w:rPr>
                <w:rFonts w:hint="eastAsia" w:ascii="仿宋" w:hAnsi="仿宋" w:eastAsia="仿宋" w:cs="仿宋"/>
                <w:szCs w:val="21"/>
              </w:rPr>
            </w:pPr>
            <w:r>
              <w:rPr>
                <w:rFonts w:hint="eastAsia" w:ascii="仿宋" w:hAnsi="仿宋" w:eastAsia="仿宋" w:cs="仿宋"/>
              </w:rPr>
              <w:t>评分方式</w:t>
            </w:r>
          </w:p>
        </w:tc>
        <w:tc>
          <w:tcPr>
            <w:tcW w:w="2443" w:type="dxa"/>
            <w:vAlign w:val="center"/>
          </w:tcPr>
          <w:p>
            <w:pPr>
              <w:jc w:val="center"/>
              <w:rPr>
                <w:rFonts w:hint="eastAsia" w:ascii="仿宋" w:hAnsi="仿宋" w:eastAsia="仿宋" w:cs="仿宋"/>
                <w:szCs w:val="21"/>
              </w:rPr>
            </w:pPr>
            <w:r>
              <w:rPr>
                <w:rFonts w:hint="eastAsia" w:ascii="仿宋" w:hAnsi="仿宋" w:eastAsia="仿宋" w:cs="仿宋"/>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1</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拟安排的项目负责人（仅限一人）</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5</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投标人拟派项目负责人专业、职称情况。</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评分标准：</w:t>
            </w:r>
          </w:p>
          <w:p>
            <w:pPr>
              <w:rPr>
                <w:rFonts w:hint="eastAsia" w:ascii="仿宋" w:hAnsi="仿宋" w:eastAsia="仿宋" w:cs="仿宋"/>
                <w:szCs w:val="21"/>
              </w:rPr>
            </w:pPr>
            <w:r>
              <w:rPr>
                <w:rFonts w:hint="eastAsia" w:ascii="仿宋" w:hAnsi="仿宋" w:eastAsia="仿宋" w:cs="仿宋"/>
                <w:szCs w:val="21"/>
              </w:rPr>
              <w:t>1、拟安排的项目负责人具有注册建造师资格证书，注册专业为市政公用工程；</w:t>
            </w:r>
          </w:p>
          <w:p>
            <w:pPr>
              <w:rPr>
                <w:rFonts w:hint="eastAsia" w:ascii="仿宋" w:hAnsi="仿宋" w:eastAsia="仿宋" w:cs="仿宋"/>
                <w:szCs w:val="21"/>
              </w:rPr>
            </w:pPr>
            <w:r>
              <w:rPr>
                <w:rFonts w:hint="eastAsia" w:ascii="仿宋" w:hAnsi="仿宋" w:eastAsia="仿宋" w:cs="仿宋"/>
                <w:szCs w:val="21"/>
              </w:rPr>
              <w:t>2、职称为工程师及以上；</w:t>
            </w:r>
          </w:p>
          <w:p>
            <w:pPr>
              <w:rPr>
                <w:rFonts w:hint="eastAsia" w:ascii="仿宋" w:hAnsi="仿宋" w:eastAsia="仿宋" w:cs="仿宋"/>
                <w:szCs w:val="21"/>
              </w:rPr>
            </w:pPr>
            <w:r>
              <w:rPr>
                <w:rFonts w:hint="eastAsia" w:ascii="仿宋" w:hAnsi="仿宋" w:eastAsia="仿宋" w:cs="仿宋"/>
                <w:szCs w:val="21"/>
              </w:rPr>
              <w:t>3、项目负责人具有企业项目负责人安全生产考核合格证书</w:t>
            </w:r>
          </w:p>
          <w:p>
            <w:pPr>
              <w:rPr>
                <w:rFonts w:ascii="仿宋" w:hAnsi="仿宋" w:eastAsia="仿宋" w:cs="仿宋"/>
                <w:szCs w:val="21"/>
              </w:rPr>
            </w:pPr>
            <w:r>
              <w:rPr>
                <w:rFonts w:hint="eastAsia" w:ascii="仿宋" w:hAnsi="仿宋" w:eastAsia="仿宋" w:cs="仿宋"/>
                <w:szCs w:val="21"/>
              </w:rPr>
              <w:t>4、上述1、2两项均具备者，得100%分数；只具备其中一项者得50%分数，两项均不具备者得 0 分。</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rPr>
                <w:rFonts w:ascii="仿宋" w:hAnsi="仿宋" w:eastAsia="仿宋" w:cs="仿宋"/>
                <w:szCs w:val="21"/>
              </w:rPr>
            </w:pPr>
            <w:r>
              <w:rPr>
                <w:rFonts w:hint="eastAsia" w:ascii="仿宋" w:hAnsi="仿宋" w:eastAsia="仿宋" w:cs="仿宋"/>
                <w:szCs w:val="21"/>
              </w:rPr>
              <w:t>1、投标人须提供拟派项目负责人的职称证书、学历证书等相关证明文件的复印件并加盖投标人公章（原件备查）；</w:t>
            </w:r>
          </w:p>
          <w:p>
            <w:pPr>
              <w:rPr>
                <w:rFonts w:ascii="仿宋" w:hAnsi="仿宋" w:eastAsia="仿宋" w:cs="仿宋"/>
                <w:szCs w:val="21"/>
              </w:rPr>
            </w:pPr>
            <w:r>
              <w:rPr>
                <w:rFonts w:hint="eastAsia" w:ascii="仿宋" w:hAnsi="仿宋" w:eastAsia="仿宋" w:cs="仿宋"/>
                <w:szCs w:val="21"/>
              </w:rPr>
              <w:t>2、投标人须提供由社保部门出具2020年06月至2021年05月投标人为拟派项目负责人缴纳的社保清单（加盖社保部门公章）复印件，原件备查；</w:t>
            </w:r>
          </w:p>
          <w:p>
            <w:pPr>
              <w:rPr>
                <w:rFonts w:ascii="仿宋" w:hAnsi="仿宋" w:eastAsia="仿宋" w:cs="仿宋"/>
                <w:szCs w:val="21"/>
              </w:rPr>
            </w:pPr>
            <w:r>
              <w:rPr>
                <w:rFonts w:hint="eastAsia" w:ascii="仿宋" w:hAnsi="仿宋" w:eastAsia="仿宋" w:cs="仿宋"/>
                <w:szCs w:val="21"/>
              </w:rPr>
              <w:t>3、评分中出现无证明资料或专家无法凭所提供资料判断是否得分的情况，一律作不得分处理。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2</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拟安排的项目团队成员情况</w:t>
            </w:r>
          </w:p>
        </w:tc>
        <w:tc>
          <w:tcPr>
            <w:tcW w:w="859" w:type="dxa"/>
            <w:vAlign w:val="center"/>
          </w:tcPr>
          <w:p>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8</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项目团队成员职称、学历（学位）、资格（资质）、工作经验（业绩）、社保证明等。</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rPr>
                <w:rFonts w:ascii="仿宋" w:hAnsi="仿宋" w:eastAsia="仿宋" w:cs="仿宋"/>
                <w:szCs w:val="21"/>
              </w:rPr>
            </w:pPr>
            <w:r>
              <w:rPr>
                <w:rFonts w:hint="eastAsia" w:ascii="仿宋" w:hAnsi="仿宋" w:eastAsia="仿宋" w:cs="仿宋"/>
                <w:szCs w:val="21"/>
              </w:rPr>
              <w:t>1、投标人须提供拟派项目团队成员的职称证书、学历证书、学位证书、执业资格证书、等相关证明文件的复印件并加盖投标人公章（原件备查）；</w:t>
            </w:r>
          </w:p>
          <w:p>
            <w:pPr>
              <w:rPr>
                <w:rFonts w:ascii="仿宋" w:hAnsi="仿宋" w:eastAsia="仿宋" w:cs="仿宋"/>
                <w:szCs w:val="21"/>
              </w:rPr>
            </w:pPr>
            <w:r>
              <w:rPr>
                <w:rFonts w:hint="eastAsia" w:ascii="仿宋" w:hAnsi="仿宋" w:eastAsia="仿宋" w:cs="仿宋"/>
                <w:szCs w:val="21"/>
              </w:rPr>
              <w:t>2、投标人须提供由社保部门出具2020年06月至2021年05月投标人为项目团队成员缴纳的社保清单（加盖社保部门公章）复印件，原件备查；</w:t>
            </w:r>
          </w:p>
          <w:p>
            <w:pPr>
              <w:rPr>
                <w:rFonts w:hint="eastAsia" w:ascii="仿宋" w:hAnsi="仿宋" w:eastAsia="仿宋" w:cs="仿宋"/>
                <w:szCs w:val="21"/>
              </w:rPr>
            </w:pPr>
            <w:r>
              <w:rPr>
                <w:rFonts w:hint="eastAsia" w:ascii="仿宋" w:hAnsi="仿宋" w:eastAsia="仿宋" w:cs="仿宋"/>
                <w:szCs w:val="21"/>
              </w:rPr>
              <w:t>3、评分中出现无证明资料或专家无法凭所提供资料判断是否得分的情况，一律作不得分处理。</w:t>
            </w: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p>
            <w:pP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39"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3</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项目拟使用的车辆、设备情况</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5</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jc w:val="left"/>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拟投入本项目使用的自有车辆（场地、工具、机器）情况。</w:t>
            </w:r>
          </w:p>
          <w:p>
            <w:pPr>
              <w:jc w:val="left"/>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p>
            <w:pPr>
              <w:jc w:val="left"/>
              <w:rPr>
                <w:rFonts w:ascii="仿宋" w:hAnsi="仿宋" w:eastAsia="仿宋" w:cs="仿宋"/>
                <w:b/>
                <w:szCs w:val="21"/>
              </w:rPr>
            </w:pPr>
          </w:p>
          <w:p>
            <w:pPr>
              <w:jc w:val="left"/>
              <w:rPr>
                <w:rFonts w:ascii="仿宋" w:hAnsi="仿宋" w:eastAsia="仿宋" w:cs="仿宋"/>
                <w:szCs w:val="21"/>
              </w:rPr>
            </w:pPr>
            <w:r>
              <w:rPr>
                <w:rFonts w:hint="eastAsia" w:ascii="仿宋" w:hAnsi="仿宋" w:eastAsia="仿宋" w:cs="仿宋"/>
                <w:b/>
                <w:szCs w:val="21"/>
              </w:rPr>
              <w:t>评分依据：</w:t>
            </w:r>
          </w:p>
          <w:p>
            <w:pPr>
              <w:jc w:val="left"/>
              <w:rPr>
                <w:rFonts w:ascii="仿宋" w:hAnsi="仿宋" w:eastAsia="仿宋" w:cs="仿宋"/>
                <w:szCs w:val="21"/>
              </w:rPr>
            </w:pPr>
            <w:r>
              <w:rPr>
                <w:rFonts w:hint="eastAsia" w:ascii="仿宋" w:hAnsi="仿宋" w:eastAsia="仿宋" w:cs="仿宋"/>
                <w:szCs w:val="21"/>
              </w:rPr>
              <w:t>1、须提供车辆的行驶证、（场地、工具、机器）的相关证明资料作为得分依据，以上所有资料均要求复印件并加盖投标人公章，原件备查；</w:t>
            </w:r>
          </w:p>
          <w:p>
            <w:pPr>
              <w:jc w:val="left"/>
              <w:rPr>
                <w:rFonts w:ascii="仿宋" w:hAnsi="仿宋" w:eastAsia="仿宋" w:cs="仿宋"/>
                <w:szCs w:val="21"/>
              </w:rPr>
            </w:pPr>
            <w:r>
              <w:rPr>
                <w:rFonts w:hint="eastAsia" w:ascii="仿宋" w:hAnsi="仿宋" w:eastAsia="仿宋" w:cs="仿宋"/>
                <w:szCs w:val="21"/>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4"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default" w:ascii="仿宋" w:hAnsi="仿宋" w:eastAsia="仿宋" w:cs="仿宋"/>
                <w:lang w:val="en-US" w:eastAsia="zh-CN"/>
              </w:rPr>
            </w:pPr>
            <w:r>
              <w:rPr>
                <w:rFonts w:hint="eastAsia" w:ascii="仿宋" w:hAnsi="仿宋" w:eastAsia="仿宋" w:cs="仿宋"/>
                <w:lang w:val="en-US" w:eastAsia="zh-CN"/>
              </w:rPr>
              <w:t>4</w:t>
            </w:r>
          </w:p>
        </w:tc>
        <w:tc>
          <w:tcPr>
            <w:tcW w:w="2094" w:type="dxa"/>
            <w:vAlign w:val="center"/>
          </w:tcPr>
          <w:p>
            <w:pPr>
              <w:spacing w:line="400" w:lineRule="exact"/>
              <w:rPr>
                <w:rFonts w:ascii="仿宋" w:hAnsi="仿宋" w:eastAsia="仿宋" w:cs="仿宋"/>
                <w:color w:val="000000"/>
              </w:rPr>
            </w:pPr>
            <w:r>
              <w:rPr>
                <w:rFonts w:hint="eastAsia" w:ascii="仿宋" w:hAnsi="仿宋" w:eastAsia="仿宋" w:cs="仿宋"/>
                <w:color w:val="000000"/>
              </w:rPr>
              <w:t>投标人企业资质</w:t>
            </w:r>
          </w:p>
          <w:p>
            <w:pPr>
              <w:jc w:val="center"/>
              <w:rPr>
                <w:rFonts w:ascii="仿宋" w:hAnsi="仿宋" w:eastAsia="仿宋" w:cs="仿宋"/>
                <w:szCs w:val="21"/>
              </w:rPr>
            </w:pPr>
          </w:p>
        </w:tc>
        <w:tc>
          <w:tcPr>
            <w:tcW w:w="859" w:type="dxa"/>
            <w:vAlign w:val="center"/>
          </w:tcPr>
          <w:p>
            <w:pPr>
              <w:jc w:val="center"/>
              <w:rPr>
                <w:rFonts w:ascii="仿宋" w:hAnsi="仿宋" w:eastAsia="仿宋" w:cs="仿宋"/>
                <w:szCs w:val="21"/>
              </w:rPr>
            </w:pPr>
            <w:r>
              <w:rPr>
                <w:rFonts w:hint="eastAsia" w:ascii="仿宋" w:hAnsi="仿宋" w:eastAsia="仿宋" w:cs="仿宋"/>
                <w:szCs w:val="21"/>
              </w:rPr>
              <w:t>10</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考察内容：</w:t>
            </w:r>
            <w:r>
              <w:rPr>
                <w:rFonts w:hint="eastAsia" w:ascii="仿宋" w:hAnsi="仿宋" w:eastAsia="仿宋" w:cs="仿宋"/>
                <w:color w:val="000000" w:themeColor="text1"/>
                <w:szCs w:val="21"/>
                <w14:textFill>
                  <w14:solidFill>
                    <w14:schemeClr w14:val="tx1"/>
                  </w14:solidFill>
                </w14:textFill>
              </w:rPr>
              <w:t>投标人须取得国家主管部门颁发的</w:t>
            </w:r>
            <w:r>
              <w:rPr>
                <w:rFonts w:hint="eastAsia" w:ascii="仿宋" w:hAnsi="仿宋" w:eastAsia="仿宋" w:cs="宋体"/>
                <w:color w:val="000000" w:themeColor="text1"/>
                <w:kern w:val="0"/>
                <w:szCs w:val="21"/>
                <w14:textFill>
                  <w14:solidFill>
                    <w14:schemeClr w14:val="tx1"/>
                  </w14:solidFill>
                </w14:textFill>
              </w:rPr>
              <w:t>市政公用工程施工总承包三级（或以上）资质。</w:t>
            </w:r>
          </w:p>
          <w:p>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评分标准：</w:t>
            </w:r>
          </w:p>
          <w:p>
            <w:pPr>
              <w:numPr>
                <w:ilvl w:val="0"/>
                <w:numId w:val="2"/>
              </w:num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具有</w:t>
            </w:r>
            <w:r>
              <w:rPr>
                <w:rFonts w:hint="eastAsia" w:ascii="仿宋" w:hAnsi="仿宋" w:eastAsia="仿宋" w:cs="宋体"/>
                <w:color w:val="000000" w:themeColor="text1"/>
                <w:kern w:val="0"/>
                <w:szCs w:val="21"/>
                <w14:textFill>
                  <w14:solidFill>
                    <w14:schemeClr w14:val="tx1"/>
                  </w14:solidFill>
                </w14:textFill>
              </w:rPr>
              <w:t>市政公用工程施工总承包三级以上资质</w:t>
            </w:r>
            <w:r>
              <w:rPr>
                <w:rFonts w:hint="eastAsia" w:ascii="仿宋" w:hAnsi="仿宋" w:eastAsia="仿宋" w:cs="仿宋"/>
                <w:color w:val="000000" w:themeColor="text1"/>
                <w:szCs w:val="21"/>
                <w14:textFill>
                  <w14:solidFill>
                    <w14:schemeClr w14:val="tx1"/>
                  </w14:solidFill>
                </w14:textFill>
              </w:rPr>
              <w:t>；</w:t>
            </w:r>
          </w:p>
          <w:p>
            <w:pPr>
              <w:numPr>
                <w:ilvl w:val="0"/>
                <w:numId w:val="2"/>
              </w:num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具有</w:t>
            </w:r>
            <w:r>
              <w:rPr>
                <w:rFonts w:hint="eastAsia" w:ascii="仿宋" w:hAnsi="仿宋" w:eastAsia="仿宋" w:cs="宋体"/>
                <w:color w:val="000000" w:themeColor="text1"/>
                <w:kern w:val="0"/>
                <w:szCs w:val="21"/>
                <w14:textFill>
                  <w14:solidFill>
                    <w14:schemeClr w14:val="tx1"/>
                  </w14:solidFill>
                </w14:textFill>
              </w:rPr>
              <w:t>市政公用工程施工总承包三级资质</w:t>
            </w:r>
            <w:r>
              <w:rPr>
                <w:rFonts w:hint="eastAsia" w:ascii="仿宋" w:hAnsi="仿宋" w:eastAsia="仿宋" w:cs="仿宋"/>
                <w:color w:val="000000" w:themeColor="text1"/>
                <w:szCs w:val="21"/>
                <w14:textFill>
                  <w14:solidFill>
                    <w14:schemeClr w14:val="tx1"/>
                  </w14:solidFill>
                </w14:textFill>
              </w:rPr>
              <w:t>；</w:t>
            </w:r>
          </w:p>
          <w:p>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3、具有企业安全生产许可证；</w:t>
            </w:r>
          </w:p>
          <w:p>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4、上述1、3项均具备者，得100%分数；具备上述2、3项者得50%分数，不具备者得0 分。</w:t>
            </w:r>
          </w:p>
          <w:p>
            <w:pPr>
              <w:rPr>
                <w:rFonts w:ascii="仿宋" w:hAnsi="仿宋" w:eastAsia="仿宋" w:cs="仿宋"/>
                <w:color w:val="000000" w:themeColor="text1"/>
                <w:szCs w:val="21"/>
                <w14:textFill>
                  <w14:solidFill>
                    <w14:schemeClr w14:val="tx1"/>
                  </w14:solidFill>
                </w14:textFill>
              </w:rPr>
            </w:pPr>
          </w:p>
          <w:p>
            <w:pP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评分依据：</w:t>
            </w:r>
          </w:p>
          <w:p>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1、投标人须提供与本项目相关的资质证书的复印件并加盖投标人公章（原件备查）作为证明材料；</w:t>
            </w:r>
          </w:p>
          <w:p>
            <w:pPr>
              <w:rPr>
                <w:rFonts w:ascii="仿宋" w:hAnsi="仿宋" w:eastAsia="仿宋" w:cs="仿宋"/>
                <w:szCs w:val="21"/>
              </w:rPr>
            </w:pPr>
            <w:r>
              <w:rPr>
                <w:rFonts w:hint="eastAsia" w:ascii="仿宋" w:hAnsi="仿宋" w:eastAsia="仿宋" w:cs="仿宋"/>
                <w:color w:val="000000" w:themeColor="text1"/>
                <w:szCs w:val="21"/>
                <w14:textFill>
                  <w14:solidFill>
                    <w14:schemeClr w14:val="tx1"/>
                  </w14:solidFill>
                </w14:textFill>
              </w:rPr>
              <w:t>2、评分中出现无证明资料或专家无法凭所提供资料判断是否得分的情况，一律作不得分。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5</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投标人资格情况及通过相关认证情况</w:t>
            </w:r>
          </w:p>
        </w:tc>
        <w:tc>
          <w:tcPr>
            <w:tcW w:w="859" w:type="dxa"/>
            <w:vAlign w:val="center"/>
          </w:tcPr>
          <w:p>
            <w:pPr>
              <w:jc w:val="center"/>
              <w:rPr>
                <w:rFonts w:ascii="仿宋" w:hAnsi="仿宋" w:eastAsia="仿宋" w:cs="仿宋"/>
                <w:szCs w:val="21"/>
              </w:rPr>
            </w:pPr>
            <w:r>
              <w:rPr>
                <w:rFonts w:hint="eastAsia" w:ascii="仿宋" w:hAnsi="仿宋" w:eastAsia="仿宋" w:cs="仿宋"/>
                <w:szCs w:val="21"/>
              </w:rPr>
              <w:t>5</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投标人获得的与本项目相关的资格（或认证）证书。</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评分标准：</w:t>
            </w:r>
          </w:p>
          <w:p>
            <w:pPr>
              <w:rPr>
                <w:rFonts w:ascii="仿宋" w:hAnsi="仿宋" w:eastAsia="仿宋" w:cs="仿宋"/>
                <w:szCs w:val="21"/>
              </w:rPr>
            </w:pPr>
            <w:r>
              <w:rPr>
                <w:rFonts w:hint="eastAsia" w:ascii="仿宋" w:hAnsi="仿宋" w:eastAsia="仿宋" w:cs="仿宋"/>
                <w:szCs w:val="21"/>
              </w:rPr>
              <w:t>1、具有ISO质量管理体系认证；</w:t>
            </w:r>
          </w:p>
          <w:p>
            <w:pPr>
              <w:rPr>
                <w:rFonts w:ascii="仿宋" w:hAnsi="仿宋" w:eastAsia="仿宋" w:cs="仿宋"/>
                <w:szCs w:val="21"/>
              </w:rPr>
            </w:pPr>
            <w:r>
              <w:rPr>
                <w:rFonts w:hint="eastAsia" w:ascii="仿宋" w:hAnsi="仿宋" w:eastAsia="仿宋" w:cs="仿宋"/>
                <w:szCs w:val="21"/>
              </w:rPr>
              <w:t>2、具有环境管理体系认证。</w:t>
            </w:r>
          </w:p>
          <w:p>
            <w:pPr>
              <w:rPr>
                <w:rFonts w:ascii="仿宋" w:hAnsi="仿宋" w:eastAsia="仿宋" w:cs="仿宋"/>
                <w:szCs w:val="21"/>
              </w:rPr>
            </w:pPr>
            <w:r>
              <w:rPr>
                <w:rFonts w:hint="eastAsia" w:ascii="仿宋" w:hAnsi="仿宋" w:eastAsia="仿宋" w:cs="仿宋"/>
                <w:szCs w:val="21"/>
              </w:rPr>
              <w:t>3、上述1、2两项均具备者，得100%分数；只具备其中一项者得50%分数，两项均不具备者得 0 分。</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rPr>
                <w:rFonts w:ascii="仿宋" w:hAnsi="仿宋" w:eastAsia="仿宋" w:cs="仿宋"/>
                <w:szCs w:val="21"/>
              </w:rPr>
            </w:pPr>
            <w:r>
              <w:rPr>
                <w:rFonts w:hint="eastAsia" w:ascii="仿宋" w:hAnsi="仿宋" w:eastAsia="仿宋" w:cs="仿宋"/>
                <w:szCs w:val="21"/>
              </w:rPr>
              <w:t>1、投标人须提供与本项目相关的资格（或认证）证书的复印件并加盖投标人公章（原件备查）作为证明材料；</w:t>
            </w:r>
          </w:p>
          <w:p>
            <w:pPr>
              <w:rPr>
                <w:rFonts w:ascii="仿宋" w:hAnsi="仿宋" w:eastAsia="仿宋" w:cs="仿宋"/>
                <w:szCs w:val="21"/>
              </w:rPr>
            </w:pPr>
            <w:r>
              <w:rPr>
                <w:rFonts w:hint="eastAsia" w:ascii="仿宋" w:hAnsi="仿宋" w:eastAsia="仿宋" w:cs="仿宋"/>
                <w:szCs w:val="21"/>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6</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投标人近三年同类项目业绩情况</w:t>
            </w:r>
          </w:p>
        </w:tc>
        <w:tc>
          <w:tcPr>
            <w:tcW w:w="859" w:type="dxa"/>
            <w:vAlign w:val="center"/>
          </w:tcPr>
          <w:p>
            <w:pPr>
              <w:jc w:val="center"/>
              <w:rPr>
                <w:rFonts w:hint="eastAsia" w:ascii="仿宋" w:hAnsi="仿宋" w:eastAsia="仿宋" w:cs="仿宋"/>
                <w:szCs w:val="21"/>
                <w:lang w:eastAsia="zh-CN"/>
              </w:rPr>
            </w:pPr>
            <w:r>
              <w:rPr>
                <w:rFonts w:hint="eastAsia" w:ascii="仿宋" w:hAnsi="仿宋" w:eastAsia="仿宋" w:cs="仿宋"/>
                <w:szCs w:val="21"/>
                <w:lang w:val="en-US" w:eastAsia="zh-CN"/>
              </w:rPr>
              <w:t>3</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提供投标人自2019年1月1日至本项目截标之日完成的同类项目业绩。</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横向比较，分档评分：</w:t>
            </w:r>
            <w:r>
              <w:rPr>
                <w:rFonts w:hint="eastAsia" w:ascii="仿宋" w:hAnsi="仿宋" w:eastAsia="仿宋" w:cs="仿宋"/>
                <w:szCs w:val="21"/>
              </w:rPr>
              <w:t>评价为优得80%-100%分数；评价为良得60%-80%分数；评价为中得30%-60%分数；评价为差得0%-30%分数。</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rPr>
                <w:rFonts w:ascii="仿宋" w:hAnsi="仿宋" w:eastAsia="仿宋" w:cs="仿宋"/>
                <w:szCs w:val="21"/>
              </w:rPr>
            </w:pPr>
            <w:r>
              <w:rPr>
                <w:rFonts w:hint="eastAsia" w:ascii="仿宋" w:hAnsi="仿宋" w:eastAsia="仿宋" w:cs="仿宋"/>
                <w:szCs w:val="21"/>
              </w:rPr>
              <w:t>1、投标人须提供相应业绩案例用户出具的履约评价证明文件复印件并加盖投标人公章（原件备查）作为证明材料；</w:t>
            </w:r>
          </w:p>
          <w:p>
            <w:pPr>
              <w:rPr>
                <w:rFonts w:ascii="仿宋" w:hAnsi="仿宋" w:eastAsia="仿宋" w:cs="仿宋"/>
                <w:szCs w:val="21"/>
              </w:rPr>
            </w:pPr>
            <w:r>
              <w:rPr>
                <w:rFonts w:hint="eastAsia" w:ascii="仿宋" w:hAnsi="仿宋" w:eastAsia="仿宋" w:cs="仿宋"/>
                <w:szCs w:val="21"/>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eastAsia="zh-CN"/>
              </w:rPr>
            </w:pPr>
            <w:r>
              <w:rPr>
                <w:rFonts w:hint="eastAsia" w:ascii="仿宋" w:hAnsi="仿宋" w:eastAsia="仿宋" w:cs="仿宋"/>
                <w:lang w:val="en-US" w:eastAsia="zh-CN"/>
              </w:rPr>
              <w:t>7</w:t>
            </w:r>
          </w:p>
        </w:tc>
        <w:tc>
          <w:tcPr>
            <w:tcW w:w="2094" w:type="dxa"/>
            <w:vAlign w:val="center"/>
          </w:tcPr>
          <w:p>
            <w:pPr>
              <w:jc w:val="center"/>
              <w:rPr>
                <w:rFonts w:ascii="仿宋" w:hAnsi="仿宋" w:eastAsia="仿宋" w:cs="仿宋"/>
                <w:szCs w:val="21"/>
              </w:rPr>
            </w:pPr>
            <w:r>
              <w:rPr>
                <w:rFonts w:hint="eastAsia" w:ascii="仿宋" w:hAnsi="仿宋" w:eastAsia="仿宋" w:cs="仿宋"/>
                <w:szCs w:val="21"/>
              </w:rPr>
              <w:t>投标人获奖（荣誉）情况</w:t>
            </w:r>
          </w:p>
        </w:tc>
        <w:tc>
          <w:tcPr>
            <w:tcW w:w="859" w:type="dxa"/>
            <w:vAlign w:val="center"/>
          </w:tcPr>
          <w:p>
            <w:pPr>
              <w:jc w:val="center"/>
              <w:rPr>
                <w:rFonts w:hint="eastAsia" w:ascii="仿宋" w:hAnsi="仿宋" w:eastAsia="仿宋" w:cs="仿宋"/>
                <w:szCs w:val="21"/>
                <w:lang w:eastAsia="zh-CN"/>
              </w:rPr>
            </w:pPr>
            <w:r>
              <w:rPr>
                <w:rFonts w:hint="eastAsia" w:ascii="仿宋" w:hAnsi="仿宋" w:eastAsia="仿宋" w:cs="仿宋"/>
                <w:szCs w:val="21"/>
                <w:lang w:val="en-US" w:eastAsia="zh-CN"/>
              </w:rPr>
              <w:t>2</w:t>
            </w:r>
          </w:p>
        </w:tc>
        <w:tc>
          <w:tcPr>
            <w:tcW w:w="1186" w:type="dxa"/>
            <w:vAlign w:val="center"/>
          </w:tcPr>
          <w:p>
            <w:pPr>
              <w:jc w:val="center"/>
              <w:rPr>
                <w:rFonts w:ascii="仿宋" w:hAnsi="仿宋" w:eastAsia="仿宋" w:cs="仿宋"/>
                <w:szCs w:val="21"/>
              </w:rPr>
            </w:pPr>
            <w:r>
              <w:rPr>
                <w:rFonts w:hint="eastAsia" w:ascii="仿宋" w:hAnsi="仿宋" w:eastAsia="仿宋" w:cs="仿宋"/>
                <w:szCs w:val="21"/>
              </w:rPr>
              <w:t>专家打分</w:t>
            </w:r>
          </w:p>
        </w:tc>
        <w:tc>
          <w:tcPr>
            <w:tcW w:w="2443" w:type="dxa"/>
            <w:vAlign w:val="center"/>
          </w:tcPr>
          <w:p>
            <w:pPr>
              <w:rPr>
                <w:rFonts w:ascii="仿宋" w:hAnsi="仿宋" w:eastAsia="仿宋" w:cs="仿宋"/>
                <w:szCs w:val="21"/>
              </w:rPr>
            </w:pPr>
            <w:r>
              <w:rPr>
                <w:rFonts w:hint="eastAsia" w:ascii="仿宋" w:hAnsi="仿宋" w:eastAsia="仿宋" w:cs="仿宋"/>
                <w:b/>
                <w:szCs w:val="21"/>
              </w:rPr>
              <w:t>考察内容：</w:t>
            </w:r>
            <w:r>
              <w:rPr>
                <w:rFonts w:hint="eastAsia" w:ascii="仿宋" w:hAnsi="仿宋" w:eastAsia="仿宋" w:cs="仿宋"/>
                <w:szCs w:val="21"/>
              </w:rPr>
              <w:t>投标人获得直接用户单位出具的的荣誉证书/奖杯、感谢信、表扬信等形式的获奖（荣誉）情况。</w:t>
            </w: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b/>
                <w:szCs w:val="21"/>
              </w:rPr>
              <w:t>评分标准：</w:t>
            </w:r>
            <w:r>
              <w:rPr>
                <w:rFonts w:hint="eastAsia" w:ascii="仿宋" w:hAnsi="仿宋" w:eastAsia="仿宋" w:cs="仿宋"/>
                <w:szCs w:val="21"/>
              </w:rPr>
              <w:t>每提供一份有效证明文件得25%分数，最高得分为100%分数。</w:t>
            </w:r>
          </w:p>
          <w:p>
            <w:pPr>
              <w:rPr>
                <w:rFonts w:ascii="仿宋" w:hAnsi="仿宋" w:eastAsia="仿宋" w:cs="仿宋"/>
                <w:szCs w:val="21"/>
              </w:rPr>
            </w:pPr>
          </w:p>
          <w:p>
            <w:pPr>
              <w:rPr>
                <w:rFonts w:ascii="仿宋" w:hAnsi="仿宋" w:eastAsia="仿宋" w:cs="仿宋"/>
                <w:b/>
                <w:szCs w:val="21"/>
              </w:rPr>
            </w:pPr>
            <w:r>
              <w:rPr>
                <w:rFonts w:hint="eastAsia" w:ascii="仿宋" w:hAnsi="仿宋" w:eastAsia="仿宋" w:cs="仿宋"/>
                <w:b/>
                <w:szCs w:val="21"/>
              </w:rPr>
              <w:t>评分依据：</w:t>
            </w:r>
          </w:p>
          <w:p>
            <w:pPr>
              <w:rPr>
                <w:rFonts w:ascii="仿宋" w:hAnsi="仿宋" w:eastAsia="仿宋" w:cs="仿宋"/>
                <w:szCs w:val="21"/>
              </w:rPr>
            </w:pPr>
            <w:r>
              <w:rPr>
                <w:rFonts w:hint="eastAsia" w:ascii="仿宋" w:hAnsi="仿宋" w:eastAsia="仿宋" w:cs="仿宋"/>
                <w:szCs w:val="21"/>
              </w:rPr>
              <w:t>1、投标人须提供与本项目相关的获奖（荣誉）情况证明材料的复印件并加盖投标人公章（原件备查）作为证明材料；</w:t>
            </w:r>
          </w:p>
          <w:p>
            <w:pPr>
              <w:rPr>
                <w:rFonts w:ascii="仿宋" w:hAnsi="仿宋" w:eastAsia="仿宋" w:cs="仿宋"/>
                <w:szCs w:val="21"/>
              </w:rPr>
            </w:pPr>
            <w:r>
              <w:rPr>
                <w:rFonts w:hint="eastAsia" w:ascii="仿宋" w:hAnsi="仿宋" w:eastAsia="仿宋" w:cs="仿宋"/>
                <w:szCs w:val="21"/>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635" w:type="dxa"/>
            <w:gridSpan w:val="4"/>
            <w:vAlign w:val="center"/>
          </w:tcPr>
          <w:p>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诚信情况</w:t>
            </w:r>
          </w:p>
        </w:tc>
        <w:tc>
          <w:tcPr>
            <w:tcW w:w="2443" w:type="dxa"/>
            <w:vAlign w:val="center"/>
          </w:tcPr>
          <w:p>
            <w:pPr>
              <w:jc w:val="center"/>
              <w:rPr>
                <w:rFonts w:hint="eastAsia" w:ascii="仿宋" w:hAnsi="仿宋" w:eastAsia="仿宋" w:cs="仿宋"/>
                <w:szCs w:val="21"/>
                <w:lang w:val="en-US" w:eastAsia="zh-CN"/>
              </w:rPr>
            </w:pPr>
            <w:r>
              <w:rPr>
                <w:rFonts w:hint="eastAsia" w:ascii="仿宋" w:hAnsi="仿宋" w:eastAsia="仿宋" w:cs="仿宋"/>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eastAsia" w:ascii="仿宋" w:hAnsi="仿宋" w:eastAsia="仿宋" w:cs="仿宋"/>
                <w:lang w:val="en-US" w:eastAsia="zh-CN"/>
              </w:rPr>
            </w:pPr>
            <w:r>
              <w:rPr>
                <w:rFonts w:hint="eastAsia" w:ascii="仿宋" w:hAnsi="仿宋" w:eastAsia="仿宋" w:cs="仿宋"/>
              </w:rPr>
              <w:t>序号</w:t>
            </w:r>
          </w:p>
        </w:tc>
        <w:tc>
          <w:tcPr>
            <w:tcW w:w="2094" w:type="dxa"/>
            <w:vAlign w:val="center"/>
          </w:tcPr>
          <w:p>
            <w:pPr>
              <w:jc w:val="center"/>
              <w:rPr>
                <w:rFonts w:hint="eastAsia" w:ascii="仿宋" w:hAnsi="仿宋" w:eastAsia="仿宋" w:cs="仿宋"/>
                <w:szCs w:val="21"/>
              </w:rPr>
            </w:pPr>
            <w:r>
              <w:rPr>
                <w:rFonts w:hint="eastAsia" w:ascii="仿宋" w:hAnsi="仿宋" w:eastAsia="仿宋" w:cs="仿宋"/>
              </w:rPr>
              <w:t>评分因素</w:t>
            </w:r>
          </w:p>
        </w:tc>
        <w:tc>
          <w:tcPr>
            <w:tcW w:w="859" w:type="dxa"/>
            <w:vAlign w:val="center"/>
          </w:tcPr>
          <w:p>
            <w:pPr>
              <w:jc w:val="center"/>
              <w:rPr>
                <w:rFonts w:hint="eastAsia" w:ascii="仿宋" w:hAnsi="仿宋" w:eastAsia="仿宋" w:cs="仿宋"/>
                <w:szCs w:val="21"/>
                <w:lang w:val="en-US" w:eastAsia="zh-CN"/>
              </w:rPr>
            </w:pPr>
            <w:r>
              <w:rPr>
                <w:rFonts w:hint="eastAsia" w:ascii="仿宋" w:hAnsi="仿宋" w:eastAsia="仿宋" w:cs="仿宋"/>
              </w:rPr>
              <w:t>权重</w:t>
            </w:r>
          </w:p>
        </w:tc>
        <w:tc>
          <w:tcPr>
            <w:tcW w:w="1186" w:type="dxa"/>
            <w:vAlign w:val="center"/>
          </w:tcPr>
          <w:p>
            <w:pPr>
              <w:jc w:val="center"/>
              <w:rPr>
                <w:rFonts w:hint="eastAsia" w:ascii="仿宋" w:hAnsi="仿宋" w:eastAsia="仿宋" w:cs="仿宋"/>
                <w:szCs w:val="21"/>
              </w:rPr>
            </w:pPr>
            <w:r>
              <w:rPr>
                <w:rFonts w:hint="eastAsia" w:ascii="仿宋" w:hAnsi="仿宋" w:eastAsia="仿宋" w:cs="仿宋"/>
              </w:rPr>
              <w:t>评分方式</w:t>
            </w:r>
          </w:p>
        </w:tc>
        <w:tc>
          <w:tcPr>
            <w:tcW w:w="2443" w:type="dxa"/>
            <w:vAlign w:val="center"/>
          </w:tcPr>
          <w:p>
            <w:pPr>
              <w:jc w:val="center"/>
              <w:rPr>
                <w:rFonts w:hint="eastAsia" w:ascii="仿宋" w:hAnsi="仿宋" w:eastAsia="仿宋" w:cs="仿宋"/>
                <w:szCs w:val="21"/>
              </w:rPr>
            </w:pPr>
            <w:r>
              <w:rPr>
                <w:rFonts w:hint="eastAsia" w:ascii="仿宋" w:hAnsi="仿宋" w:eastAsia="仿宋" w:cs="仿宋"/>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15" w:type="dxa"/>
            <w:vMerge w:val="continue"/>
            <w:vAlign w:val="center"/>
          </w:tcPr>
          <w:p>
            <w:pPr>
              <w:jc w:val="center"/>
              <w:rPr>
                <w:rFonts w:ascii="仿宋" w:hAnsi="仿宋" w:eastAsia="仿宋" w:cs="仿宋"/>
              </w:rPr>
            </w:pPr>
          </w:p>
        </w:tc>
        <w:tc>
          <w:tcPr>
            <w:tcW w:w="496" w:type="dxa"/>
            <w:vAlign w:val="center"/>
          </w:tcPr>
          <w:p>
            <w:pPr>
              <w:jc w:val="center"/>
              <w:rPr>
                <w:rFonts w:hint="default" w:ascii="仿宋" w:hAnsi="仿宋" w:eastAsia="仿宋" w:cs="仿宋"/>
                <w:lang w:val="en-US" w:eastAsia="zh-CN"/>
              </w:rPr>
            </w:pPr>
            <w:r>
              <w:rPr>
                <w:rFonts w:hint="eastAsia" w:ascii="仿宋" w:hAnsi="仿宋" w:eastAsia="仿宋" w:cs="仿宋"/>
                <w:lang w:val="en-US" w:eastAsia="zh-CN"/>
              </w:rPr>
              <w:t>1</w:t>
            </w:r>
          </w:p>
        </w:tc>
        <w:tc>
          <w:tcPr>
            <w:tcW w:w="2094" w:type="dxa"/>
            <w:vAlign w:val="center"/>
          </w:tcPr>
          <w:p>
            <w:pPr>
              <w:jc w:val="center"/>
              <w:rPr>
                <w:rFonts w:hint="eastAsia" w:ascii="仿宋" w:hAnsi="仿宋" w:eastAsia="仿宋" w:cs="仿宋"/>
                <w:szCs w:val="21"/>
              </w:rPr>
            </w:pPr>
            <w:r>
              <w:rPr>
                <w:rFonts w:ascii="仿宋" w:hAnsi="仿宋" w:eastAsia="仿宋"/>
                <w:szCs w:val="21"/>
              </w:rPr>
              <w:t>政府采购中心履约评价情况</w:t>
            </w:r>
          </w:p>
        </w:tc>
        <w:tc>
          <w:tcPr>
            <w:tcW w:w="859" w:type="dxa"/>
            <w:vAlign w:val="center"/>
          </w:tcPr>
          <w:p>
            <w:pPr>
              <w:jc w:val="center"/>
              <w:rPr>
                <w:rFonts w:hint="default" w:ascii="仿宋" w:hAnsi="仿宋" w:eastAsia="仿宋" w:cs="仿宋"/>
                <w:szCs w:val="21"/>
                <w:lang w:val="en-US" w:eastAsia="zh-CN"/>
              </w:rPr>
            </w:pPr>
            <w:r>
              <w:rPr>
                <w:rFonts w:hint="eastAsia" w:ascii="仿宋" w:hAnsi="仿宋" w:eastAsia="仿宋" w:cs="仿宋"/>
                <w:szCs w:val="21"/>
                <w:lang w:val="en-US" w:eastAsia="zh-CN"/>
              </w:rPr>
              <w:t>2</w:t>
            </w:r>
          </w:p>
        </w:tc>
        <w:tc>
          <w:tcPr>
            <w:tcW w:w="1186" w:type="dxa"/>
            <w:vAlign w:val="center"/>
          </w:tcPr>
          <w:p>
            <w:pPr>
              <w:jc w:val="center"/>
              <w:rPr>
                <w:rFonts w:hint="eastAsia" w:ascii="仿宋" w:hAnsi="仿宋" w:eastAsia="仿宋" w:cs="仿宋"/>
                <w:szCs w:val="21"/>
              </w:rPr>
            </w:pPr>
            <w:r>
              <w:rPr>
                <w:rFonts w:hint="eastAsia" w:ascii="仿宋" w:hAnsi="仿宋" w:eastAsia="仿宋" w:cs="仿宋"/>
                <w:szCs w:val="21"/>
                <w:lang w:val="en-US" w:eastAsia="zh-CN"/>
              </w:rPr>
              <w:t>专家打分</w:t>
            </w:r>
          </w:p>
        </w:tc>
        <w:tc>
          <w:tcPr>
            <w:tcW w:w="2443" w:type="dxa"/>
            <w:vAlign w:val="center"/>
          </w:tcPr>
          <w:p>
            <w:pPr>
              <w:rPr>
                <w:rFonts w:hint="eastAsia" w:ascii="仿宋" w:hAnsi="仿宋" w:eastAsia="仿宋" w:cs="仿宋"/>
                <w:szCs w:val="21"/>
              </w:rPr>
            </w:pPr>
            <w:r>
              <w:rPr>
                <w:rFonts w:ascii="仿宋" w:hAnsi="仿宋" w:eastAsia="仿宋"/>
                <w:szCs w:val="21"/>
              </w:rPr>
              <w:t>近三年（以投标截止日期为准）在市政府采购中心有履约评价为差的记录，本项不得分，否则，得满分。</w:t>
            </w:r>
            <w:r>
              <w:rPr>
                <w:rFonts w:ascii="仿宋" w:hAnsi="仿宋" w:eastAsia="仿宋" w:cs="宋体"/>
                <w:szCs w:val="21"/>
              </w:rPr>
              <w:t>投标人无需提供任何证明材料，由采购中心工作人员向评委会提供相关信息。</w:t>
            </w:r>
          </w:p>
        </w:tc>
      </w:tr>
    </w:tbl>
    <w:p>
      <w:pPr>
        <w:spacing w:line="360" w:lineRule="exact"/>
        <w:jc w:val="left"/>
        <w:rPr>
          <w:rFonts w:ascii="仿宋" w:hAnsi="仿宋" w:eastAsia="仿宋"/>
          <w:bCs/>
          <w:sz w:val="18"/>
          <w:szCs w:val="18"/>
        </w:rPr>
      </w:pPr>
      <w:r>
        <w:rPr>
          <w:rFonts w:hint="eastAsia" w:ascii="仿宋" w:hAnsi="仿宋" w:eastAsia="仿宋"/>
          <w:bCs/>
          <w:sz w:val="18"/>
          <w:szCs w:val="18"/>
        </w:rPr>
        <w:t>注：1、带“*”号的为必填表内容，其他内容可根据项目作适当增减。</w:t>
      </w:r>
    </w:p>
    <w:p>
      <w:pPr>
        <w:spacing w:line="360" w:lineRule="exact"/>
        <w:ind w:firstLine="360" w:firstLineChars="200"/>
        <w:jc w:val="left"/>
        <w:rPr>
          <w:rFonts w:ascii="仿宋" w:hAnsi="仿宋" w:eastAsia="仿宋"/>
          <w:bCs/>
          <w:sz w:val="18"/>
          <w:szCs w:val="18"/>
        </w:rPr>
      </w:pPr>
      <w:r>
        <w:rPr>
          <w:rFonts w:hint="eastAsia" w:ascii="仿宋" w:hAnsi="仿宋" w:eastAsia="仿宋"/>
          <w:bCs/>
          <w:sz w:val="18"/>
          <w:szCs w:val="18"/>
        </w:rPr>
        <w:t>2、其他要求栏目仅适用非公开招标采购方式项目，采购推荐供应商名单必须经过主管部门报批，并将主管部门批复材料提交至采购中心。根据采购条例第十九条规定适用非公开招标方式需要公示的，应同时向采购中心提交公示的证明材料。</w:t>
      </w:r>
    </w:p>
    <w:p>
      <w:pPr>
        <w:spacing w:line="360" w:lineRule="exact"/>
        <w:ind w:firstLine="360" w:firstLineChars="200"/>
        <w:jc w:val="left"/>
        <w:rPr>
          <w:rFonts w:ascii="仿宋" w:hAnsi="仿宋" w:eastAsia="仿宋"/>
          <w:bCs/>
          <w:sz w:val="18"/>
          <w:szCs w:val="18"/>
        </w:rPr>
      </w:pPr>
      <w:r>
        <w:rPr>
          <w:rFonts w:hint="eastAsia" w:ascii="仿宋" w:hAnsi="仿宋" w:eastAsia="仿宋"/>
          <w:bCs/>
          <w:sz w:val="18"/>
          <w:szCs w:val="18"/>
        </w:rPr>
        <w:t>3、采购单位以上填报的商务条款、技术条款若存在倾向性或不公正性条款，由此引起的不良后果将由采购单位自行承担。</w:t>
      </w:r>
    </w:p>
    <w:p>
      <w:pPr>
        <w:rPr>
          <w:rFonts w:ascii="仿宋" w:hAnsi="仿宋" w:eastAsia="仿宋"/>
          <w:bCs/>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350DC5"/>
    <w:multiLevelType w:val="singleLevel"/>
    <w:tmpl w:val="83350DC5"/>
    <w:lvl w:ilvl="0" w:tentative="0">
      <w:start w:val="1"/>
      <w:numFmt w:val="decimal"/>
      <w:suff w:val="nothing"/>
      <w:lvlText w:val="%1、"/>
      <w:lvlJc w:val="left"/>
    </w:lvl>
  </w:abstractNum>
  <w:abstractNum w:abstractNumId="1">
    <w:nsid w:val="97634A78"/>
    <w:multiLevelType w:val="singleLevel"/>
    <w:tmpl w:val="97634A7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EF9"/>
    <w:rsid w:val="000019BB"/>
    <w:rsid w:val="00006B8D"/>
    <w:rsid w:val="00015D13"/>
    <w:rsid w:val="0002736D"/>
    <w:rsid w:val="00047FC1"/>
    <w:rsid w:val="000539DC"/>
    <w:rsid w:val="00072D8B"/>
    <w:rsid w:val="00084AE1"/>
    <w:rsid w:val="000948F2"/>
    <w:rsid w:val="000A5BD8"/>
    <w:rsid w:val="000B26A8"/>
    <w:rsid w:val="000C22C7"/>
    <w:rsid w:val="000D4F2E"/>
    <w:rsid w:val="000F08A9"/>
    <w:rsid w:val="00103C86"/>
    <w:rsid w:val="00110E3F"/>
    <w:rsid w:val="00130DC3"/>
    <w:rsid w:val="00145723"/>
    <w:rsid w:val="00172CD3"/>
    <w:rsid w:val="00196792"/>
    <w:rsid w:val="001A76C2"/>
    <w:rsid w:val="001C1809"/>
    <w:rsid w:val="001C7C8C"/>
    <w:rsid w:val="001E1432"/>
    <w:rsid w:val="001E3C2B"/>
    <w:rsid w:val="001F7F98"/>
    <w:rsid w:val="002007F9"/>
    <w:rsid w:val="00233619"/>
    <w:rsid w:val="00264661"/>
    <w:rsid w:val="00294BD5"/>
    <w:rsid w:val="002A35D2"/>
    <w:rsid w:val="002A4D8E"/>
    <w:rsid w:val="002D1E53"/>
    <w:rsid w:val="00313CA4"/>
    <w:rsid w:val="00327C42"/>
    <w:rsid w:val="00337887"/>
    <w:rsid w:val="003755DE"/>
    <w:rsid w:val="00381B70"/>
    <w:rsid w:val="003856B2"/>
    <w:rsid w:val="003B68D7"/>
    <w:rsid w:val="003D475D"/>
    <w:rsid w:val="00412C07"/>
    <w:rsid w:val="00433EA6"/>
    <w:rsid w:val="0044337B"/>
    <w:rsid w:val="00452101"/>
    <w:rsid w:val="00472478"/>
    <w:rsid w:val="004C255E"/>
    <w:rsid w:val="004D233F"/>
    <w:rsid w:val="004D3484"/>
    <w:rsid w:val="004D64D8"/>
    <w:rsid w:val="004E11D3"/>
    <w:rsid w:val="00506FD6"/>
    <w:rsid w:val="005552EB"/>
    <w:rsid w:val="00562644"/>
    <w:rsid w:val="00570B84"/>
    <w:rsid w:val="00574228"/>
    <w:rsid w:val="005767A2"/>
    <w:rsid w:val="00581E86"/>
    <w:rsid w:val="005B359E"/>
    <w:rsid w:val="005C7E46"/>
    <w:rsid w:val="005E3EF1"/>
    <w:rsid w:val="00610F91"/>
    <w:rsid w:val="00632C5B"/>
    <w:rsid w:val="006339B7"/>
    <w:rsid w:val="00633EFC"/>
    <w:rsid w:val="0065752E"/>
    <w:rsid w:val="006638B0"/>
    <w:rsid w:val="00676039"/>
    <w:rsid w:val="00690B0A"/>
    <w:rsid w:val="00695601"/>
    <w:rsid w:val="006E082C"/>
    <w:rsid w:val="007332F0"/>
    <w:rsid w:val="007413CD"/>
    <w:rsid w:val="00760676"/>
    <w:rsid w:val="0077293C"/>
    <w:rsid w:val="00775D1E"/>
    <w:rsid w:val="00784822"/>
    <w:rsid w:val="0079316D"/>
    <w:rsid w:val="007C1BBF"/>
    <w:rsid w:val="007E0463"/>
    <w:rsid w:val="00800CBD"/>
    <w:rsid w:val="0080552B"/>
    <w:rsid w:val="00806E9B"/>
    <w:rsid w:val="00812A75"/>
    <w:rsid w:val="008554D7"/>
    <w:rsid w:val="008765F0"/>
    <w:rsid w:val="008810A1"/>
    <w:rsid w:val="00882A6F"/>
    <w:rsid w:val="00885513"/>
    <w:rsid w:val="008D7A53"/>
    <w:rsid w:val="008F6562"/>
    <w:rsid w:val="00926816"/>
    <w:rsid w:val="0094082B"/>
    <w:rsid w:val="009644D1"/>
    <w:rsid w:val="00990B83"/>
    <w:rsid w:val="009A2036"/>
    <w:rsid w:val="009C1335"/>
    <w:rsid w:val="009D5EC6"/>
    <w:rsid w:val="009F3D41"/>
    <w:rsid w:val="00A050BF"/>
    <w:rsid w:val="00A27C28"/>
    <w:rsid w:val="00A37F78"/>
    <w:rsid w:val="00A449CE"/>
    <w:rsid w:val="00A53A40"/>
    <w:rsid w:val="00A95BD4"/>
    <w:rsid w:val="00AA029A"/>
    <w:rsid w:val="00AB0270"/>
    <w:rsid w:val="00AD322B"/>
    <w:rsid w:val="00AD411E"/>
    <w:rsid w:val="00AD4AA0"/>
    <w:rsid w:val="00AD70E8"/>
    <w:rsid w:val="00AF0169"/>
    <w:rsid w:val="00AF3ACE"/>
    <w:rsid w:val="00B37C39"/>
    <w:rsid w:val="00B4358D"/>
    <w:rsid w:val="00B53EF9"/>
    <w:rsid w:val="00B733DC"/>
    <w:rsid w:val="00BA5931"/>
    <w:rsid w:val="00BC2E28"/>
    <w:rsid w:val="00BF5BD7"/>
    <w:rsid w:val="00C04F85"/>
    <w:rsid w:val="00C07689"/>
    <w:rsid w:val="00C12277"/>
    <w:rsid w:val="00C2500B"/>
    <w:rsid w:val="00C27911"/>
    <w:rsid w:val="00C445F0"/>
    <w:rsid w:val="00C76F3E"/>
    <w:rsid w:val="00CB13D9"/>
    <w:rsid w:val="00CE4CC4"/>
    <w:rsid w:val="00CF3A7B"/>
    <w:rsid w:val="00D00D80"/>
    <w:rsid w:val="00D2449F"/>
    <w:rsid w:val="00D333E4"/>
    <w:rsid w:val="00D35E59"/>
    <w:rsid w:val="00D44657"/>
    <w:rsid w:val="00D47A10"/>
    <w:rsid w:val="00D576BC"/>
    <w:rsid w:val="00D60358"/>
    <w:rsid w:val="00D71D63"/>
    <w:rsid w:val="00D74AF8"/>
    <w:rsid w:val="00DA096F"/>
    <w:rsid w:val="00DB75D4"/>
    <w:rsid w:val="00DE4331"/>
    <w:rsid w:val="00E2683F"/>
    <w:rsid w:val="00E775D7"/>
    <w:rsid w:val="00E876A5"/>
    <w:rsid w:val="00EA3A6E"/>
    <w:rsid w:val="00EC3676"/>
    <w:rsid w:val="00EE2193"/>
    <w:rsid w:val="00EF1C98"/>
    <w:rsid w:val="00F36DCD"/>
    <w:rsid w:val="00F61E52"/>
    <w:rsid w:val="00F83B48"/>
    <w:rsid w:val="00F86D72"/>
    <w:rsid w:val="00F948FB"/>
    <w:rsid w:val="00FA51EF"/>
    <w:rsid w:val="00FD0F55"/>
    <w:rsid w:val="00FF5397"/>
    <w:rsid w:val="046B7C8E"/>
    <w:rsid w:val="05E224AA"/>
    <w:rsid w:val="0B8C0695"/>
    <w:rsid w:val="0D616E58"/>
    <w:rsid w:val="0ECB02B4"/>
    <w:rsid w:val="0F7D43C9"/>
    <w:rsid w:val="11B316E3"/>
    <w:rsid w:val="11FE09A7"/>
    <w:rsid w:val="150F020D"/>
    <w:rsid w:val="1533211A"/>
    <w:rsid w:val="16065D06"/>
    <w:rsid w:val="1CA87845"/>
    <w:rsid w:val="25817D5A"/>
    <w:rsid w:val="27C84D66"/>
    <w:rsid w:val="2BC83547"/>
    <w:rsid w:val="2CEB4C1D"/>
    <w:rsid w:val="2FA53382"/>
    <w:rsid w:val="303E1D19"/>
    <w:rsid w:val="368B52B4"/>
    <w:rsid w:val="3A1F7C5D"/>
    <w:rsid w:val="3BA90FBA"/>
    <w:rsid w:val="3EAD7C30"/>
    <w:rsid w:val="3FB91A3D"/>
    <w:rsid w:val="3FEE58A0"/>
    <w:rsid w:val="424F3C1D"/>
    <w:rsid w:val="46D04A49"/>
    <w:rsid w:val="57083A6B"/>
    <w:rsid w:val="5C3D02C2"/>
    <w:rsid w:val="5D1227A1"/>
    <w:rsid w:val="61F1120E"/>
    <w:rsid w:val="64753929"/>
    <w:rsid w:val="659D214C"/>
    <w:rsid w:val="6A934FD8"/>
    <w:rsid w:val="6C812EC5"/>
    <w:rsid w:val="6CB45C34"/>
    <w:rsid w:val="6D2E659B"/>
    <w:rsid w:val="6E115B26"/>
    <w:rsid w:val="7561119C"/>
    <w:rsid w:val="77493EB1"/>
    <w:rsid w:val="786476CD"/>
    <w:rsid w:val="7B106D5E"/>
    <w:rsid w:val="7BAC09CA"/>
    <w:rsid w:val="7BD306BD"/>
    <w:rsid w:val="7C651110"/>
    <w:rsid w:val="7D2F6A4C"/>
    <w:rsid w:val="7D4700EF"/>
    <w:rsid w:val="7FC730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unhideWhenUsed/>
    <w:qFormat/>
    <w:uiPriority w:val="99"/>
    <w:pPr>
      <w:jc w:val="left"/>
    </w:pPr>
    <w:rPr>
      <w:rFonts w:ascii="Times New Roman" w:hAnsi="Times New Roman" w:eastAsia="宋体" w:cs="Times New Roman"/>
      <w:szCs w:val="20"/>
    </w:r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9"/>
    <w:qFormat/>
    <w:uiPriority w:val="0"/>
    <w:pPr>
      <w:widowControl/>
      <w:shd w:val="clear" w:color="auto" w:fill="FFFFFF"/>
      <w:tabs>
        <w:tab w:val="left" w:pos="426"/>
      </w:tabs>
      <w:adjustRightInd w:val="0"/>
      <w:snapToGrid w:val="0"/>
      <w:spacing w:before="240" w:after="60" w:line="312" w:lineRule="auto"/>
      <w:jc w:val="center"/>
      <w:outlineLvl w:val="1"/>
    </w:pPr>
    <w:rPr>
      <w:rFonts w:ascii="Cambria" w:hAnsi="Cambria" w:cs="Times New Roman"/>
      <w:b/>
      <w:bCs/>
      <w:kern w:val="28"/>
      <w:sz w:val="28"/>
      <w:szCs w:val="32"/>
    </w:rPr>
  </w:style>
  <w:style w:type="paragraph" w:styleId="7">
    <w:name w:val="annotation subject"/>
    <w:basedOn w:val="2"/>
    <w:next w:val="2"/>
    <w:link w:val="17"/>
    <w:semiHidden/>
    <w:unhideWhenUsed/>
    <w:qFormat/>
    <w:uiPriority w:val="99"/>
    <w:rPr>
      <w:rFonts w:asciiTheme="minorHAnsi" w:hAnsiTheme="minorHAnsi" w:eastAsiaTheme="minorEastAsia" w:cstheme="minorBidi"/>
      <w:b/>
      <w:bCs/>
      <w:szCs w:val="22"/>
    </w:r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批注文字 Char"/>
    <w:link w:val="2"/>
    <w:qFormat/>
    <w:uiPriority w:val="99"/>
    <w:rPr>
      <w:rFonts w:ascii="Times New Roman" w:hAnsi="Times New Roman" w:eastAsia="宋体" w:cs="Times New Roman"/>
      <w:szCs w:val="20"/>
    </w:rPr>
  </w:style>
  <w:style w:type="character" w:customStyle="1" w:styleId="13">
    <w:name w:val="批注文字 字符1"/>
    <w:basedOn w:val="9"/>
    <w:semiHidden/>
    <w:qFormat/>
    <w:uiPriority w:val="99"/>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批注框文本 Char"/>
    <w:basedOn w:val="9"/>
    <w:link w:val="3"/>
    <w:semiHidden/>
    <w:qFormat/>
    <w:uiPriority w:val="99"/>
    <w:rPr>
      <w:sz w:val="18"/>
      <w:szCs w:val="18"/>
    </w:rPr>
  </w:style>
  <w:style w:type="character" w:customStyle="1" w:styleId="17">
    <w:name w:val="批注主题 Char"/>
    <w:basedOn w:val="12"/>
    <w:link w:val="7"/>
    <w:semiHidden/>
    <w:qFormat/>
    <w:uiPriority w:val="99"/>
    <w:rPr>
      <w:rFonts w:ascii="Times New Roman" w:hAnsi="Times New Roman" w:eastAsia="宋体" w:cs="Times New Roman"/>
      <w:b/>
      <w:bCs/>
      <w:szCs w:val="20"/>
    </w:rPr>
  </w:style>
  <w:style w:type="character" w:customStyle="1" w:styleId="18">
    <w:name w:val="副标题 Char"/>
    <w:link w:val="6"/>
    <w:qFormat/>
    <w:uiPriority w:val="0"/>
    <w:rPr>
      <w:rFonts w:ascii="Cambria" w:hAnsi="Cambria" w:cs="Times New Roman"/>
      <w:b/>
      <w:bCs/>
      <w:kern w:val="28"/>
      <w:sz w:val="28"/>
      <w:szCs w:val="32"/>
      <w:shd w:val="clear" w:color="auto" w:fill="FFFFFF"/>
    </w:rPr>
  </w:style>
  <w:style w:type="character" w:customStyle="1" w:styleId="19">
    <w:name w:val="副标题 Char1"/>
    <w:basedOn w:val="9"/>
    <w:link w:val="6"/>
    <w:qFormat/>
    <w:uiPriority w:val="11"/>
    <w:rPr>
      <w:rFonts w:eastAsia="宋体"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E73264-D3B6-43A7-A719-F036285BFF05}">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19</Pages>
  <Words>1001</Words>
  <Characters>5708</Characters>
  <Lines>47</Lines>
  <Paragraphs>13</Paragraphs>
  <TotalTime>2</TotalTime>
  <ScaleCrop>false</ScaleCrop>
  <LinksUpToDate>false</LinksUpToDate>
  <CharactersWithSpaces>6696</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2021-05-18T03:48:00Z</dcterms:created>
  <dc:creator>xbany</dc:creator>
  <cp:lastModifiedBy>null</cp:lastModifiedBy>
  <cp:lastPrinted>2021-06-09T11:13:00Z</cp:lastPrinted>
  <dcterms:modified xsi:type="dcterms:W3CDTF">2021-06-16T07:29:30Z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AC92A20117564FC2BC1A11C184DE8334</vt:lpwstr>
  </property>
</Properties>
</file>