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附件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1</w:t>
      </w:r>
    </w:p>
    <w:p>
      <w:pPr>
        <w:pStyle w:val="4"/>
        <w:ind w:left="1170" w:firstLine="0" w:firstLineChars="0"/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</w:pPr>
      <w:bookmarkStart w:id="0" w:name="_GoBack"/>
      <w:bookmarkEnd w:id="0"/>
    </w:p>
    <w:p>
      <w:pPr>
        <w:pStyle w:val="4"/>
        <w:ind w:left="1170" w:firstLine="0" w:firstLineChars="0"/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深圳市总部办公用房销售价格、流转程序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研究</w:t>
      </w:r>
    </w:p>
    <w:p>
      <w:pPr>
        <w:pStyle w:val="4"/>
        <w:ind w:left="1170" w:firstLine="0" w:firstLineChars="0"/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1"/>
        </w:numPr>
        <w:ind w:firstLineChars="0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项目背景</w:t>
      </w:r>
    </w:p>
    <w:p>
      <w:pPr>
        <w:ind w:firstLine="440" w:firstLineChars="200"/>
        <w:rPr>
          <w:rFonts w:hint="default" w:ascii="微软雅黑" w:hAnsi="微软雅黑" w:eastAsia="微软雅黑" w:cs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市总部项目召开遴选小组2021年1月第一次会议要求，市规划和自然资源局牵头，会同市发展改革委、住房建设局、司法局等单位，研究深圳市总部办公用房销售价格、流转程序，为总部办公用房的封闭流转做好制度保证。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按</w:t>
      </w:r>
      <w:r>
        <w:rPr>
          <w:rFonts w:hint="eastAsia" w:ascii="微软雅黑" w:hAnsi="微软雅黑" w:eastAsia="微软雅黑" w:cs="微软雅黑"/>
          <w:sz w:val="22"/>
          <w:szCs w:val="22"/>
        </w:rPr>
        <w:t>市规划和自然资源局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工作部署，该项工作由我中心承担。</w:t>
      </w:r>
    </w:p>
    <w:p>
      <w:pPr>
        <w:pStyle w:val="4"/>
        <w:numPr>
          <w:ilvl w:val="0"/>
          <w:numId w:val="1"/>
        </w:numPr>
        <w:ind w:firstLineChars="0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项目内容</w:t>
      </w:r>
    </w:p>
    <w:p>
      <w:pPr>
        <w:pStyle w:val="4"/>
        <w:numPr>
          <w:ilvl w:val="0"/>
          <w:numId w:val="2"/>
        </w:numPr>
        <w:ind w:firstLineChars="0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梳理、研究深圳市总部办公用房的政策和规定；</w:t>
      </w:r>
    </w:p>
    <w:p>
      <w:pPr>
        <w:pStyle w:val="4"/>
        <w:numPr>
          <w:ilvl w:val="0"/>
          <w:numId w:val="2"/>
        </w:numPr>
        <w:ind w:firstLineChars="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开展</w:t>
      </w:r>
      <w:r>
        <w:rPr>
          <w:rFonts w:hint="eastAsia" w:ascii="微软雅黑" w:hAnsi="微软雅黑" w:eastAsia="微软雅黑" w:cs="微软雅黑"/>
          <w:sz w:val="22"/>
          <w:szCs w:val="22"/>
          <w:lang w:eastAsia="zh-CN"/>
        </w:rPr>
        <w:t>总部办公用房销售价格、流转程序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相关</w:t>
      </w:r>
      <w:r>
        <w:rPr>
          <w:rFonts w:hint="eastAsia" w:ascii="微软雅黑" w:hAnsi="微软雅黑" w:eastAsia="微软雅黑" w:cs="微软雅黑"/>
          <w:sz w:val="22"/>
          <w:szCs w:val="22"/>
          <w:lang w:eastAsia="zh-CN"/>
        </w:rPr>
        <w:t>研究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或起草制定相应的政策规范性文件，负责相关的调研、</w:t>
      </w:r>
      <w:r>
        <w:rPr>
          <w:rFonts w:hint="eastAsia" w:ascii="微软雅黑" w:hAnsi="微软雅黑" w:eastAsia="微软雅黑" w:cs="微软雅黑"/>
          <w:sz w:val="22"/>
          <w:szCs w:val="22"/>
        </w:rPr>
        <w:t>会议沟通</w:t>
      </w:r>
      <w:r>
        <w:rPr>
          <w:rFonts w:hint="eastAsia" w:ascii="微软雅黑" w:hAnsi="微软雅黑" w:eastAsia="微软雅黑" w:cs="微软雅黑"/>
          <w:sz w:val="22"/>
          <w:szCs w:val="22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2"/>
          <w:szCs w:val="22"/>
        </w:rPr>
        <w:t>征集相关单位意见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等工作</w:t>
      </w:r>
      <w:r>
        <w:rPr>
          <w:rFonts w:hint="eastAsia" w:ascii="微软雅黑" w:hAnsi="微软雅黑" w:eastAsia="微软雅黑" w:cs="微软雅黑"/>
          <w:sz w:val="22"/>
          <w:szCs w:val="22"/>
        </w:rPr>
        <w:t>。</w:t>
      </w:r>
    </w:p>
    <w:p>
      <w:pPr>
        <w:ind w:firstLine="440" w:firstLineChars="20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本项目开展过程中，经甲乙双方同意，可根据实际工作情况对上述工作内容进行适当调整。</w:t>
      </w:r>
    </w:p>
    <w:p>
      <w:pPr>
        <w:ind w:firstLine="440" w:firstLineChars="20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本合同履行期间：如甲方因政策原因发生被合并、被撤销等情况，导致甲方丧失履行本协议项下的主体资格条件的，甲方可在以下两种方案中选择一种执行：</w:t>
      </w:r>
    </w:p>
    <w:p>
      <w:pPr>
        <w:ind w:firstLine="440" w:firstLineChars="20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（一）方案一：甲方将本协议涉及的甲方权责转让给第三方承担，乙方权责不变，由第三方与乙方重新签订合同。</w:t>
      </w:r>
    </w:p>
    <w:p>
      <w:pPr>
        <w:ind w:firstLine="440" w:firstLineChars="200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（二）方案二：本协议终止且甲方无需向乙方承担违约责任，本协议项下的款项按照协议终止时乙方工作完成的情况具体结算。如因政策原因，导致甲方无需再由乙方提供本协议项下部分或全部项目服务内容的，乙方应按照甲方通知立即停止相关工作，乙方不再继续提供服务的项目内容，甲方有权不予支付款项，如甲方已支付的，乙方应当退还给甲方。</w:t>
      </w:r>
    </w:p>
    <w:p>
      <w:pPr>
        <w:pStyle w:val="4"/>
        <w:numPr>
          <w:ilvl w:val="0"/>
          <w:numId w:val="1"/>
        </w:numPr>
        <w:ind w:firstLineChars="0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成果形式</w:t>
      </w:r>
    </w:p>
    <w:p>
      <w:pPr>
        <w:ind w:firstLine="450"/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按甲方要求提交</w:t>
      </w:r>
      <w:r>
        <w:rPr>
          <w:rFonts w:hint="eastAsia" w:ascii="微软雅黑" w:hAnsi="微软雅黑" w:eastAsia="微软雅黑" w:cs="微软雅黑"/>
          <w:sz w:val="22"/>
          <w:szCs w:val="22"/>
        </w:rPr>
        <w:t>深圳市总部办公用房销售价格、流转程序研究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报告或形成政策规范性文件。</w:t>
      </w:r>
    </w:p>
    <w:p>
      <w:pPr>
        <w:ind w:firstLine="450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四、合</w:t>
      </w:r>
      <w:r>
        <w:rPr>
          <w:rFonts w:ascii="微软雅黑" w:hAnsi="微软雅黑" w:eastAsia="微软雅黑" w:cs="微软雅黑"/>
          <w:b/>
          <w:sz w:val="28"/>
          <w:szCs w:val="28"/>
        </w:rPr>
        <w:t>同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期限</w:t>
      </w:r>
    </w:p>
    <w:p>
      <w:pPr>
        <w:ind w:firstLine="450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自合同签订之日起三个月内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完成</w:t>
      </w:r>
      <w:r>
        <w:rPr>
          <w:rFonts w:hint="eastAsia" w:ascii="微软雅黑" w:hAnsi="微软雅黑" w:eastAsia="微软雅黑" w:cs="微软雅黑"/>
          <w:sz w:val="22"/>
          <w:szCs w:val="22"/>
        </w:rPr>
        <w:t>。甲乙双方可根据实际工作进度情况适当调整合同期限。</w:t>
      </w:r>
    </w:p>
    <w:p>
      <w:pPr>
        <w:spacing w:before="156" w:beforeLines="50" w:after="156" w:afterLines="50" w:line="360" w:lineRule="auto"/>
        <w:ind w:firstLine="560" w:firstLineChars="200"/>
        <w:rPr>
          <w:rFonts w:ascii="微软雅黑" w:hAnsi="微软雅黑" w:eastAsia="微软雅黑" w:cs="微软雅黑"/>
          <w:b/>
          <w:bCs/>
          <w:sz w:val="28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</w:rPr>
        <w:t>五、费用测算</w:t>
      </w:r>
    </w:p>
    <w:p>
      <w:pPr>
        <w:ind w:firstLine="440" w:firstLineChars="200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本项目价款为提供研究、制定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政策规范性文件</w:t>
      </w:r>
      <w:r>
        <w:rPr>
          <w:rFonts w:hint="eastAsia" w:ascii="微软雅黑" w:hAnsi="微软雅黑" w:eastAsia="微软雅黑" w:cs="微软雅黑"/>
          <w:sz w:val="22"/>
          <w:szCs w:val="22"/>
        </w:rPr>
        <w:t>的服务费用。在符合中</w:t>
      </w:r>
      <w:r>
        <w:rPr>
          <w:rFonts w:ascii="微软雅黑" w:hAnsi="微软雅黑" w:eastAsia="微软雅黑" w:cs="微软雅黑"/>
          <w:sz w:val="22"/>
          <w:szCs w:val="22"/>
        </w:rPr>
        <w:t>心内控</w:t>
      </w:r>
      <w:r>
        <w:rPr>
          <w:rFonts w:hint="eastAsia" w:ascii="微软雅黑" w:hAnsi="微软雅黑" w:eastAsia="微软雅黑" w:cs="微软雅黑"/>
          <w:sz w:val="22"/>
          <w:szCs w:val="22"/>
        </w:rPr>
        <w:t>制</w:t>
      </w:r>
      <w:r>
        <w:rPr>
          <w:rFonts w:ascii="微软雅黑" w:hAnsi="微软雅黑" w:eastAsia="微软雅黑" w:cs="微软雅黑"/>
          <w:sz w:val="22"/>
          <w:szCs w:val="22"/>
        </w:rPr>
        <w:t>度</w:t>
      </w:r>
      <w:r>
        <w:rPr>
          <w:rFonts w:hint="eastAsia" w:ascii="微软雅黑" w:hAnsi="微软雅黑" w:eastAsia="微软雅黑" w:cs="微软雅黑"/>
          <w:sz w:val="22"/>
          <w:szCs w:val="22"/>
        </w:rPr>
        <w:t>规定下，依</w:t>
      </w:r>
      <w:r>
        <w:rPr>
          <w:rFonts w:ascii="微软雅黑" w:hAnsi="微软雅黑" w:eastAsia="微软雅黑" w:cs="微软雅黑"/>
          <w:sz w:val="22"/>
          <w:szCs w:val="22"/>
        </w:rPr>
        <w:t>据</w:t>
      </w:r>
      <w:r>
        <w:rPr>
          <w:rFonts w:hint="eastAsia" w:ascii="微软雅黑" w:hAnsi="微软雅黑" w:eastAsia="微软雅黑" w:cs="微软雅黑"/>
          <w:sz w:val="22"/>
          <w:szCs w:val="22"/>
        </w:rPr>
        <w:t>项</w:t>
      </w:r>
      <w:r>
        <w:rPr>
          <w:rFonts w:ascii="微软雅黑" w:hAnsi="微软雅黑" w:eastAsia="微软雅黑" w:cs="微软雅黑"/>
          <w:sz w:val="22"/>
          <w:szCs w:val="22"/>
        </w:rPr>
        <w:t>目</w:t>
      </w:r>
      <w:r>
        <w:rPr>
          <w:rFonts w:hint="eastAsia" w:ascii="微软雅黑" w:hAnsi="微软雅黑" w:eastAsia="微软雅黑" w:cs="微软雅黑"/>
          <w:sz w:val="22"/>
          <w:szCs w:val="22"/>
        </w:rPr>
        <w:t>所需</w:t>
      </w:r>
      <w:r>
        <w:rPr>
          <w:rFonts w:ascii="微软雅黑" w:hAnsi="微软雅黑" w:eastAsia="微软雅黑" w:cs="微软雅黑"/>
          <w:sz w:val="22"/>
          <w:szCs w:val="22"/>
        </w:rPr>
        <w:t>的功能</w:t>
      </w:r>
      <w:r>
        <w:rPr>
          <w:rFonts w:hint="eastAsia" w:ascii="微软雅黑" w:hAnsi="微软雅黑" w:eastAsia="微软雅黑" w:cs="微软雅黑"/>
          <w:sz w:val="22"/>
          <w:szCs w:val="22"/>
        </w:rPr>
        <w:t>，</w:t>
      </w:r>
      <w:r>
        <w:rPr>
          <w:rFonts w:ascii="微软雅黑" w:hAnsi="微软雅黑" w:eastAsia="微软雅黑" w:cs="微软雅黑"/>
          <w:sz w:val="22"/>
          <w:szCs w:val="22"/>
        </w:rPr>
        <w:t>向</w:t>
      </w:r>
      <w:r>
        <w:rPr>
          <w:rFonts w:hint="eastAsia" w:ascii="微软雅黑" w:hAnsi="微软雅黑" w:eastAsia="微软雅黑" w:cs="微软雅黑"/>
          <w:sz w:val="22"/>
          <w:szCs w:val="22"/>
        </w:rPr>
        <w:t>社</w:t>
      </w:r>
      <w:r>
        <w:rPr>
          <w:rFonts w:ascii="微软雅黑" w:hAnsi="微软雅黑" w:eastAsia="微软雅黑" w:cs="微软雅黑"/>
          <w:sz w:val="22"/>
          <w:szCs w:val="22"/>
        </w:rPr>
        <w:t>会市场进行</w:t>
      </w:r>
      <w:r>
        <w:rPr>
          <w:rFonts w:hint="eastAsia" w:ascii="微软雅黑" w:hAnsi="微软雅黑" w:eastAsia="微软雅黑" w:cs="微软雅黑"/>
          <w:sz w:val="22"/>
          <w:szCs w:val="22"/>
        </w:rPr>
        <w:t>询价，</w:t>
      </w:r>
      <w:r>
        <w:rPr>
          <w:rFonts w:ascii="微软雅黑" w:hAnsi="微软雅黑" w:eastAsia="微软雅黑" w:cs="微软雅黑"/>
          <w:sz w:val="22"/>
          <w:szCs w:val="22"/>
        </w:rPr>
        <w:t>由</w:t>
      </w:r>
      <w:r>
        <w:rPr>
          <w:rFonts w:hint="eastAsia" w:ascii="微软雅黑" w:hAnsi="微软雅黑" w:eastAsia="微软雅黑" w:cs="微软雅黑"/>
          <w:sz w:val="22"/>
          <w:szCs w:val="22"/>
        </w:rPr>
        <w:t>市场自</w:t>
      </w:r>
      <w:r>
        <w:rPr>
          <w:rFonts w:ascii="微软雅黑" w:hAnsi="微软雅黑" w:eastAsia="微软雅黑" w:cs="微软雅黑"/>
          <w:sz w:val="22"/>
          <w:szCs w:val="22"/>
        </w:rPr>
        <w:t>由竞争确</w:t>
      </w:r>
      <w:r>
        <w:rPr>
          <w:rFonts w:hint="eastAsia" w:ascii="微软雅黑" w:hAnsi="微软雅黑" w:eastAsia="微软雅黑" w:cs="微软雅黑"/>
          <w:sz w:val="22"/>
          <w:szCs w:val="22"/>
        </w:rPr>
        <w:t>定</w:t>
      </w:r>
      <w:r>
        <w:rPr>
          <w:rFonts w:ascii="微软雅黑" w:hAnsi="微软雅黑" w:eastAsia="微软雅黑" w:cs="微软雅黑"/>
          <w:sz w:val="22"/>
          <w:szCs w:val="22"/>
        </w:rPr>
        <w:t>最终</w:t>
      </w:r>
      <w:r>
        <w:rPr>
          <w:rFonts w:hint="eastAsia" w:ascii="微软雅黑" w:hAnsi="微软雅黑" w:eastAsia="微软雅黑" w:cs="微软雅黑"/>
          <w:sz w:val="22"/>
          <w:szCs w:val="22"/>
        </w:rPr>
        <w:t>项</w:t>
      </w:r>
      <w:r>
        <w:rPr>
          <w:rFonts w:ascii="微软雅黑" w:hAnsi="微软雅黑" w:eastAsia="微软雅黑" w:cs="微软雅黑"/>
          <w:sz w:val="22"/>
          <w:szCs w:val="22"/>
        </w:rPr>
        <w:t>目</w:t>
      </w:r>
      <w:r>
        <w:rPr>
          <w:rFonts w:hint="eastAsia" w:ascii="微软雅黑" w:hAnsi="微软雅黑" w:eastAsia="微软雅黑" w:cs="微软雅黑"/>
          <w:sz w:val="22"/>
          <w:szCs w:val="22"/>
        </w:rPr>
        <w:t>定</w:t>
      </w:r>
      <w:r>
        <w:rPr>
          <w:rFonts w:ascii="微软雅黑" w:hAnsi="微软雅黑" w:eastAsia="微软雅黑" w:cs="微软雅黑"/>
          <w:sz w:val="22"/>
          <w:szCs w:val="22"/>
        </w:rPr>
        <w:t>价</w:t>
      </w:r>
      <w:r>
        <w:rPr>
          <w:rFonts w:hint="eastAsia" w:ascii="微软雅黑" w:hAnsi="微软雅黑" w:eastAsia="微软雅黑" w:cs="微软雅黑"/>
          <w:sz w:val="22"/>
          <w:szCs w:val="22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238FC"/>
    <w:multiLevelType w:val="multilevel"/>
    <w:tmpl w:val="440238FC"/>
    <w:lvl w:ilvl="0" w:tentative="0">
      <w:start w:val="1"/>
      <w:numFmt w:val="japaneseCounting"/>
      <w:lvlText w:val="%1、"/>
      <w:lvlJc w:val="left"/>
      <w:pPr>
        <w:ind w:left="117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0" w:hanging="420"/>
      </w:pPr>
    </w:lvl>
    <w:lvl w:ilvl="2" w:tentative="0">
      <w:start w:val="1"/>
      <w:numFmt w:val="lowerRoman"/>
      <w:lvlText w:val="%3."/>
      <w:lvlJc w:val="right"/>
      <w:pPr>
        <w:ind w:left="1710" w:hanging="420"/>
      </w:pPr>
    </w:lvl>
    <w:lvl w:ilvl="3" w:tentative="0">
      <w:start w:val="1"/>
      <w:numFmt w:val="decimal"/>
      <w:lvlText w:val="%4."/>
      <w:lvlJc w:val="left"/>
      <w:pPr>
        <w:ind w:left="2130" w:hanging="420"/>
      </w:pPr>
    </w:lvl>
    <w:lvl w:ilvl="4" w:tentative="0">
      <w:start w:val="1"/>
      <w:numFmt w:val="lowerLetter"/>
      <w:lvlText w:val="%5)"/>
      <w:lvlJc w:val="left"/>
      <w:pPr>
        <w:ind w:left="2550" w:hanging="420"/>
      </w:pPr>
    </w:lvl>
    <w:lvl w:ilvl="5" w:tentative="0">
      <w:start w:val="1"/>
      <w:numFmt w:val="lowerRoman"/>
      <w:lvlText w:val="%6."/>
      <w:lvlJc w:val="right"/>
      <w:pPr>
        <w:ind w:left="2970" w:hanging="420"/>
      </w:pPr>
    </w:lvl>
    <w:lvl w:ilvl="6" w:tentative="0">
      <w:start w:val="1"/>
      <w:numFmt w:val="decimal"/>
      <w:lvlText w:val="%7."/>
      <w:lvlJc w:val="left"/>
      <w:pPr>
        <w:ind w:left="3390" w:hanging="420"/>
      </w:pPr>
    </w:lvl>
    <w:lvl w:ilvl="7" w:tentative="0">
      <w:start w:val="1"/>
      <w:numFmt w:val="lowerLetter"/>
      <w:lvlText w:val="%8)"/>
      <w:lvlJc w:val="left"/>
      <w:pPr>
        <w:ind w:left="3810" w:hanging="420"/>
      </w:pPr>
    </w:lvl>
    <w:lvl w:ilvl="8" w:tentative="0">
      <w:start w:val="1"/>
      <w:numFmt w:val="lowerRoman"/>
      <w:lvlText w:val="%9."/>
      <w:lvlJc w:val="right"/>
      <w:pPr>
        <w:ind w:left="4230" w:hanging="420"/>
      </w:pPr>
    </w:lvl>
  </w:abstractNum>
  <w:abstractNum w:abstractNumId="1">
    <w:nsid w:val="59D213AE"/>
    <w:multiLevelType w:val="multilevel"/>
    <w:tmpl w:val="59D213AE"/>
    <w:lvl w:ilvl="0" w:tentative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0" w:hanging="420"/>
      </w:pPr>
    </w:lvl>
    <w:lvl w:ilvl="2" w:tentative="0">
      <w:start w:val="1"/>
      <w:numFmt w:val="lowerRoman"/>
      <w:lvlText w:val="%3."/>
      <w:lvlJc w:val="right"/>
      <w:pPr>
        <w:ind w:left="1710" w:hanging="420"/>
      </w:pPr>
    </w:lvl>
    <w:lvl w:ilvl="3" w:tentative="0">
      <w:start w:val="1"/>
      <w:numFmt w:val="decimal"/>
      <w:lvlText w:val="%4."/>
      <w:lvlJc w:val="left"/>
      <w:pPr>
        <w:ind w:left="2130" w:hanging="420"/>
      </w:pPr>
    </w:lvl>
    <w:lvl w:ilvl="4" w:tentative="0">
      <w:start w:val="1"/>
      <w:numFmt w:val="lowerLetter"/>
      <w:lvlText w:val="%5)"/>
      <w:lvlJc w:val="left"/>
      <w:pPr>
        <w:ind w:left="2550" w:hanging="420"/>
      </w:pPr>
    </w:lvl>
    <w:lvl w:ilvl="5" w:tentative="0">
      <w:start w:val="1"/>
      <w:numFmt w:val="lowerRoman"/>
      <w:lvlText w:val="%6."/>
      <w:lvlJc w:val="right"/>
      <w:pPr>
        <w:ind w:left="2970" w:hanging="420"/>
      </w:pPr>
    </w:lvl>
    <w:lvl w:ilvl="6" w:tentative="0">
      <w:start w:val="1"/>
      <w:numFmt w:val="decimal"/>
      <w:lvlText w:val="%7."/>
      <w:lvlJc w:val="left"/>
      <w:pPr>
        <w:ind w:left="3390" w:hanging="420"/>
      </w:pPr>
    </w:lvl>
    <w:lvl w:ilvl="7" w:tentative="0">
      <w:start w:val="1"/>
      <w:numFmt w:val="lowerLetter"/>
      <w:lvlText w:val="%8)"/>
      <w:lvlJc w:val="left"/>
      <w:pPr>
        <w:ind w:left="3810" w:hanging="420"/>
      </w:pPr>
    </w:lvl>
    <w:lvl w:ilvl="8" w:tentative="0">
      <w:start w:val="1"/>
      <w:numFmt w:val="lowerRoman"/>
      <w:lvlText w:val="%9."/>
      <w:lvlJc w:val="right"/>
      <w:pPr>
        <w:ind w:left="423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C6BFC"/>
    <w:rsid w:val="251F43B6"/>
    <w:rsid w:val="44EC6BFC"/>
    <w:rsid w:val="69E3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2021-06-08T06:52:00Z</dcterms:created>
  <dc:creator>penggf</dc:creator>
  <cp:lastModifiedBy>penggf</cp:lastModifiedBy>
  <cp:lastPrinted>2021-06-08T06:58:31Z</cp:lastPrinted>
  <dcterms:modified xsi:type="dcterms:W3CDTF">2021-06-08T07:01:20Z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