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8"/>
          <w:szCs w:val="28"/>
          <w14:textFill>
            <w14:solidFill>
              <w14:schemeClr w14:val="tx1"/>
            </w14:solidFill>
          </w14:textFill>
        </w:rPr>
        <w:t>附件2</w:t>
      </w:r>
    </w:p>
    <w:p>
      <w:pPr>
        <w:jc w:val="center"/>
        <w:rPr>
          <w:rFonts w:ascii="Verdana" w:hAnsi="Verdana"/>
          <w:b/>
          <w:color w:val="000000" w:themeColor="text1"/>
          <w:sz w:val="36"/>
          <w:szCs w:val="36"/>
          <w14:textFill>
            <w14:solidFill>
              <w14:schemeClr w14:val="tx1"/>
            </w14:solidFill>
          </w14:textFill>
        </w:rPr>
      </w:pPr>
      <w:r>
        <w:rPr>
          <w:rFonts w:ascii="Verdana" w:hAnsi="Verdana"/>
          <w:b/>
          <w:color w:val="000000" w:themeColor="text1"/>
          <w:sz w:val="36"/>
          <w:szCs w:val="36"/>
          <w14:textFill>
            <w14:solidFill>
              <w14:schemeClr w14:val="tx1"/>
            </w14:solidFill>
          </w14:textFill>
        </w:rPr>
        <w:t>非公开招标方式采购公示表</w:t>
      </w:r>
    </w:p>
    <w:p>
      <w:pPr>
        <w:rPr>
          <w:rFonts w:ascii="Verdana" w:hAnsi="Verdana"/>
          <w:color w:val="000000" w:themeColor="text1"/>
          <w:szCs w:val="21"/>
          <w14:textFill>
            <w14:solidFill>
              <w14:schemeClr w14:val="tx1"/>
            </w14:solidFill>
          </w14:textFill>
        </w:rPr>
      </w:pP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ind w:firstLine="480" w:firstLineChars="200"/>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依照《深圳经济特区政府采购条例》第二十、二十一条规定，</w:t>
            </w:r>
            <w:r>
              <w:rPr>
                <w:rFonts w:hint="eastAsia" w:cs="宋体" w:asciiTheme="minorEastAsia" w:hAnsiTheme="minorEastAsia"/>
                <w:color w:val="000000" w:themeColor="text1"/>
                <w:kern w:val="0"/>
                <w:sz w:val="24"/>
                <w:szCs w:val="24"/>
                <w14:textFill>
                  <w14:solidFill>
                    <w14:schemeClr w14:val="tx1"/>
                  </w14:solidFill>
                </w14:textFill>
              </w:rPr>
              <w:t>深圳市土地房产交易中心就</w:t>
            </w:r>
            <w:r>
              <w:rPr>
                <w:rFonts w:hint="eastAsia" w:ascii="宋体" w:hAnsi="宋体" w:cs="宋体"/>
                <w:color w:val="000000"/>
                <w:kern w:val="0"/>
                <w:sz w:val="24"/>
              </w:rPr>
              <w:t>《深圳市工程建设项目建立“用地清单”制度研究</w:t>
            </w:r>
            <w:r>
              <w:rPr>
                <w:rFonts w:hint="eastAsia" w:ascii="宋体" w:hAnsi="宋体" w:cs="宋体"/>
                <w:color w:val="000000" w:themeColor="text1"/>
                <w:kern w:val="0"/>
                <w:sz w:val="24"/>
                <w14:textFill>
                  <w14:solidFill>
                    <w14:schemeClr w14:val="tx1"/>
                  </w14:solidFill>
                </w14:textFill>
              </w:rPr>
              <w:t>》</w:t>
            </w:r>
            <w:r>
              <w:rPr>
                <w:rFonts w:hint="eastAsia" w:asciiTheme="minorEastAsia" w:hAnsiTheme="minorEastAsia"/>
                <w:color w:val="000000" w:themeColor="text1"/>
                <w:sz w:val="24"/>
                <w:szCs w:val="24"/>
                <w14:textFill>
                  <w14:solidFill>
                    <w14:schemeClr w14:val="tx1"/>
                  </w14:solidFill>
                </w14:textFill>
              </w:rPr>
              <w:t>项目采用单一来源采购方式采购，现将有关情况向潜在政府采购供应商征求意见: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采购项目名称：</w:t>
            </w:r>
            <w:r>
              <w:rPr>
                <w:rFonts w:hint="eastAsia" w:ascii="宋体" w:hAnsi="宋体" w:cs="宋体"/>
                <w:color w:val="000000"/>
                <w:kern w:val="0"/>
                <w:sz w:val="24"/>
              </w:rPr>
              <w:t>深圳市工程建设项目建立“用地清单”制度研究</w:t>
            </w:r>
          </w:p>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项目预算金额：</w:t>
            </w:r>
            <w:r>
              <w:rPr>
                <w:rFonts w:hint="eastAsia" w:asciiTheme="minorEastAsia" w:hAnsiTheme="minorEastAsia"/>
                <w:bCs/>
                <w:color w:val="000000" w:themeColor="text1"/>
                <w:sz w:val="24"/>
                <w:szCs w:val="24"/>
                <w:lang w:val="en-US" w:eastAsia="zh-CN"/>
                <w14:textFill>
                  <w14:solidFill>
                    <w14:schemeClr w14:val="tx1"/>
                  </w14:solidFill>
                </w14:textFill>
              </w:rPr>
              <w:t>96</w:t>
            </w:r>
            <w:r>
              <w:rPr>
                <w:rFonts w:hint="eastAsia" w:asciiTheme="minorEastAsia" w:hAnsiTheme="minorEastAsia"/>
                <w:bCs/>
                <w:color w:val="000000" w:themeColor="text1"/>
                <w:sz w:val="24"/>
                <w:szCs w:val="24"/>
                <w14:textFill>
                  <w14:solidFill>
                    <w14:schemeClr w14:val="tx1"/>
                  </w14:solidFill>
                </w14:textFill>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采购项目描述：(内容、用途、数量、简要技术需求等)</w:t>
            </w:r>
          </w:p>
          <w:p>
            <w:pPr>
              <w:tabs>
                <w:tab w:val="left" w:pos="180"/>
              </w:tabs>
              <w:adjustRightInd w:val="0"/>
              <w:snapToGrid w:val="0"/>
              <w:spacing w:line="360" w:lineRule="auto"/>
              <w:ind w:firstLine="480" w:firstLineChars="200"/>
              <w:rPr>
                <w:rFonts w:hint="eastAsia" w:ascii="宋体" w:hAnsi="宋体" w:cs="宋体"/>
                <w:color w:val="000000"/>
                <w:kern w:val="0"/>
                <w:sz w:val="24"/>
                <w:lang w:eastAsia="zh-CN"/>
              </w:rPr>
            </w:pPr>
            <w:r>
              <w:rPr>
                <w:rFonts w:hint="eastAsia" w:ascii="宋体" w:hAnsi="宋体" w:cs="宋体"/>
                <w:color w:val="000000"/>
                <w:kern w:val="0"/>
                <w:sz w:val="24"/>
              </w:rPr>
              <w:t>深圳市工程建设项目建立“用地清单”制度研究</w:t>
            </w:r>
            <w:r>
              <w:rPr>
                <w:rFonts w:hint="eastAsia" w:ascii="宋体" w:hAnsi="宋体" w:cs="宋体"/>
                <w:color w:val="000000"/>
                <w:kern w:val="0"/>
                <w:sz w:val="24"/>
                <w:lang w:eastAsia="zh-CN"/>
              </w:rPr>
              <w:t>：</w:t>
            </w:r>
          </w:p>
          <w:p>
            <w:pPr>
              <w:numPr>
                <w:ilvl w:val="0"/>
                <w:numId w:val="1"/>
              </w:numPr>
              <w:tabs>
                <w:tab w:val="left" w:pos="180"/>
              </w:tabs>
              <w:adjustRightInd w:val="0"/>
              <w:snapToGrid w:val="0"/>
              <w:spacing w:line="360" w:lineRule="auto"/>
              <w:ind w:left="425" w:leftChars="0" w:hanging="425" w:firstLineChars="0"/>
              <w:rPr>
                <w:rFonts w:hint="eastAsia"/>
                <w:color w:val="000000"/>
                <w:sz w:val="24"/>
              </w:rPr>
            </w:pPr>
            <w:r>
              <w:rPr>
                <w:rFonts w:hint="eastAsia"/>
                <w:color w:val="000000"/>
                <w:sz w:val="24"/>
              </w:rPr>
              <w:t>全国工程建设项目审批制度改革经验借鉴</w:t>
            </w:r>
          </w:p>
          <w:p>
            <w:pPr>
              <w:numPr>
                <w:ilvl w:val="0"/>
                <w:numId w:val="1"/>
              </w:numPr>
              <w:tabs>
                <w:tab w:val="left" w:pos="180"/>
              </w:tabs>
              <w:adjustRightInd w:val="0"/>
              <w:snapToGrid w:val="0"/>
              <w:spacing w:line="360" w:lineRule="auto"/>
              <w:ind w:left="425" w:leftChars="0" w:hanging="425" w:firstLineChars="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color w:val="000000"/>
                <w:sz w:val="24"/>
              </w:rPr>
              <w:t>深圳市经营性用地“用地清单”审批制度构建</w:t>
            </w:r>
          </w:p>
          <w:p>
            <w:pPr>
              <w:numPr>
                <w:ilvl w:val="0"/>
                <w:numId w:val="1"/>
              </w:numPr>
              <w:tabs>
                <w:tab w:val="left" w:pos="180"/>
              </w:tabs>
              <w:adjustRightInd w:val="0"/>
              <w:snapToGrid w:val="0"/>
              <w:spacing w:line="360" w:lineRule="auto"/>
              <w:ind w:left="425" w:leftChars="0" w:hanging="425" w:firstLineChars="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color w:val="000000"/>
                <w:sz w:val="24"/>
              </w:rPr>
              <w:t>深圳市经营性用地“用地清单”审批规则研究</w:t>
            </w:r>
          </w:p>
          <w:p>
            <w:pPr>
              <w:numPr>
                <w:ilvl w:val="0"/>
                <w:numId w:val="1"/>
              </w:numPr>
              <w:tabs>
                <w:tab w:val="left" w:pos="180"/>
              </w:tabs>
              <w:adjustRightInd w:val="0"/>
              <w:snapToGrid w:val="0"/>
              <w:spacing w:line="360" w:lineRule="auto"/>
              <w:ind w:left="425" w:leftChars="0" w:hanging="425" w:firstLineChars="0"/>
              <w:rPr>
                <w:rFonts w:hint="eastAsia" w:asciiTheme="minorEastAsia" w:hAnsiTheme="minorEastAsia" w:eastAsiaTheme="minorEastAsia"/>
                <w:color w:val="000000" w:themeColor="text1"/>
                <w:sz w:val="28"/>
                <w:szCs w:val="28"/>
                <w:lang w:eastAsia="zh-CN"/>
                <w14:textFill>
                  <w14:solidFill>
                    <w14:schemeClr w14:val="tx1"/>
                  </w14:solidFill>
                </w14:textFill>
              </w:rPr>
            </w:pPr>
            <w:r>
              <w:rPr>
                <w:rFonts w:hint="eastAsia"/>
                <w:color w:val="000000"/>
                <w:sz w:val="24"/>
              </w:rPr>
              <w:t>市规划和自然资源局“多规合一”信息平台“用地清单”模块功能研究</w:t>
            </w:r>
            <w:r>
              <w:rPr>
                <w:rFonts w:hint="eastAsia"/>
                <w:color w:val="00000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522" w:type="dxa"/>
          </w:tcPr>
          <w:p>
            <w:pPr>
              <w:spacing w:line="440" w:lineRule="exact"/>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拟定供应商名单：</w:t>
            </w:r>
            <w:r>
              <w:rPr>
                <w:rFonts w:hint="eastAsia"/>
                <w:color w:val="000000"/>
                <w:sz w:val="24"/>
              </w:rPr>
              <w:t>市规划国土发展研究中心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申请理由及相关说明：</w:t>
            </w:r>
          </w:p>
          <w:p>
            <w:pPr>
              <w:tabs>
                <w:tab w:val="left" w:pos="180"/>
              </w:tabs>
              <w:adjustRightInd w:val="0"/>
              <w:snapToGrid w:val="0"/>
              <w:spacing w:line="360" w:lineRule="auto"/>
              <w:ind w:firstLine="480" w:firstLineChars="200"/>
              <w:rPr>
                <w:color w:val="000000"/>
                <w:sz w:val="24"/>
              </w:rPr>
            </w:pPr>
            <w:r>
              <w:rPr>
                <w:rFonts w:hint="eastAsia"/>
                <w:color w:val="000000"/>
                <w:sz w:val="24"/>
              </w:rPr>
              <w:t>（一）拟委托单位的特殊性。市规划国土发展研究中心是市规划和自然资源局下属事业单位和专门性研究机构，多年从事我局用地审批、规划编制与调整、土地政策研究等相关工作，涉及领域广，队伍专业性强，能够有效保证本项目开展的连续性和相关政策的协调性。</w:t>
            </w:r>
          </w:p>
          <w:p>
            <w:pPr>
              <w:tabs>
                <w:tab w:val="left" w:pos="180"/>
              </w:tabs>
              <w:adjustRightInd w:val="0"/>
              <w:snapToGrid w:val="0"/>
              <w:spacing w:line="360" w:lineRule="auto"/>
              <w:ind w:firstLine="480" w:firstLineChars="200"/>
              <w:rPr>
                <w:color w:val="000000"/>
                <w:sz w:val="24"/>
              </w:rPr>
            </w:pPr>
            <w:r>
              <w:rPr>
                <w:rFonts w:hint="eastAsia"/>
                <w:color w:val="000000"/>
                <w:sz w:val="24"/>
              </w:rPr>
              <w:t>（二）工作的复杂性和专业性。本项目主要工作内容是基于强区放权土地管理改革新形势下开展的建设项目用地预审、土地供应方案报批工作等，涉及业务种类和政策类别较为繁杂，要求对国家、省、市的各类政策有深刻的理解和掌握，并对我局规划计划、用地审批、土地供应类业务非常熟悉，属于专业度和综合度都比较强的项目。</w:t>
            </w:r>
          </w:p>
          <w:p>
            <w:pPr>
              <w:tabs>
                <w:tab w:val="left" w:pos="180"/>
              </w:tabs>
              <w:adjustRightInd w:val="0"/>
              <w:snapToGrid w:val="0"/>
              <w:spacing w:line="360" w:lineRule="auto"/>
              <w:ind w:firstLine="480" w:firstLineChars="200"/>
              <w:rPr>
                <w:color w:val="000000"/>
                <w:sz w:val="24"/>
              </w:rPr>
            </w:pPr>
            <w:r>
              <w:rPr>
                <w:rFonts w:hint="eastAsia"/>
                <w:color w:val="000000"/>
                <w:sz w:val="24"/>
              </w:rPr>
              <w:t>（三）业务工作的延续性。本项目需多年深圳市建设用地预审和土地供应方案审批项目经验，要求对多种数据系统、政策探索研究及制定工作都有深刻的理解和掌握，以保证研究成果的连续性和协调性。自2</w:t>
            </w:r>
            <w:r>
              <w:rPr>
                <w:color w:val="000000"/>
                <w:sz w:val="24"/>
              </w:rPr>
              <w:t>011</w:t>
            </w:r>
            <w:r>
              <w:rPr>
                <w:rFonts w:hint="eastAsia"/>
                <w:color w:val="000000"/>
                <w:sz w:val="24"/>
              </w:rPr>
              <w:t>年起预审工作和土地供应方案审批相关工作技术支持和跟踪服务均由该中心承担，继续委托该中心能够最大程度地确保业务工作一致性和延续性。</w:t>
            </w:r>
          </w:p>
          <w:p>
            <w:pPr>
              <w:tabs>
                <w:tab w:val="left" w:pos="180"/>
              </w:tabs>
              <w:adjustRightInd w:val="0"/>
              <w:snapToGrid w:val="0"/>
              <w:spacing w:line="360" w:lineRule="auto"/>
              <w:ind w:firstLine="420" w:firstLineChars="200"/>
              <w:rPr>
                <w:rFonts w:asciiTheme="minorEastAsia" w:hAnsiTheme="minorEastAsia"/>
                <w:color w:val="000000" w:themeColor="text1"/>
                <w14:textFill>
                  <w14:solidFill>
                    <w14:schemeClr w14:val="tx1"/>
                  </w14:solidFill>
                </w14:textFill>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bCs/>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征求意见期限：</w:t>
            </w:r>
          </w:p>
          <w:p>
            <w:pPr>
              <w:spacing w:before="62" w:beforeLines="20" w:after="62" w:afterLines="20" w:line="440" w:lineRule="exact"/>
              <w:ind w:firstLine="480" w:firstLineChars="200"/>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olor w:val="000000" w:themeColor="text1"/>
                <w:sz w:val="24"/>
                <w:szCs w:val="24"/>
                <w14:textFill>
                  <w14:solidFill>
                    <w14:schemeClr w14:val="tx1"/>
                  </w14:solidFill>
                </w14:textFill>
              </w:rPr>
              <w:t>从2021年5月1</w:t>
            </w:r>
            <w:r>
              <w:rPr>
                <w:rFonts w:hint="eastAsia" w:asciiTheme="minorEastAsia" w:hAnsiTheme="minorEastAsia"/>
                <w:color w:val="000000" w:themeColor="text1"/>
                <w:sz w:val="24"/>
                <w:szCs w:val="24"/>
                <w:lang w:val="en-US" w:eastAsia="zh-CN"/>
                <w14:textFill>
                  <w14:solidFill>
                    <w14:schemeClr w14:val="tx1"/>
                  </w14:solidFill>
                </w14:textFill>
              </w:rPr>
              <w:t>8</w:t>
            </w:r>
            <w:r>
              <w:rPr>
                <w:rFonts w:hint="eastAsia" w:asciiTheme="minorEastAsia" w:hAnsiTheme="minorEastAsia"/>
                <w:color w:val="000000" w:themeColor="text1"/>
                <w:sz w:val="24"/>
                <w:szCs w:val="24"/>
                <w14:textFill>
                  <w14:solidFill>
                    <w14:schemeClr w14:val="tx1"/>
                  </w14:solidFill>
                </w14:textFill>
              </w:rPr>
              <w:t>日起至2021年5月</w:t>
            </w:r>
            <w:r>
              <w:rPr>
                <w:rFonts w:hint="eastAsia" w:asciiTheme="minorEastAsia" w:hAnsiTheme="minorEastAsia"/>
                <w:color w:val="000000" w:themeColor="text1"/>
                <w:sz w:val="24"/>
                <w:szCs w:val="24"/>
                <w:lang w:val="en-US" w:eastAsia="zh-CN"/>
                <w14:textFill>
                  <w14:solidFill>
                    <w14:schemeClr w14:val="tx1"/>
                  </w14:solidFill>
                </w14:textFill>
              </w:rPr>
              <w:t>24</w:t>
            </w:r>
            <w:r>
              <w:rPr>
                <w:rFonts w:hint="eastAsia" w:asciiTheme="minorEastAsia" w:hAnsiTheme="minorEastAsia"/>
                <w:color w:val="000000" w:themeColor="text1"/>
                <w:sz w:val="24"/>
                <w:szCs w:val="24"/>
                <w14:textFill>
                  <w14:solidFill>
                    <w14:schemeClr w14:val="tx1"/>
                  </w14:solidFill>
                </w14:textFill>
              </w:rPr>
              <w:t>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widowControl/>
              <w:spacing w:before="100" w:beforeAutospacing="1" w:after="100" w:afterAutospacing="1" w:line="320" w:lineRule="exact"/>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bCs/>
                <w:color w:val="000000" w:themeColor="text1"/>
                <w:kern w:val="0"/>
                <w:sz w:val="24"/>
                <w:szCs w:val="24"/>
                <w14:textFill>
                  <w14:solidFill>
                    <w14:schemeClr w14:val="tx1"/>
                  </w14:solidFill>
                </w14:textFill>
              </w:rPr>
              <w:t>联系方式：</w:t>
            </w:r>
          </w:p>
          <w:p>
            <w:pPr>
              <w:widowControl/>
              <w:spacing w:before="100" w:beforeAutospacing="1" w:after="100" w:afterAutospacing="1" w:line="320" w:lineRule="exact"/>
              <w:ind w:firstLine="480"/>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采购人:深圳市土地房产交易中心</w:t>
            </w:r>
          </w:p>
          <w:p>
            <w:pPr>
              <w:widowControl/>
              <w:spacing w:before="100" w:beforeAutospacing="1" w:after="100" w:afterAutospacing="1" w:line="320" w:lineRule="exact"/>
              <w:ind w:firstLine="480"/>
              <w:jc w:val="lef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联系人：</w:t>
            </w:r>
            <w:r>
              <w:rPr>
                <w:rFonts w:hint="eastAsia" w:cs="宋体" w:asciiTheme="minorEastAsia" w:hAnsiTheme="minorEastAsia"/>
                <w:color w:val="000000" w:themeColor="text1"/>
                <w:kern w:val="0"/>
                <w:sz w:val="24"/>
                <w:szCs w:val="24"/>
                <w:lang w:eastAsia="zh-CN"/>
                <w14:textFill>
                  <w14:solidFill>
                    <w14:schemeClr w14:val="tx1"/>
                  </w14:solidFill>
                </w14:textFill>
              </w:rPr>
              <w:t>陈文翔</w:t>
            </w:r>
          </w:p>
          <w:p>
            <w:pPr>
              <w:widowControl/>
              <w:spacing w:before="100" w:beforeAutospacing="1" w:after="100" w:afterAutospacing="1" w:line="320" w:lineRule="exact"/>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　　地址：深圳市红荔西路8007号深圳市土地房产交易大厦3</w:t>
            </w:r>
            <w:r>
              <w:rPr>
                <w:rFonts w:hint="eastAsia" w:cs="宋体" w:asciiTheme="minorEastAsia" w:hAnsiTheme="minorEastAsia"/>
                <w:color w:val="000000" w:themeColor="text1"/>
                <w:kern w:val="0"/>
                <w:sz w:val="24"/>
                <w:szCs w:val="24"/>
                <w:lang w:val="en-US" w:eastAsia="zh-CN"/>
                <w14:textFill>
                  <w14:solidFill>
                    <w14:schemeClr w14:val="tx1"/>
                  </w14:solidFill>
                </w14:textFill>
              </w:rPr>
              <w:t>26</w:t>
            </w:r>
            <w:r>
              <w:rPr>
                <w:rFonts w:hint="eastAsia" w:cs="宋体" w:asciiTheme="minorEastAsia" w:hAnsiTheme="minorEastAsia"/>
                <w:color w:val="000000" w:themeColor="text1"/>
                <w:kern w:val="0"/>
                <w:sz w:val="24"/>
                <w:szCs w:val="24"/>
                <w14:textFill>
                  <w14:solidFill>
                    <w14:schemeClr w14:val="tx1"/>
                  </w14:solidFill>
                </w14:textFill>
              </w:rPr>
              <w:t>室</w:t>
            </w:r>
          </w:p>
          <w:p>
            <w:pPr>
              <w:widowControl/>
              <w:spacing w:before="100" w:beforeAutospacing="1" w:after="100" w:afterAutospacing="1" w:line="320" w:lineRule="exact"/>
              <w:jc w:val="left"/>
              <w:rPr>
                <w:rFonts w:cs="宋体" w:asciiTheme="minorEastAsia" w:hAnsiTheme="minorEastAsia"/>
                <w:color w:val="000000" w:themeColor="text1"/>
                <w:kern w:val="0"/>
                <w:sz w:val="24"/>
                <w:szCs w:val="24"/>
                <w14:textFill>
                  <w14:solidFill>
                    <w14:schemeClr w14:val="tx1"/>
                  </w14:solidFill>
                </w14:textFill>
              </w:rPr>
            </w:pPr>
            <w:r>
              <w:rPr>
                <w:rFonts w:hint="eastAsia" w:cs="宋体" w:asciiTheme="minorEastAsia" w:hAnsiTheme="minorEastAsia"/>
                <w:color w:val="000000" w:themeColor="text1"/>
                <w:kern w:val="0"/>
                <w:sz w:val="24"/>
                <w:szCs w:val="24"/>
                <w14:textFill>
                  <w14:solidFill>
                    <w14:schemeClr w14:val="tx1"/>
                  </w14:solidFill>
                </w14:textFill>
              </w:rPr>
              <w:t>　　联系电话：0755-</w:t>
            </w:r>
            <w:r>
              <w:rPr>
                <w:rFonts w:hint="eastAsia" w:cs="宋体" w:asciiTheme="minorEastAsia" w:hAnsiTheme="minorEastAsia"/>
                <w:color w:val="000000" w:themeColor="text1"/>
                <w:kern w:val="0"/>
                <w:sz w:val="24"/>
                <w:szCs w:val="24"/>
                <w:lang w:val="en-US" w:eastAsia="zh-CN"/>
                <w14:textFill>
                  <w14:solidFill>
                    <w14:schemeClr w14:val="tx1"/>
                  </w14:solidFill>
                </w14:textFill>
              </w:rPr>
              <w:t>23934807</w:t>
            </w:r>
            <w:r>
              <w:rPr>
                <w:rFonts w:hint="eastAsia" w:cs="宋体" w:asciiTheme="minorEastAsia" w:hAnsiTheme="minorEastAsia"/>
                <w:color w:val="000000" w:themeColor="text1"/>
                <w:kern w:val="0"/>
                <w:sz w:val="24"/>
                <w:szCs w:val="24"/>
                <w14:textFill>
                  <w14:solidFill>
                    <w14:schemeClr w14:val="tx1"/>
                  </w14:solidFill>
                </w14:textFill>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spacing w:line="440" w:lineRule="exact"/>
              <w:rPr>
                <w:rFonts w:asciiTheme="minorEastAsia" w:hAnsiTheme="minorEastAsia"/>
                <w:color w:val="000000" w:themeColor="text1"/>
                <w:sz w:val="24"/>
                <w:szCs w:val="24"/>
                <w14:textFill>
                  <w14:solidFill>
                    <w14:schemeClr w14:val="tx1"/>
                  </w14:solidFill>
                </w14:textFill>
              </w:rPr>
            </w:pPr>
            <w:r>
              <w:rPr>
                <w:rFonts w:hint="eastAsia" w:asciiTheme="minorEastAsia" w:hAnsiTheme="minorEastAsia"/>
                <w:bCs/>
                <w:color w:val="000000" w:themeColor="text1"/>
                <w:sz w:val="24"/>
                <w:szCs w:val="24"/>
                <w14:textFill>
                  <w14:solidFill>
                    <w14:schemeClr w14:val="tx1"/>
                  </w14:solidFill>
                </w14:textFill>
              </w:rPr>
              <w:t>备注：</w:t>
            </w:r>
            <w:r>
              <w:rPr>
                <w:rFonts w:hint="eastAsia" w:asciiTheme="minorEastAsia" w:hAnsiTheme="minorEastAsia"/>
                <w:color w:val="000000" w:themeColor="text1"/>
                <w:sz w:val="24"/>
                <w:szCs w:val="24"/>
                <w14:textFill>
                  <w14:solidFill>
                    <w14:schemeClr w14:val="tx1"/>
                  </w14:solidFill>
                </w14:textFill>
              </w:rPr>
              <w:t>潜在政府采购供应商对公示内容有异议的，请于</w:t>
            </w:r>
            <w:r>
              <w:rPr>
                <w:rFonts w:hint="eastAsia" w:asciiTheme="minorEastAsia" w:hAnsiTheme="minorEastAsia"/>
                <w:bCs/>
                <w:color w:val="000000" w:themeColor="text1"/>
                <w:sz w:val="24"/>
                <w:szCs w:val="24"/>
                <w14:textFill>
                  <w14:solidFill>
                    <w14:schemeClr w14:val="tx1"/>
                  </w14:solidFill>
                </w14:textFill>
              </w:rPr>
              <w:t>公示之日起至期满后两个工作日内</w:t>
            </w:r>
            <w:r>
              <w:rPr>
                <w:rFonts w:hint="eastAsia" w:asciiTheme="minorEastAsia" w:hAnsiTheme="minorEastAsia"/>
                <w:color w:val="000000" w:themeColor="text1"/>
                <w:sz w:val="24"/>
                <w:szCs w:val="24"/>
                <w14:textFill>
                  <w14:solidFill>
                    <w14:schemeClr w14:val="tx1"/>
                  </w14:solidFill>
                </w14:textFill>
              </w:rPr>
              <w:t>以实名书面（包括联系人、地址、联系电话）形式将意见反馈至</w:t>
            </w:r>
            <w:r>
              <w:rPr>
                <w:rFonts w:hint="eastAsia" w:cs="宋体" w:asciiTheme="minorEastAsia" w:hAnsiTheme="minorEastAsia"/>
                <w:color w:val="000000" w:themeColor="text1"/>
                <w:kern w:val="0"/>
                <w:sz w:val="24"/>
                <w:szCs w:val="24"/>
                <w14:textFill>
                  <w14:solidFill>
                    <w14:schemeClr w14:val="tx1"/>
                  </w14:solidFill>
                </w14:textFill>
              </w:rPr>
              <w:t>深圳市土地房产交易中心。</w:t>
            </w:r>
          </w:p>
        </w:tc>
      </w:tr>
    </w:tbl>
    <w:p>
      <w:pPr>
        <w:rPr>
          <w:rFonts w:ascii="仿宋" w:hAnsi="仿宋" w:eastAsia="仿宋"/>
          <w:color w:val="000000" w:themeColor="text1"/>
          <w14:textFill>
            <w14:solidFill>
              <w14:schemeClr w14:val="tx1"/>
            </w14:solidFill>
          </w14:textFill>
        </w:rPr>
      </w:pPr>
      <w:r>
        <w:rPr>
          <w:rFonts w:hint="eastAsia" w:ascii="仿宋" w:hAnsi="仿宋" w:eastAsia="仿宋"/>
          <w:color w:val="000000" w:themeColor="text1"/>
          <w14:textFill>
            <w14:solidFill>
              <w14:schemeClr w14:val="tx1"/>
            </w14:solidFill>
          </w14:textFill>
        </w:rPr>
        <w:t>上述内容需包括：</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（一）采购人名称、项目名称、采购计划、项目规模及资金来源情况；</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（二）项目技术需求和标准；</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（三）申请非公开招标的采购方式、理由及证明材料；</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（四）相关行业及潜在供应商情况；</w:t>
      </w:r>
    </w:p>
    <w:p>
      <w:pPr>
        <w:widowControl/>
        <w:jc w:val="left"/>
        <w:rPr>
          <w:rFonts w:ascii="仿宋" w:hAnsi="仿宋" w:eastAsia="仿宋" w:cs="宋体"/>
          <w:kern w:val="0"/>
          <w:sz w:val="20"/>
          <w:szCs w:val="20"/>
        </w:rPr>
      </w:pPr>
      <w:r>
        <w:rPr>
          <w:rFonts w:hint="eastAsia" w:ascii="仿宋" w:hAnsi="仿宋" w:eastAsia="仿宋" w:cs="宋体"/>
          <w:kern w:val="0"/>
          <w:sz w:val="20"/>
          <w:szCs w:val="20"/>
        </w:rPr>
        <w:t>（五）参与非公开招标的供应商的产生方式和理由；</w:t>
      </w:r>
    </w:p>
    <w:p>
      <w:pPr>
        <w:rPr>
          <w:rFonts w:ascii="仿宋" w:hAnsi="仿宋" w:eastAsia="仿宋"/>
        </w:rPr>
      </w:pPr>
      <w:r>
        <w:rPr>
          <w:rFonts w:hint="eastAsia" w:ascii="仿宋" w:hAnsi="仿宋" w:eastAsia="仿宋" w:cs="宋体"/>
          <w:kern w:val="0"/>
          <w:sz w:val="20"/>
          <w:szCs w:val="20"/>
        </w:rPr>
        <w:t>（六）涉密、应急项目的认定材料。</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977A7E"/>
    <w:multiLevelType w:val="singleLevel"/>
    <w:tmpl w:val="35977A7E"/>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B1137C"/>
    <w:rsid w:val="24ED56A6"/>
    <w:rsid w:val="6DB11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2021-05-18T07:33:00Z</dcterms:created>
  <dc:creator>千夜</dc:creator>
  <cp:lastModifiedBy>千夜</cp:lastModifiedBy>
  <dcterms:modified xsi:type="dcterms:W3CDTF">2021-05-18T07:42:22Z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