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微软雅黑" w:hAnsi="微软雅黑" w:eastAsia="微软雅黑" w:cs="微软雅黑"/>
          <w:b/>
          <w:sz w:val="28"/>
          <w:szCs w:val="28"/>
          <w:lang w:val="en-US" w:eastAsia="zh-CN"/>
        </w:rPr>
      </w:pPr>
      <w:r>
        <w:rPr>
          <w:rFonts w:hint="eastAsia" w:asciiTheme="minorEastAsia" w:hAnsiTheme="minorEastAsia" w:eastAsiaTheme="minorEastAsia"/>
          <w:b/>
          <w:bCs/>
          <w:color w:val="000000" w:themeColor="text1"/>
          <w:sz w:val="28"/>
          <w:szCs w:val="28"/>
          <w14:textFill>
            <w14:solidFill>
              <w14:schemeClr w14:val="tx1"/>
            </w14:solidFill>
          </w14:textFill>
        </w:rPr>
        <w:t>附件</w:t>
      </w:r>
      <w:r>
        <w:rPr>
          <w:rFonts w:hint="eastAsia" w:asciiTheme="minorEastAsia" w:hAnsiTheme="minorEastAsia"/>
          <w:b/>
          <w:bCs/>
          <w:color w:val="000000" w:themeColor="text1"/>
          <w:sz w:val="28"/>
          <w:szCs w:val="28"/>
          <w:lang w:val="en-US" w:eastAsia="zh-CN"/>
          <w14:textFill>
            <w14:solidFill>
              <w14:schemeClr w14:val="tx1"/>
            </w14:solidFill>
          </w14:textFill>
        </w:rPr>
        <w:t>1</w:t>
      </w:r>
      <w:r>
        <w:rPr>
          <w:rFonts w:hint="eastAsia" w:ascii="微软雅黑" w:hAnsi="微软雅黑" w:eastAsia="微软雅黑" w:cs="微软雅黑"/>
          <w:b/>
          <w:sz w:val="28"/>
          <w:szCs w:val="28"/>
          <w:lang w:val="en-US" w:eastAsia="zh-CN"/>
        </w:rPr>
        <w:t xml:space="preserve"> </w:t>
      </w:r>
      <w:bookmarkStart w:id="0" w:name="_GoBack"/>
      <w:bookmarkEnd w:id="0"/>
    </w:p>
    <w:p>
      <w:pPr>
        <w:ind w:firstLine="450"/>
        <w:jc w:val="center"/>
        <w:rPr>
          <w:rFonts w:hint="eastAsia" w:ascii="微软雅黑" w:hAnsi="微软雅黑" w:eastAsia="微软雅黑" w:cs="微软雅黑"/>
          <w:b/>
          <w:sz w:val="28"/>
          <w:szCs w:val="28"/>
          <w:lang w:val="en-US" w:eastAsia="zh-CN"/>
        </w:rPr>
      </w:pPr>
      <w:r>
        <w:rPr>
          <w:rFonts w:hint="eastAsia" w:ascii="微软雅黑" w:hAnsi="微软雅黑" w:eastAsia="微软雅黑" w:cs="微软雅黑"/>
          <w:b/>
          <w:sz w:val="28"/>
          <w:szCs w:val="28"/>
        </w:rPr>
        <w:t>深圳市工业用地转让的土地增值税政策研</w:t>
      </w:r>
      <w:r>
        <w:rPr>
          <w:rFonts w:hint="eastAsia" w:ascii="微软雅黑" w:hAnsi="微软雅黑" w:eastAsia="微软雅黑" w:cs="微软雅黑"/>
          <w:b/>
          <w:sz w:val="28"/>
          <w:szCs w:val="28"/>
          <w:lang w:val="en-US" w:eastAsia="zh-CN"/>
        </w:rPr>
        <w:t>究</w:t>
      </w:r>
    </w:p>
    <w:p>
      <w:pPr>
        <w:pStyle w:val="4"/>
        <w:numPr>
          <w:ilvl w:val="0"/>
          <w:numId w:val="1"/>
        </w:numPr>
        <w:ind w:firstLineChars="0"/>
        <w:rPr>
          <w:rFonts w:ascii="微软雅黑" w:hAnsi="微软雅黑" w:eastAsia="微软雅黑" w:cs="微软雅黑"/>
          <w:b/>
          <w:sz w:val="28"/>
          <w:szCs w:val="28"/>
        </w:rPr>
      </w:pPr>
      <w:r>
        <w:rPr>
          <w:rFonts w:hint="eastAsia" w:ascii="微软雅黑" w:hAnsi="微软雅黑" w:eastAsia="微软雅黑" w:cs="微软雅黑"/>
          <w:b/>
          <w:sz w:val="28"/>
          <w:szCs w:val="28"/>
        </w:rPr>
        <w:t>研究目的</w:t>
      </w:r>
    </w:p>
    <w:p>
      <w:pPr>
        <w:ind w:firstLine="440" w:firstLineChars="200"/>
        <w:rPr>
          <w:rFonts w:hint="eastAsia" w:ascii="微软雅黑" w:hAnsi="微软雅黑" w:eastAsia="微软雅黑" w:cs="微软雅黑"/>
          <w:sz w:val="22"/>
          <w:szCs w:val="22"/>
        </w:rPr>
      </w:pPr>
      <w:r>
        <w:rPr>
          <w:rFonts w:hint="eastAsia" w:ascii="微软雅黑" w:hAnsi="微软雅黑" w:eastAsia="微软雅黑" w:cs="微软雅黑"/>
          <w:sz w:val="22"/>
          <w:szCs w:val="22"/>
        </w:rPr>
        <w:t>探索降低工业用地的转让税费成本的路径，以鼓励和推动存量工业用地的流转，提高工业用地的利用效率，深入落实《深圳建设中国特色社会主义先行示范区综合改革试点实施方案（2020－2025年）》精神，符合《国务院办公厅关于完善建设用地使用权转让、出租、抵押二级市场的指导意见》（国办发〔2019〕34号）有关要求。</w:t>
      </w:r>
    </w:p>
    <w:p>
      <w:pPr>
        <w:pStyle w:val="4"/>
        <w:numPr>
          <w:ilvl w:val="0"/>
          <w:numId w:val="1"/>
        </w:numPr>
        <w:ind w:firstLineChars="0"/>
        <w:rPr>
          <w:rFonts w:ascii="微软雅黑" w:hAnsi="微软雅黑" w:eastAsia="微软雅黑" w:cs="微软雅黑"/>
          <w:b/>
          <w:sz w:val="28"/>
          <w:szCs w:val="28"/>
        </w:rPr>
      </w:pPr>
      <w:r>
        <w:rPr>
          <w:rFonts w:hint="eastAsia" w:ascii="微软雅黑" w:hAnsi="微软雅黑" w:eastAsia="微软雅黑" w:cs="微软雅黑"/>
          <w:b/>
          <w:sz w:val="28"/>
          <w:szCs w:val="28"/>
        </w:rPr>
        <w:t>研究内容</w:t>
      </w:r>
    </w:p>
    <w:p>
      <w:pPr>
        <w:pStyle w:val="4"/>
        <w:numPr>
          <w:ilvl w:val="0"/>
          <w:numId w:val="2"/>
        </w:numPr>
        <w:ind w:firstLineChars="0"/>
        <w:rPr>
          <w:rFonts w:ascii="微软雅黑" w:hAnsi="微软雅黑" w:eastAsia="微软雅黑" w:cs="微软雅黑"/>
          <w:sz w:val="22"/>
          <w:szCs w:val="22"/>
        </w:rPr>
      </w:pPr>
      <w:r>
        <w:rPr>
          <w:rFonts w:hint="eastAsia" w:ascii="微软雅黑" w:hAnsi="微软雅黑" w:eastAsia="微软雅黑" w:cs="微软雅黑"/>
          <w:sz w:val="22"/>
          <w:szCs w:val="22"/>
        </w:rPr>
        <w:t>梳理国家、广东省和深圳市层面关于工业用地转让所涉及的土地增值税政策；</w:t>
      </w:r>
    </w:p>
    <w:p>
      <w:pPr>
        <w:pStyle w:val="4"/>
        <w:numPr>
          <w:ilvl w:val="0"/>
          <w:numId w:val="2"/>
        </w:numPr>
        <w:ind w:firstLineChars="0"/>
        <w:rPr>
          <w:rFonts w:ascii="微软雅黑" w:hAnsi="微软雅黑" w:eastAsia="微软雅黑" w:cs="微软雅黑"/>
          <w:sz w:val="22"/>
          <w:szCs w:val="22"/>
        </w:rPr>
      </w:pPr>
      <w:r>
        <w:rPr>
          <w:rFonts w:hint="eastAsia" w:ascii="微软雅黑" w:hAnsi="微软雅黑" w:eastAsia="微软雅黑" w:cs="微软雅黑"/>
          <w:sz w:val="22"/>
          <w:szCs w:val="22"/>
        </w:rPr>
        <w:t>对比研究宁波在试点土地使用权二级市场流转政策过程中的土地增值税相关政策的内容及其合理性、合法性；</w:t>
      </w:r>
    </w:p>
    <w:p>
      <w:pPr>
        <w:pStyle w:val="4"/>
        <w:numPr>
          <w:ilvl w:val="0"/>
          <w:numId w:val="2"/>
        </w:numPr>
        <w:ind w:firstLineChars="0"/>
        <w:rPr>
          <w:rFonts w:ascii="微软雅黑" w:hAnsi="微软雅黑" w:eastAsia="微软雅黑" w:cs="微软雅黑"/>
          <w:sz w:val="22"/>
          <w:szCs w:val="22"/>
        </w:rPr>
      </w:pPr>
      <w:r>
        <w:rPr>
          <w:rFonts w:hint="eastAsia" w:ascii="微软雅黑" w:hAnsi="微软雅黑" w:eastAsia="微软雅黑" w:cs="微软雅黑"/>
          <w:sz w:val="22"/>
          <w:szCs w:val="22"/>
        </w:rPr>
        <w:t>以符合深圳市交易情况的案例进行模拟分析以股权转让变相转让土地使用权和直接转让土地使用权的两种不同情况下，交易双方的土地增值税纳税负担。</w:t>
      </w:r>
    </w:p>
    <w:p>
      <w:pPr>
        <w:pStyle w:val="4"/>
        <w:numPr>
          <w:ilvl w:val="0"/>
          <w:numId w:val="2"/>
        </w:numPr>
        <w:ind w:firstLineChars="0"/>
        <w:rPr>
          <w:rFonts w:ascii="微软雅黑" w:hAnsi="微软雅黑" w:eastAsia="微软雅黑" w:cs="微软雅黑"/>
          <w:sz w:val="22"/>
          <w:szCs w:val="22"/>
        </w:rPr>
      </w:pPr>
      <w:r>
        <w:rPr>
          <w:rFonts w:hint="eastAsia" w:ascii="微软雅黑" w:hAnsi="微软雅黑" w:eastAsia="微软雅黑" w:cs="微软雅黑"/>
          <w:sz w:val="22"/>
          <w:szCs w:val="22"/>
        </w:rPr>
        <w:t>针对降低深圳市工业用地转让的土地增值税税务成本提出可行的建议和实施路径。</w:t>
      </w:r>
    </w:p>
    <w:p>
      <w:pPr>
        <w:pStyle w:val="4"/>
        <w:numPr>
          <w:ilvl w:val="0"/>
          <w:numId w:val="1"/>
        </w:numPr>
        <w:ind w:firstLineChars="0"/>
        <w:rPr>
          <w:rFonts w:ascii="微软雅黑" w:hAnsi="微软雅黑" w:eastAsia="微软雅黑" w:cs="微软雅黑"/>
          <w:b/>
          <w:sz w:val="28"/>
          <w:szCs w:val="28"/>
        </w:rPr>
      </w:pPr>
      <w:r>
        <w:rPr>
          <w:rFonts w:hint="eastAsia" w:ascii="微软雅黑" w:hAnsi="微软雅黑" w:eastAsia="微软雅黑" w:cs="微软雅黑"/>
          <w:b/>
          <w:sz w:val="28"/>
          <w:szCs w:val="28"/>
        </w:rPr>
        <w:t>成果形式</w:t>
      </w:r>
    </w:p>
    <w:p>
      <w:pPr>
        <w:ind w:firstLine="450"/>
        <w:rPr>
          <w:rFonts w:hint="eastAsia" w:ascii="微软雅黑" w:hAnsi="微软雅黑" w:eastAsia="微软雅黑" w:cs="微软雅黑"/>
          <w:sz w:val="22"/>
          <w:szCs w:val="22"/>
        </w:rPr>
      </w:pPr>
      <w:r>
        <w:rPr>
          <w:rFonts w:hint="eastAsia" w:ascii="微软雅黑" w:hAnsi="微软雅黑" w:eastAsia="微软雅黑" w:cs="微软雅黑"/>
          <w:sz w:val="22"/>
          <w:szCs w:val="22"/>
        </w:rPr>
        <w:t>《深圳市工业用地转让的土地增值税政策研究报告》word版本</w:t>
      </w:r>
    </w:p>
    <w:p>
      <w:pPr>
        <w:ind w:firstLine="450"/>
        <w:rPr>
          <w:rFonts w:ascii="微软雅黑" w:hAnsi="微软雅黑" w:eastAsia="微软雅黑" w:cs="微软雅黑"/>
          <w:b/>
          <w:sz w:val="28"/>
          <w:szCs w:val="28"/>
        </w:rPr>
      </w:pPr>
      <w:r>
        <w:rPr>
          <w:rFonts w:hint="eastAsia" w:ascii="微软雅黑" w:hAnsi="微软雅黑" w:eastAsia="微软雅黑" w:cs="微软雅黑"/>
          <w:b/>
          <w:sz w:val="28"/>
          <w:szCs w:val="28"/>
        </w:rPr>
        <w:t>四、合</w:t>
      </w:r>
      <w:r>
        <w:rPr>
          <w:rFonts w:ascii="微软雅黑" w:hAnsi="微软雅黑" w:eastAsia="微软雅黑" w:cs="微软雅黑"/>
          <w:b/>
          <w:sz w:val="28"/>
          <w:szCs w:val="28"/>
        </w:rPr>
        <w:t>同</w:t>
      </w:r>
      <w:r>
        <w:rPr>
          <w:rFonts w:hint="eastAsia" w:ascii="微软雅黑" w:hAnsi="微软雅黑" w:eastAsia="微软雅黑" w:cs="微软雅黑"/>
          <w:b/>
          <w:sz w:val="28"/>
          <w:szCs w:val="28"/>
        </w:rPr>
        <w:t>期限</w:t>
      </w:r>
    </w:p>
    <w:p>
      <w:pPr>
        <w:ind w:firstLine="450"/>
        <w:rPr>
          <w:rFonts w:ascii="微软雅黑" w:hAnsi="微软雅黑" w:eastAsia="微软雅黑" w:cs="微软雅黑"/>
          <w:sz w:val="22"/>
          <w:szCs w:val="22"/>
        </w:rPr>
      </w:pPr>
      <w:r>
        <w:rPr>
          <w:rFonts w:hint="eastAsia" w:ascii="微软雅黑" w:hAnsi="微软雅黑" w:eastAsia="微软雅黑" w:cs="微软雅黑"/>
          <w:sz w:val="22"/>
          <w:szCs w:val="22"/>
        </w:rPr>
        <w:t>本项</w:t>
      </w:r>
      <w:r>
        <w:rPr>
          <w:rFonts w:ascii="微软雅黑" w:hAnsi="微软雅黑" w:eastAsia="微软雅黑" w:cs="微软雅黑"/>
          <w:sz w:val="22"/>
          <w:szCs w:val="22"/>
        </w:rPr>
        <w:t>目合同</w:t>
      </w:r>
      <w:r>
        <w:rPr>
          <w:rFonts w:hint="eastAsia" w:ascii="微软雅黑" w:hAnsi="微软雅黑" w:eastAsia="微软雅黑" w:cs="微软雅黑"/>
          <w:sz w:val="22"/>
          <w:szCs w:val="22"/>
        </w:rPr>
        <w:t>期限暂定</w:t>
      </w:r>
      <w:r>
        <w:rPr>
          <w:rFonts w:ascii="微软雅黑" w:hAnsi="微软雅黑" w:eastAsia="微软雅黑" w:cs="微软雅黑"/>
          <w:sz w:val="22"/>
          <w:szCs w:val="22"/>
        </w:rPr>
        <w:t>为自</w:t>
      </w:r>
      <w:r>
        <w:rPr>
          <w:rFonts w:hint="eastAsia" w:ascii="微软雅黑" w:hAnsi="微软雅黑" w:eastAsia="微软雅黑" w:cs="微软雅黑"/>
          <w:sz w:val="22"/>
          <w:szCs w:val="22"/>
        </w:rPr>
        <w:t>合同签订</w:t>
      </w:r>
      <w:r>
        <w:rPr>
          <w:rFonts w:ascii="微软雅黑" w:hAnsi="微软雅黑" w:eastAsia="微软雅黑" w:cs="微软雅黑"/>
          <w:sz w:val="22"/>
          <w:szCs w:val="22"/>
        </w:rPr>
        <w:t>之日起</w:t>
      </w:r>
      <w:r>
        <w:rPr>
          <w:rFonts w:hint="eastAsia" w:ascii="微软雅黑" w:hAnsi="微软雅黑" w:eastAsia="微软雅黑" w:cs="微软雅黑"/>
          <w:sz w:val="22"/>
          <w:szCs w:val="22"/>
        </w:rPr>
        <w:t>15日内完成。</w:t>
      </w:r>
    </w:p>
    <w:p>
      <w:pPr>
        <w:spacing w:before="156" w:beforeLines="50" w:after="156" w:afterLines="50" w:line="360" w:lineRule="auto"/>
        <w:ind w:firstLine="560" w:firstLineChars="200"/>
        <w:rPr>
          <w:rFonts w:ascii="微软雅黑" w:hAnsi="微软雅黑" w:eastAsia="微软雅黑" w:cs="微软雅黑"/>
          <w:b/>
          <w:bCs/>
          <w:sz w:val="28"/>
          <w:szCs w:val="36"/>
        </w:rPr>
      </w:pPr>
      <w:r>
        <w:rPr>
          <w:rFonts w:hint="eastAsia" w:ascii="微软雅黑" w:hAnsi="微软雅黑" w:eastAsia="微软雅黑" w:cs="微软雅黑"/>
          <w:b/>
          <w:bCs/>
          <w:sz w:val="28"/>
          <w:szCs w:val="36"/>
        </w:rPr>
        <w:t>五、费用测算</w:t>
      </w:r>
    </w:p>
    <w:p>
      <w:pPr>
        <w:ind w:firstLine="450"/>
      </w:pPr>
      <w:r>
        <w:rPr>
          <w:rFonts w:hint="eastAsia" w:ascii="微软雅黑" w:hAnsi="微软雅黑" w:eastAsia="微软雅黑" w:cs="微软雅黑"/>
          <w:sz w:val="22"/>
          <w:szCs w:val="22"/>
        </w:rPr>
        <w:t>本项目价款含律师及税务师研究制作报告等费用 。在符合中</w:t>
      </w:r>
      <w:r>
        <w:rPr>
          <w:rFonts w:ascii="微软雅黑" w:hAnsi="微软雅黑" w:eastAsia="微软雅黑" w:cs="微软雅黑"/>
          <w:sz w:val="22"/>
          <w:szCs w:val="22"/>
        </w:rPr>
        <w:t>心内控</w:t>
      </w:r>
      <w:r>
        <w:rPr>
          <w:rFonts w:hint="eastAsia" w:ascii="微软雅黑" w:hAnsi="微软雅黑" w:eastAsia="微软雅黑" w:cs="微软雅黑"/>
          <w:sz w:val="22"/>
          <w:szCs w:val="22"/>
        </w:rPr>
        <w:t>制</w:t>
      </w:r>
      <w:r>
        <w:rPr>
          <w:rFonts w:ascii="微软雅黑" w:hAnsi="微软雅黑" w:eastAsia="微软雅黑" w:cs="微软雅黑"/>
          <w:sz w:val="22"/>
          <w:szCs w:val="22"/>
        </w:rPr>
        <w:t>度</w:t>
      </w:r>
      <w:r>
        <w:rPr>
          <w:rFonts w:hint="eastAsia" w:ascii="微软雅黑" w:hAnsi="微软雅黑" w:eastAsia="微软雅黑" w:cs="微软雅黑"/>
          <w:sz w:val="22"/>
          <w:szCs w:val="22"/>
        </w:rPr>
        <w:t>规定下，依</w:t>
      </w:r>
      <w:r>
        <w:rPr>
          <w:rFonts w:ascii="微软雅黑" w:hAnsi="微软雅黑" w:eastAsia="微软雅黑" w:cs="微软雅黑"/>
          <w:sz w:val="22"/>
          <w:szCs w:val="22"/>
        </w:rPr>
        <w:t>据</w:t>
      </w:r>
      <w:r>
        <w:rPr>
          <w:rFonts w:hint="eastAsia" w:ascii="微软雅黑" w:hAnsi="微软雅黑" w:eastAsia="微软雅黑" w:cs="微软雅黑"/>
          <w:sz w:val="22"/>
          <w:szCs w:val="22"/>
        </w:rPr>
        <w:t>项</w:t>
      </w:r>
      <w:r>
        <w:rPr>
          <w:rFonts w:ascii="微软雅黑" w:hAnsi="微软雅黑" w:eastAsia="微软雅黑" w:cs="微软雅黑"/>
          <w:sz w:val="22"/>
          <w:szCs w:val="22"/>
        </w:rPr>
        <w:t>目</w:t>
      </w:r>
      <w:r>
        <w:rPr>
          <w:rFonts w:hint="eastAsia" w:ascii="微软雅黑" w:hAnsi="微软雅黑" w:eastAsia="微软雅黑" w:cs="微软雅黑"/>
          <w:sz w:val="22"/>
          <w:szCs w:val="22"/>
        </w:rPr>
        <w:t>所需</w:t>
      </w:r>
      <w:r>
        <w:rPr>
          <w:rFonts w:ascii="微软雅黑" w:hAnsi="微软雅黑" w:eastAsia="微软雅黑" w:cs="微软雅黑"/>
          <w:sz w:val="22"/>
          <w:szCs w:val="22"/>
        </w:rPr>
        <w:t>的功能</w:t>
      </w:r>
      <w:r>
        <w:rPr>
          <w:rFonts w:hint="eastAsia" w:ascii="微软雅黑" w:hAnsi="微软雅黑" w:eastAsia="微软雅黑" w:cs="微软雅黑"/>
          <w:sz w:val="22"/>
          <w:szCs w:val="22"/>
        </w:rPr>
        <w:t>，</w:t>
      </w:r>
      <w:r>
        <w:rPr>
          <w:rFonts w:ascii="微软雅黑" w:hAnsi="微软雅黑" w:eastAsia="微软雅黑" w:cs="微软雅黑"/>
          <w:sz w:val="22"/>
          <w:szCs w:val="22"/>
        </w:rPr>
        <w:t>向</w:t>
      </w:r>
      <w:r>
        <w:rPr>
          <w:rFonts w:hint="eastAsia" w:ascii="微软雅黑" w:hAnsi="微软雅黑" w:eastAsia="微软雅黑" w:cs="微软雅黑"/>
          <w:sz w:val="22"/>
          <w:szCs w:val="22"/>
        </w:rPr>
        <w:t>社</w:t>
      </w:r>
      <w:r>
        <w:rPr>
          <w:rFonts w:ascii="微软雅黑" w:hAnsi="微软雅黑" w:eastAsia="微软雅黑" w:cs="微软雅黑"/>
          <w:sz w:val="22"/>
          <w:szCs w:val="22"/>
        </w:rPr>
        <w:t>会市场进行</w:t>
      </w:r>
      <w:r>
        <w:rPr>
          <w:rFonts w:hint="eastAsia" w:ascii="微软雅黑" w:hAnsi="微软雅黑" w:eastAsia="微软雅黑" w:cs="微软雅黑"/>
          <w:sz w:val="22"/>
          <w:szCs w:val="22"/>
        </w:rPr>
        <w:t>询价，</w:t>
      </w:r>
      <w:r>
        <w:rPr>
          <w:rFonts w:ascii="微软雅黑" w:hAnsi="微软雅黑" w:eastAsia="微软雅黑" w:cs="微软雅黑"/>
          <w:sz w:val="22"/>
          <w:szCs w:val="22"/>
        </w:rPr>
        <w:t>由</w:t>
      </w:r>
      <w:r>
        <w:rPr>
          <w:rFonts w:hint="eastAsia" w:ascii="微软雅黑" w:hAnsi="微软雅黑" w:eastAsia="微软雅黑" w:cs="微软雅黑"/>
          <w:sz w:val="22"/>
          <w:szCs w:val="22"/>
        </w:rPr>
        <w:t>市场自</w:t>
      </w:r>
      <w:r>
        <w:rPr>
          <w:rFonts w:ascii="微软雅黑" w:hAnsi="微软雅黑" w:eastAsia="微软雅黑" w:cs="微软雅黑"/>
          <w:sz w:val="22"/>
          <w:szCs w:val="22"/>
        </w:rPr>
        <w:t>由竞争确</w:t>
      </w:r>
      <w:r>
        <w:rPr>
          <w:rFonts w:hint="eastAsia" w:ascii="微软雅黑" w:hAnsi="微软雅黑" w:eastAsia="微软雅黑" w:cs="微软雅黑"/>
          <w:sz w:val="22"/>
          <w:szCs w:val="22"/>
        </w:rPr>
        <w:t>定</w:t>
      </w:r>
      <w:r>
        <w:rPr>
          <w:rFonts w:ascii="微软雅黑" w:hAnsi="微软雅黑" w:eastAsia="微软雅黑" w:cs="微软雅黑"/>
          <w:sz w:val="22"/>
          <w:szCs w:val="22"/>
        </w:rPr>
        <w:t>最终</w:t>
      </w:r>
      <w:r>
        <w:rPr>
          <w:rFonts w:hint="eastAsia" w:ascii="微软雅黑" w:hAnsi="微软雅黑" w:eastAsia="微软雅黑" w:cs="微软雅黑"/>
          <w:sz w:val="22"/>
          <w:szCs w:val="22"/>
        </w:rPr>
        <w:t>项</w:t>
      </w:r>
      <w:r>
        <w:rPr>
          <w:rFonts w:ascii="微软雅黑" w:hAnsi="微软雅黑" w:eastAsia="微软雅黑" w:cs="微软雅黑"/>
          <w:sz w:val="22"/>
          <w:szCs w:val="22"/>
        </w:rPr>
        <w:t>目</w:t>
      </w:r>
      <w:r>
        <w:rPr>
          <w:rFonts w:hint="eastAsia" w:ascii="微软雅黑" w:hAnsi="微软雅黑" w:eastAsia="微软雅黑" w:cs="微软雅黑"/>
          <w:sz w:val="22"/>
          <w:szCs w:val="22"/>
        </w:rPr>
        <w:t>定</w:t>
      </w:r>
      <w:r>
        <w:rPr>
          <w:rFonts w:ascii="微软雅黑" w:hAnsi="微软雅黑" w:eastAsia="微软雅黑" w:cs="微软雅黑"/>
          <w:sz w:val="22"/>
          <w:szCs w:val="22"/>
        </w:rPr>
        <w:t>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238FC"/>
    <w:multiLevelType w:val="multilevel"/>
    <w:tmpl w:val="440238FC"/>
    <w:lvl w:ilvl="0" w:tentative="0">
      <w:start w:val="1"/>
      <w:numFmt w:val="japaneseCounting"/>
      <w:lvlText w:val="%1、"/>
      <w:lvlJc w:val="left"/>
      <w:pPr>
        <w:ind w:left="1170" w:hanging="720"/>
      </w:pPr>
      <w:rPr>
        <w:rFonts w:hint="default"/>
      </w:rPr>
    </w:lvl>
    <w:lvl w:ilvl="1" w:tentative="0">
      <w:start w:val="1"/>
      <w:numFmt w:val="lowerLetter"/>
      <w:lvlText w:val="%2)"/>
      <w:lvlJc w:val="left"/>
      <w:pPr>
        <w:ind w:left="1290" w:hanging="420"/>
      </w:pPr>
    </w:lvl>
    <w:lvl w:ilvl="2" w:tentative="0">
      <w:start w:val="1"/>
      <w:numFmt w:val="lowerRoman"/>
      <w:lvlText w:val="%3."/>
      <w:lvlJc w:val="right"/>
      <w:pPr>
        <w:ind w:left="1710" w:hanging="420"/>
      </w:pPr>
    </w:lvl>
    <w:lvl w:ilvl="3" w:tentative="0">
      <w:start w:val="1"/>
      <w:numFmt w:val="decimal"/>
      <w:lvlText w:val="%4."/>
      <w:lvlJc w:val="left"/>
      <w:pPr>
        <w:ind w:left="2130" w:hanging="420"/>
      </w:pPr>
    </w:lvl>
    <w:lvl w:ilvl="4" w:tentative="0">
      <w:start w:val="1"/>
      <w:numFmt w:val="lowerLetter"/>
      <w:lvlText w:val="%5)"/>
      <w:lvlJc w:val="left"/>
      <w:pPr>
        <w:ind w:left="2550" w:hanging="420"/>
      </w:pPr>
    </w:lvl>
    <w:lvl w:ilvl="5" w:tentative="0">
      <w:start w:val="1"/>
      <w:numFmt w:val="lowerRoman"/>
      <w:lvlText w:val="%6."/>
      <w:lvlJc w:val="right"/>
      <w:pPr>
        <w:ind w:left="2970" w:hanging="420"/>
      </w:pPr>
    </w:lvl>
    <w:lvl w:ilvl="6" w:tentative="0">
      <w:start w:val="1"/>
      <w:numFmt w:val="decimal"/>
      <w:lvlText w:val="%7."/>
      <w:lvlJc w:val="left"/>
      <w:pPr>
        <w:ind w:left="3390" w:hanging="420"/>
      </w:pPr>
    </w:lvl>
    <w:lvl w:ilvl="7" w:tentative="0">
      <w:start w:val="1"/>
      <w:numFmt w:val="lowerLetter"/>
      <w:lvlText w:val="%8)"/>
      <w:lvlJc w:val="left"/>
      <w:pPr>
        <w:ind w:left="3810" w:hanging="420"/>
      </w:pPr>
    </w:lvl>
    <w:lvl w:ilvl="8" w:tentative="0">
      <w:start w:val="1"/>
      <w:numFmt w:val="lowerRoman"/>
      <w:lvlText w:val="%9."/>
      <w:lvlJc w:val="right"/>
      <w:pPr>
        <w:ind w:left="4230" w:hanging="420"/>
      </w:pPr>
    </w:lvl>
  </w:abstractNum>
  <w:abstractNum w:abstractNumId="1">
    <w:nsid w:val="59D213AE"/>
    <w:multiLevelType w:val="multilevel"/>
    <w:tmpl w:val="59D213AE"/>
    <w:lvl w:ilvl="0" w:tentative="0">
      <w:start w:val="1"/>
      <w:numFmt w:val="decimal"/>
      <w:lvlText w:val="%1."/>
      <w:lvlJc w:val="left"/>
      <w:pPr>
        <w:ind w:left="810" w:hanging="360"/>
      </w:pPr>
      <w:rPr>
        <w:rFonts w:hint="default"/>
      </w:rPr>
    </w:lvl>
    <w:lvl w:ilvl="1" w:tentative="0">
      <w:start w:val="1"/>
      <w:numFmt w:val="lowerLetter"/>
      <w:lvlText w:val="%2)"/>
      <w:lvlJc w:val="left"/>
      <w:pPr>
        <w:ind w:left="1290" w:hanging="420"/>
      </w:pPr>
    </w:lvl>
    <w:lvl w:ilvl="2" w:tentative="0">
      <w:start w:val="1"/>
      <w:numFmt w:val="lowerRoman"/>
      <w:lvlText w:val="%3."/>
      <w:lvlJc w:val="right"/>
      <w:pPr>
        <w:ind w:left="1710" w:hanging="420"/>
      </w:pPr>
    </w:lvl>
    <w:lvl w:ilvl="3" w:tentative="0">
      <w:start w:val="1"/>
      <w:numFmt w:val="decimal"/>
      <w:lvlText w:val="%4."/>
      <w:lvlJc w:val="left"/>
      <w:pPr>
        <w:ind w:left="2130" w:hanging="420"/>
      </w:pPr>
    </w:lvl>
    <w:lvl w:ilvl="4" w:tentative="0">
      <w:start w:val="1"/>
      <w:numFmt w:val="lowerLetter"/>
      <w:lvlText w:val="%5)"/>
      <w:lvlJc w:val="left"/>
      <w:pPr>
        <w:ind w:left="2550" w:hanging="420"/>
      </w:pPr>
    </w:lvl>
    <w:lvl w:ilvl="5" w:tentative="0">
      <w:start w:val="1"/>
      <w:numFmt w:val="lowerRoman"/>
      <w:lvlText w:val="%6."/>
      <w:lvlJc w:val="right"/>
      <w:pPr>
        <w:ind w:left="2970" w:hanging="420"/>
      </w:pPr>
    </w:lvl>
    <w:lvl w:ilvl="6" w:tentative="0">
      <w:start w:val="1"/>
      <w:numFmt w:val="decimal"/>
      <w:lvlText w:val="%7."/>
      <w:lvlJc w:val="left"/>
      <w:pPr>
        <w:ind w:left="3390" w:hanging="420"/>
      </w:pPr>
    </w:lvl>
    <w:lvl w:ilvl="7" w:tentative="0">
      <w:start w:val="1"/>
      <w:numFmt w:val="lowerLetter"/>
      <w:lvlText w:val="%8)"/>
      <w:lvlJc w:val="left"/>
      <w:pPr>
        <w:ind w:left="3810" w:hanging="420"/>
      </w:pPr>
    </w:lvl>
    <w:lvl w:ilvl="8" w:tentative="0">
      <w:start w:val="1"/>
      <w:numFmt w:val="lowerRoman"/>
      <w:lvlText w:val="%9."/>
      <w:lvlJc w:val="right"/>
      <w:pPr>
        <w:ind w:left="423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377723"/>
    <w:rsid w:val="11377723"/>
    <w:rsid w:val="26607429"/>
    <w:rsid w:val="62281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paragraph" w:styleId="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2021-05-18T08:43:00Z</dcterms:created>
  <dc:creator>penggf</dc:creator>
  <cp:lastModifiedBy>penggf</cp:lastModifiedBy>
  <cp:lastPrinted>2021-05-18T09:01:58Z</cp:lastPrinted>
  <dcterms:modified xsi:type="dcterms:W3CDTF">2021-05-18T09:02:00Z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