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 w:cs="宋体"/>
          <w:color w:val="000000"/>
          <w:kern w:val="0"/>
          <w:sz w:val="24"/>
        </w:rPr>
      </w:pPr>
      <w:r>
        <w:rPr>
          <w:rFonts w:hint="eastAsia" w:ascii="黑体" w:hAnsi="黑体" w:eastAsia="黑体" w:cs="宋体"/>
          <w:color w:val="000000"/>
          <w:kern w:val="0"/>
          <w:sz w:val="24"/>
        </w:rPr>
        <w:t>附件1：</w:t>
      </w:r>
    </w:p>
    <w:p>
      <w:pPr>
        <w:widowControl/>
        <w:jc w:val="left"/>
        <w:rPr>
          <w:rFonts w:ascii="仿宋_GB2312" w:hAnsi="等线" w:eastAsia="仿宋_GB2312" w:cs="宋体"/>
          <w:color w:val="000000"/>
          <w:kern w:val="0"/>
          <w:sz w:val="24"/>
        </w:rPr>
      </w:pPr>
    </w:p>
    <w:p>
      <w:pPr>
        <w:spacing w:line="276" w:lineRule="auto"/>
        <w:ind w:left="803" w:hanging="803" w:hangingChars="250"/>
        <w:jc w:val="center"/>
        <w:rPr>
          <w:rFonts w:ascii="宋体" w:hAnsi="宋体"/>
          <w:b/>
          <w:color w:val="000000"/>
          <w:sz w:val="24"/>
        </w:rPr>
      </w:pPr>
      <w:r>
        <w:rPr>
          <w:rFonts w:hint="eastAsia" w:ascii="黑体" w:hAnsi="黑体" w:eastAsia="黑体" w:cs="微软雅黑"/>
          <w:b/>
          <w:bCs/>
          <w:color w:val="000000"/>
          <w:sz w:val="32"/>
          <w:szCs w:val="32"/>
        </w:rPr>
        <w:t>深圳市建设用地省级审批权实施路径研究</w:t>
      </w:r>
    </w:p>
    <w:p>
      <w:pPr>
        <w:spacing w:before="156" w:beforeLines="50" w:after="156" w:afterLines="50" w:line="360" w:lineRule="auto"/>
        <w:rPr>
          <w:rFonts w:ascii="黑体" w:hAnsi="黑体" w:eastAsia="黑体" w:cs="微软雅黑"/>
          <w:b/>
          <w:bCs/>
          <w:color w:val="000000"/>
          <w:sz w:val="28"/>
          <w:szCs w:val="36"/>
        </w:rPr>
      </w:pPr>
      <w:r>
        <w:rPr>
          <w:rFonts w:hint="eastAsia" w:ascii="黑体" w:hAnsi="黑体" w:eastAsia="黑体" w:cs="微软雅黑"/>
          <w:b/>
          <w:bCs/>
          <w:color w:val="000000"/>
          <w:sz w:val="28"/>
          <w:szCs w:val="36"/>
        </w:rPr>
        <w:t>一、合同主要工作内容</w:t>
      </w:r>
      <w:bookmarkStart w:id="1" w:name="_GoBack"/>
      <w:bookmarkEnd w:id="1"/>
    </w:p>
    <w:p>
      <w:pPr>
        <w:spacing w:before="156" w:beforeLines="50" w:line="360" w:lineRule="auto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专题一：深圳市建设用地审批现状研究</w:t>
      </w:r>
    </w:p>
    <w:p>
      <w:pPr>
        <w:spacing w:before="156" w:beforeLines="50" w:line="360" w:lineRule="auto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收集、梳理国家、省、市关于建设用地审批的相关政策文件，结合深圳市建设用地审批工作实际，围绕审批机制进行系统分析，并总结深圳市自2</w:t>
      </w:r>
      <w:r>
        <w:rPr>
          <w:color w:val="000000"/>
          <w:sz w:val="24"/>
        </w:rPr>
        <w:t>007</w:t>
      </w:r>
      <w:r>
        <w:rPr>
          <w:rFonts w:hint="eastAsia"/>
          <w:color w:val="000000"/>
          <w:sz w:val="24"/>
        </w:rPr>
        <w:t>年以来建设用地审批工作存在的问题。</w:t>
      </w:r>
    </w:p>
    <w:p>
      <w:pPr>
        <w:spacing w:before="156" w:beforeLines="50" w:line="360" w:lineRule="auto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专题二：建设用地省级审批权承接工作经验借鉴</w:t>
      </w:r>
    </w:p>
    <w:p>
      <w:pPr>
        <w:spacing w:before="156" w:beforeLines="50" w:line="360" w:lineRule="auto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在对深圳市建设用地审批现状研究的基础上，结合《国务院关于授权和委托用地审批权的决定》（国发〔2020〕4号）关于赋予省级人民政府更大用地自主权的工作部署，选取</w:t>
      </w:r>
      <w:r>
        <w:rPr>
          <w:color w:val="000000"/>
          <w:sz w:val="24"/>
        </w:rPr>
        <w:t>2</w:t>
      </w:r>
      <w:r>
        <w:rPr>
          <w:rFonts w:hint="eastAsia"/>
          <w:color w:val="000000"/>
          <w:sz w:val="24"/>
        </w:rPr>
        <w:t>-</w:t>
      </w:r>
      <w:r>
        <w:rPr>
          <w:color w:val="000000"/>
          <w:sz w:val="24"/>
        </w:rPr>
        <w:t>3</w:t>
      </w:r>
      <w:r>
        <w:rPr>
          <w:rFonts w:hint="eastAsia"/>
          <w:color w:val="000000"/>
          <w:sz w:val="24"/>
        </w:rPr>
        <w:t>个地区进行重点分析，研究省级建设用地审批制度建设先进经验，为深圳市向国家争取承接省级建设用地审批权提供经验借鉴。</w:t>
      </w:r>
    </w:p>
    <w:p>
      <w:pPr>
        <w:spacing w:before="156" w:beforeLines="50" w:line="360" w:lineRule="auto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专题三：</w:t>
      </w:r>
      <w:bookmarkStart w:id="0" w:name="_Hlk68631069"/>
      <w:r>
        <w:rPr>
          <w:rFonts w:hint="eastAsia"/>
          <w:color w:val="000000"/>
          <w:sz w:val="24"/>
        </w:rPr>
        <w:t>深圳市建设用地省级审批权实施路径</w:t>
      </w:r>
      <w:bookmarkEnd w:id="0"/>
    </w:p>
    <w:p>
      <w:pPr>
        <w:spacing w:before="156" w:beforeLines="50" w:line="360" w:lineRule="auto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根据深圳市建设用地审批现状分析情况，结合部分省级城市建设用地审批工作先进经验，依托国家赋予深圳市的综合改革授权，开展深圳市建设用地省级审批权实施路径探索研究。主要内容包括：深圳市争取省级建设用地审批权的必要性、深圳市承接省级建设用地审批权具备的基础条件、深圳市承接省级建设用地审批权工作方案、深圳市衔接自然资源部有关国垂业务系统、助推建设用地审批信息一体化工作等等。</w:t>
      </w:r>
    </w:p>
    <w:p>
      <w:pPr>
        <w:spacing w:before="156" w:beforeLines="50" w:line="360" w:lineRule="auto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本项目开展过程中，经甲乙双方同意，可根据实际工作情况对上述工作内容进行适当调整。</w:t>
      </w:r>
    </w:p>
    <w:p>
      <w:pPr>
        <w:spacing w:before="156" w:beforeLines="50" w:line="360" w:lineRule="auto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本合同履行期间：如甲方因政策原因发生被合并、被撤销等情况，导致甲方丧失履行本协议项下的主体资格条件的，甲方可在以下两种方案中选择一种执行：</w:t>
      </w:r>
    </w:p>
    <w:p>
      <w:pPr>
        <w:spacing w:before="156" w:beforeLines="50" w:line="360" w:lineRule="auto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（一）方案一：甲方将本协议涉及的甲方权责转让给第三方承担，乙方权责不变，由第三方与乙方重新签订合同。</w:t>
      </w:r>
    </w:p>
    <w:p>
      <w:pPr>
        <w:spacing w:before="156" w:beforeLines="50" w:line="360" w:lineRule="auto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二）方案二：本协议终止且甲方无需向乙方承担违约责任，本协议项下的款项按照协议终止时乙方工作完成的情况具体结算。如因政策原因，导致甲方无需再由乙方提供本协议项下部分或全部项目服务内容的，乙方应按照甲方通知立即停止相关工作，乙方不再继续提供服务的项目内容，甲方有权不予支付款项，如甲方已支付的，乙方应当退还给甲方。</w:t>
      </w:r>
    </w:p>
    <w:p>
      <w:pPr>
        <w:spacing w:before="156" w:beforeLines="50" w:after="156" w:afterLines="50" w:line="360" w:lineRule="auto"/>
        <w:rPr>
          <w:rFonts w:ascii="黑体" w:hAnsi="黑体" w:eastAsia="黑体" w:cs="微软雅黑"/>
          <w:b/>
          <w:bCs/>
          <w:color w:val="000000"/>
          <w:sz w:val="28"/>
          <w:szCs w:val="36"/>
        </w:rPr>
      </w:pPr>
      <w:r>
        <w:rPr>
          <w:rFonts w:hint="eastAsia" w:ascii="黑体" w:hAnsi="黑体" w:eastAsia="黑体" w:cs="微软雅黑"/>
          <w:b/>
          <w:bCs/>
          <w:color w:val="000000"/>
          <w:sz w:val="28"/>
          <w:szCs w:val="36"/>
        </w:rPr>
        <w:t>二、项目周期</w:t>
      </w:r>
    </w:p>
    <w:p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本项目周期为自签订合同后一年（12个月）。甲乙双方可根据实际工作进度情况适当调整合同期限。</w:t>
      </w:r>
    </w:p>
    <w:p>
      <w:pPr>
        <w:spacing w:before="156" w:beforeLines="50" w:after="156" w:afterLines="50" w:line="360" w:lineRule="auto"/>
        <w:rPr>
          <w:rFonts w:ascii="黑体" w:hAnsi="黑体" w:eastAsia="黑体" w:cs="微软雅黑"/>
          <w:b/>
          <w:bCs/>
          <w:color w:val="000000"/>
          <w:sz w:val="28"/>
          <w:szCs w:val="36"/>
        </w:rPr>
      </w:pPr>
      <w:r>
        <w:rPr>
          <w:rFonts w:hint="eastAsia" w:ascii="黑体" w:hAnsi="黑体" w:eastAsia="黑体" w:cs="微软雅黑"/>
          <w:b/>
          <w:bCs/>
          <w:color w:val="000000"/>
          <w:sz w:val="28"/>
          <w:szCs w:val="36"/>
        </w:rPr>
        <w:t>三、提交成果具体要求</w:t>
      </w:r>
    </w:p>
    <w:p>
      <w:pPr>
        <w:tabs>
          <w:tab w:val="left" w:pos="180"/>
        </w:tabs>
        <w:adjustRightInd w:val="0"/>
        <w:snapToGrid w:val="0"/>
        <w:spacing w:line="360" w:lineRule="auto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《深圳市建设用地省级审批权实施路径研究工作报告》（纸质成果、电子光碟均一式2份）。</w:t>
      </w:r>
    </w:p>
    <w:p>
      <w:pPr>
        <w:spacing w:before="156" w:beforeLines="50" w:after="156" w:afterLines="50" w:line="360" w:lineRule="auto"/>
        <w:rPr>
          <w:rFonts w:ascii="黑体" w:hAnsi="黑体" w:eastAsia="黑体" w:cs="微软雅黑"/>
          <w:b/>
          <w:bCs/>
          <w:color w:val="000000"/>
          <w:sz w:val="28"/>
          <w:szCs w:val="36"/>
        </w:rPr>
      </w:pPr>
      <w:r>
        <w:rPr>
          <w:rFonts w:hint="eastAsia" w:ascii="黑体" w:hAnsi="黑体" w:eastAsia="黑体" w:cs="微软雅黑"/>
          <w:b/>
          <w:bCs/>
          <w:color w:val="000000"/>
          <w:sz w:val="28"/>
          <w:szCs w:val="36"/>
        </w:rPr>
        <w:t>四、合同费用</w:t>
      </w:r>
    </w:p>
    <w:p>
      <w:pPr>
        <w:adjustRightInd w:val="0"/>
        <w:snapToGrid w:val="0"/>
        <w:spacing w:after="156" w:afterLines="50"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本项目拟采取</w:t>
      </w:r>
      <w:r>
        <w:rPr>
          <w:rFonts w:hint="eastAsia" w:ascii="宋体" w:hAnsi="宋体"/>
          <w:color w:val="000000"/>
          <w:sz w:val="24"/>
        </w:rPr>
        <w:t>单一来源采购方式采购，预计金额为</w:t>
      </w:r>
      <w:r>
        <w:rPr>
          <w:rFonts w:ascii="宋体" w:hAnsi="宋体" w:eastAsia="宋体"/>
          <w:color w:val="000000"/>
          <w:sz w:val="24"/>
        </w:rPr>
        <w:t>9</w:t>
      </w:r>
      <w:r>
        <w:rPr>
          <w:rFonts w:hint="eastAsia" w:ascii="宋体" w:hAnsi="宋体" w:eastAsia="宋体"/>
          <w:color w:val="000000"/>
          <w:sz w:val="24"/>
        </w:rPr>
        <w:t>5万元</w:t>
      </w:r>
      <w:r>
        <w:rPr>
          <w:rFonts w:hint="eastAsia" w:ascii="宋体" w:hAnsi="宋体" w:cs="宋体"/>
          <w:color w:val="000000"/>
          <w:kern w:val="0"/>
          <w:sz w:val="24"/>
        </w:rPr>
        <w:t>（2021年拟支付47.5万元，2022年拟支付尾款47.5万元）。</w:t>
      </w:r>
    </w:p>
    <w:p>
      <w:pPr>
        <w:tabs>
          <w:tab w:val="left" w:pos="180"/>
        </w:tabs>
        <w:adjustRightInd w:val="0"/>
        <w:snapToGrid w:val="0"/>
        <w:spacing w:line="360" w:lineRule="auto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根据中国土地勘测规划院和中国国土资源经济研究院制定的《国土资源调查预算标准-土地资源调查评价成本综合预算标准》中“土地研究-地（市）项目-软科学研究”标准取费。具体如下：</w:t>
      </w:r>
    </w:p>
    <w:tbl>
      <w:tblPr>
        <w:tblStyle w:val="3"/>
        <w:tblW w:w="91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1984"/>
        <w:gridCol w:w="5387"/>
        <w:gridCol w:w="11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651" w:type="dxa"/>
            <w:shd w:val="clear" w:color="000000" w:fill="BFBFB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984" w:type="dxa"/>
            <w:shd w:val="clear" w:color="000000" w:fill="BFBFB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专题</w:t>
            </w:r>
          </w:p>
        </w:tc>
        <w:tc>
          <w:tcPr>
            <w:tcW w:w="5387" w:type="dxa"/>
            <w:shd w:val="clear" w:color="000000" w:fill="BFBFB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经费测算依据（标准）</w:t>
            </w:r>
          </w:p>
        </w:tc>
        <w:tc>
          <w:tcPr>
            <w:tcW w:w="1150" w:type="dxa"/>
            <w:shd w:val="clear" w:color="000000" w:fill="BFBFB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预算金额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8" w:hRule="atLeast"/>
          <w:jc w:val="center"/>
        </w:trPr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深圳市建设用地审批现状研究</w:t>
            </w:r>
          </w:p>
        </w:tc>
        <w:tc>
          <w:tcPr>
            <w:tcW w:w="5387" w:type="dxa"/>
            <w:noWrap w:val="0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根据中国土地勘测规划院和中国国土资源经济研究院制定的《国土资源调查预算标准-土地资源调查评价成本综合预算标准》中“土地研究-地（市）项目-软科学研究”标准取费。本专题困难类别为Ⅲ，经费为30万元。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/>
                <w:szCs w:val="21"/>
              </w:rPr>
              <w:t>30</w:t>
            </w:r>
            <w:r>
              <w:rPr>
                <w:rFonts w:hint="eastAsia" w:ascii="宋体" w:hAnsi="宋体"/>
                <w:szCs w:val="21"/>
              </w:rPr>
              <w:t>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  <w:jc w:val="center"/>
        </w:trPr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建设用地省级审批权承接工作经验借鉴</w:t>
            </w:r>
          </w:p>
        </w:tc>
        <w:tc>
          <w:tcPr>
            <w:tcW w:w="5387" w:type="dxa"/>
            <w:noWrap w:val="0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根据中国土地勘测规划院和中国国土资源经济研究院制定的《国土资源调查预算标准-土地资源调查评价成本综合预算标准》中“土地研究-地（市）项目-软科学研究”标准取费。本专题困难类别为Ⅲ，经费为30万元。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/>
                <w:szCs w:val="21"/>
              </w:rPr>
              <w:t>30</w:t>
            </w:r>
            <w:r>
              <w:rPr>
                <w:rFonts w:hint="eastAsia" w:ascii="宋体" w:hAnsi="宋体"/>
                <w:szCs w:val="21"/>
              </w:rPr>
              <w:t>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6" w:hRule="atLeast"/>
          <w:jc w:val="center"/>
        </w:trPr>
        <w:tc>
          <w:tcPr>
            <w:tcW w:w="651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深圳市建设用地省级审批权实施路径</w:t>
            </w:r>
          </w:p>
        </w:tc>
        <w:tc>
          <w:tcPr>
            <w:tcW w:w="5387" w:type="dxa"/>
            <w:noWrap w:val="0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根据中国土地勘测规划院和中国国土资源经济研究院制定的《国土资源调查预算标准-土地资源调查评价成本综合预算标准》中“土地研究-地（市）项目-软科学研究”标准取费。本专题困难类别为</w:t>
            </w:r>
            <w:r>
              <w:rPr>
                <w:rFonts w:hint="eastAsia" w:ascii="仿宋" w:hAnsi="仿宋" w:eastAsia="仿宋"/>
                <w:sz w:val="24"/>
              </w:rPr>
              <w:t>Ⅳ</w:t>
            </w:r>
            <w:r>
              <w:rPr>
                <w:rFonts w:hint="eastAsia" w:ascii="宋体" w:hAnsi="宋体"/>
                <w:szCs w:val="21"/>
              </w:rPr>
              <w:t>，经费为</w:t>
            </w:r>
            <w:r>
              <w:rPr>
                <w:rFonts w:ascii="宋体" w:hAnsi="宋体"/>
                <w:szCs w:val="21"/>
              </w:rPr>
              <w:t>6</w:t>
            </w:r>
            <w:r>
              <w:rPr>
                <w:rFonts w:hint="eastAsia" w:ascii="宋体" w:hAnsi="宋体"/>
                <w:szCs w:val="21"/>
              </w:rPr>
              <w:t>0万元。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/>
                <w:szCs w:val="21"/>
              </w:rPr>
              <w:t>60</w:t>
            </w:r>
            <w:r>
              <w:rPr>
                <w:rFonts w:hint="eastAsia" w:ascii="宋体" w:hAnsi="宋体"/>
                <w:szCs w:val="21"/>
              </w:rPr>
              <w:t>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8022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合计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/>
                <w:b/>
                <w:kern w:val="0"/>
                <w:szCs w:val="21"/>
              </w:rPr>
              <w:t>120</w:t>
            </w:r>
            <w:r>
              <w:rPr>
                <w:rFonts w:hint="eastAsia" w:ascii="宋体" w:hAnsi="宋体" w:cs="宋体"/>
                <w:b/>
                <w:kern w:val="0"/>
                <w:szCs w:val="21"/>
              </w:rPr>
              <w:t>.00</w:t>
            </w:r>
          </w:p>
        </w:tc>
      </w:tr>
    </w:tbl>
    <w:p>
      <w:r>
        <w:rPr>
          <w:rFonts w:hint="eastAsia"/>
          <w:color w:val="000000"/>
          <w:sz w:val="24"/>
        </w:rPr>
        <w:t>由于该项目具备一定工作基础，各专题均已下浮2</w:t>
      </w:r>
      <w:r>
        <w:rPr>
          <w:color w:val="000000"/>
          <w:sz w:val="24"/>
        </w:rPr>
        <w:t>0</w:t>
      </w:r>
      <w:r>
        <w:rPr>
          <w:rFonts w:hint="eastAsia"/>
          <w:color w:val="000000"/>
          <w:sz w:val="24"/>
        </w:rPr>
        <w:t>%，最终取费为</w:t>
      </w:r>
      <w:r>
        <w:rPr>
          <w:color w:val="000000"/>
          <w:sz w:val="24"/>
        </w:rPr>
        <w:t>9</w:t>
      </w:r>
      <w:r>
        <w:rPr>
          <w:rFonts w:hint="eastAsia"/>
          <w:color w:val="000000"/>
          <w:sz w:val="24"/>
        </w:rPr>
        <w:t>5万元。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6D2F36"/>
    <w:rsid w:val="131B027D"/>
    <w:rsid w:val="186D2F36"/>
    <w:rsid w:val="1EA618D5"/>
    <w:rsid w:val="557E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2021-05-18T06:09:00Z</dcterms:created>
  <dc:creator>千夜</dc:creator>
  <cp:lastModifiedBy>千夜</cp:lastModifiedBy>
  <dcterms:modified xsi:type="dcterms:W3CDTF">2021-05-18T06:29:58Z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