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cs="黑体"/>
          <w:b/>
          <w:sz w:val="44"/>
          <w:szCs w:val="44"/>
        </w:rPr>
      </w:pPr>
      <w:r>
        <w:rPr>
          <w:rFonts w:hint="eastAsia" w:ascii="黑体" w:hAnsi="黑体" w:eastAsia="黑体" w:cs="黑体"/>
          <w:b/>
          <w:sz w:val="44"/>
          <w:szCs w:val="44"/>
        </w:rPr>
        <w:t>非公开招标方式采购公示表</w:t>
      </w:r>
    </w:p>
    <w:p>
      <w:pPr>
        <w:spacing w:line="360" w:lineRule="auto"/>
        <w:rPr>
          <w:rFonts w:ascii="仿宋" w:hAnsi="仿宋" w:eastAsia="仿宋"/>
          <w:szCs w:val="21"/>
        </w:rPr>
      </w:pP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tcPr>
          <w:p>
            <w:pPr>
              <w:spacing w:line="360" w:lineRule="auto"/>
              <w:rPr>
                <w:rFonts w:ascii="仿宋" w:hAnsi="仿宋" w:eastAsia="仿宋"/>
                <w:color w:val="auto"/>
                <w:szCs w:val="21"/>
              </w:rPr>
            </w:pPr>
            <w:r>
              <w:rPr>
                <w:rFonts w:ascii="仿宋" w:hAnsi="仿宋" w:eastAsia="仿宋"/>
                <w:color w:val="auto"/>
                <w:szCs w:val="21"/>
              </w:rPr>
              <w:t>依照《深圳经济特区政府采购条例》第二十、二十一条规定，</w:t>
            </w:r>
            <w:r>
              <w:rPr>
                <w:rFonts w:hint="eastAsia" w:ascii="仿宋" w:hAnsi="仿宋" w:eastAsia="仿宋"/>
                <w:color w:val="auto"/>
                <w:szCs w:val="21"/>
                <w:lang w:val="en-US" w:eastAsia="zh-CN"/>
              </w:rPr>
              <w:t>我局采购制度第十八条，</w:t>
            </w:r>
            <w:r>
              <w:rPr>
                <w:rFonts w:ascii="仿宋" w:hAnsi="仿宋" w:eastAsia="仿宋" w:cs="宋体"/>
                <w:color w:val="auto"/>
                <w:kern w:val="0"/>
                <w:szCs w:val="21"/>
              </w:rPr>
              <w:t>深圳市规划和自然资源局</w:t>
            </w:r>
            <w:r>
              <w:rPr>
                <w:rFonts w:hint="eastAsia" w:ascii="仿宋" w:hAnsi="仿宋" w:eastAsia="仿宋" w:cs="宋体"/>
                <w:color w:val="auto"/>
                <w:kern w:val="0"/>
                <w:szCs w:val="21"/>
              </w:rPr>
              <w:t>龙岗管理局</w:t>
            </w:r>
            <w:r>
              <w:rPr>
                <w:rFonts w:ascii="仿宋" w:hAnsi="仿宋" w:eastAsia="仿宋" w:cs="宋体"/>
                <w:color w:val="auto"/>
                <w:kern w:val="0"/>
                <w:szCs w:val="21"/>
              </w:rPr>
              <w:t>就</w:t>
            </w:r>
            <w:r>
              <w:rPr>
                <w:rFonts w:ascii="仿宋" w:hAnsi="仿宋" w:eastAsia="仿宋"/>
                <w:color w:val="auto"/>
                <w:szCs w:val="21"/>
              </w:rPr>
              <w:t>《</w:t>
            </w:r>
            <w:r>
              <w:rPr>
                <w:rFonts w:hint="eastAsia" w:ascii="仿宋" w:hAnsi="仿宋" w:eastAsia="仿宋"/>
                <w:color w:val="auto"/>
                <w:szCs w:val="21"/>
              </w:rPr>
              <w:t>龙岗区生态廊道规划前期研究</w:t>
            </w:r>
            <w:r>
              <w:rPr>
                <w:rFonts w:ascii="仿宋" w:hAnsi="仿宋" w:eastAsia="仿宋"/>
                <w:color w:val="auto"/>
                <w:szCs w:val="21"/>
              </w:rPr>
              <w:t>》项目采用</w:t>
            </w:r>
            <w:r>
              <w:rPr>
                <w:rFonts w:hint="eastAsia" w:ascii="仿宋" w:hAnsi="仿宋" w:eastAsia="仿宋"/>
                <w:color w:val="auto"/>
                <w:szCs w:val="21"/>
              </w:rPr>
              <w:t>直接</w:t>
            </w:r>
            <w:r>
              <w:rPr>
                <w:rFonts w:hint="eastAsia" w:ascii="仿宋" w:hAnsi="仿宋" w:eastAsia="仿宋"/>
                <w:color w:val="auto"/>
                <w:szCs w:val="21"/>
                <w:lang w:val="en-US" w:eastAsia="zh-CN"/>
              </w:rPr>
              <w:t>确定供应商</w:t>
            </w:r>
            <w:r>
              <w:rPr>
                <w:rFonts w:ascii="仿宋" w:hAnsi="仿宋" w:eastAsia="仿宋"/>
                <w:color w:val="auto"/>
                <w:szCs w:val="21"/>
              </w:rPr>
              <w:t>采购，现将有关情况向潜在政府采购供应商征求意见: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tcPr>
          <w:p>
            <w:pPr>
              <w:spacing w:line="360" w:lineRule="auto"/>
              <w:rPr>
                <w:rFonts w:eastAsia="仿宋" w:cs="Calibri"/>
                <w:bCs/>
                <w:color w:val="auto"/>
                <w:szCs w:val="21"/>
              </w:rPr>
            </w:pPr>
            <w:r>
              <w:rPr>
                <w:rFonts w:ascii="仿宋" w:hAnsi="仿宋" w:eastAsia="仿宋"/>
                <w:bCs/>
                <w:color w:val="auto"/>
                <w:szCs w:val="21"/>
              </w:rPr>
              <w:t>采购项目名称：</w:t>
            </w:r>
            <w:r>
              <w:rPr>
                <w:rFonts w:hint="eastAsia" w:ascii="仿宋" w:hAnsi="仿宋" w:eastAsia="仿宋"/>
                <w:bCs/>
                <w:color w:val="auto"/>
                <w:szCs w:val="21"/>
              </w:rPr>
              <w:t>龙岗区生态廊道规划前期研究</w:t>
            </w:r>
          </w:p>
          <w:p>
            <w:pPr>
              <w:spacing w:line="360" w:lineRule="auto"/>
              <w:rPr>
                <w:rFonts w:ascii="仿宋" w:hAnsi="仿宋" w:eastAsia="仿宋"/>
                <w:bCs/>
                <w:color w:val="auto"/>
                <w:szCs w:val="21"/>
              </w:rPr>
            </w:pPr>
            <w:r>
              <w:rPr>
                <w:rFonts w:eastAsia="仿宋" w:cs="Calibri"/>
                <w:bCs/>
                <w:color w:val="auto"/>
                <w:szCs w:val="21"/>
              </w:rPr>
              <w:t>项目预算金额：3</w:t>
            </w:r>
            <w:r>
              <w:rPr>
                <w:rFonts w:hint="eastAsia" w:eastAsia="仿宋" w:cs="Calibri"/>
                <w:bCs/>
                <w:color w:val="auto"/>
                <w:szCs w:val="21"/>
                <w:lang w:val="en-US" w:eastAsia="zh-CN"/>
              </w:rPr>
              <w:t>1</w:t>
            </w:r>
            <w:r>
              <w:rPr>
                <w:rFonts w:eastAsia="仿宋" w:cs="Calibri"/>
                <w:bCs/>
                <w:color w:val="auto"/>
                <w:szCs w:val="21"/>
              </w:rPr>
              <w:t>0,000</w:t>
            </w:r>
            <w:r>
              <w:rPr>
                <w:rFonts w:hint="eastAsia" w:eastAsia="仿宋" w:cs="Calibri"/>
                <w:bCs/>
                <w:color w:val="auto"/>
                <w:szCs w:val="21"/>
              </w:rPr>
              <w:t>.00元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tcPr>
          <w:p>
            <w:pPr>
              <w:spacing w:line="360" w:lineRule="auto"/>
              <w:rPr>
                <w:rFonts w:ascii="仿宋" w:hAnsi="仿宋" w:eastAsia="仿宋"/>
                <w:bCs/>
                <w:color w:val="auto"/>
                <w:szCs w:val="21"/>
              </w:rPr>
            </w:pPr>
            <w:r>
              <w:rPr>
                <w:rFonts w:ascii="仿宋" w:hAnsi="仿宋" w:eastAsia="仿宋"/>
                <w:bCs/>
                <w:color w:val="auto"/>
                <w:szCs w:val="21"/>
              </w:rPr>
              <w:t>采购项目描述：(内容、用途、数量、简要技术需求等)</w:t>
            </w:r>
          </w:p>
          <w:p>
            <w:pPr>
              <w:spacing w:line="360" w:lineRule="exact"/>
              <w:rPr>
                <w:rFonts w:ascii="仿宋" w:hAnsi="仿宋" w:eastAsia="仿宋"/>
                <w:b/>
                <w:color w:val="auto"/>
                <w:szCs w:val="21"/>
              </w:rPr>
            </w:pPr>
            <w:r>
              <w:rPr>
                <w:rFonts w:ascii="仿宋" w:hAnsi="仿宋" w:eastAsia="仿宋"/>
                <w:b/>
                <w:bCs/>
                <w:color w:val="auto"/>
                <w:szCs w:val="21"/>
              </w:rPr>
              <w:t>1、</w:t>
            </w:r>
            <w:r>
              <w:rPr>
                <w:rFonts w:hint="eastAsia" w:ascii="仿宋" w:hAnsi="仿宋" w:eastAsia="仿宋"/>
                <w:b/>
                <w:color w:val="auto"/>
                <w:szCs w:val="21"/>
              </w:rPr>
              <w:t>总体要求</w:t>
            </w:r>
          </w:p>
          <w:p>
            <w:pPr>
              <w:spacing w:line="360" w:lineRule="exact"/>
              <w:ind w:firstLine="420" w:firstLineChars="200"/>
              <w:rPr>
                <w:rFonts w:ascii="仿宋_GB2312" w:eastAsia="仿宋_GB2312"/>
                <w:color w:val="auto"/>
                <w:szCs w:val="21"/>
              </w:rPr>
            </w:pPr>
            <w:r>
              <w:rPr>
                <w:rFonts w:hint="eastAsia" w:ascii="仿宋_GB2312" w:eastAsia="仿宋_GB2312"/>
                <w:color w:val="auto"/>
                <w:szCs w:val="21"/>
              </w:rPr>
              <w:t>系统梳理《深圳市“山海连城计划”概念城市设计》、《深圳市“山海连城计划”规划建设指导手册》等上位规划、计划对本区生态廊道建设相关要求，明确本区规划生态用地落实和现状建设用地涉及生态用地基本情况，并为本区生态廊道建设工作推进拟定下一步发展对策。</w:t>
            </w:r>
          </w:p>
          <w:p>
            <w:pPr>
              <w:spacing w:line="360" w:lineRule="exact"/>
              <w:rPr>
                <w:rFonts w:ascii="仿宋" w:hAnsi="仿宋" w:eastAsia="仿宋"/>
                <w:b/>
                <w:color w:val="auto"/>
                <w:szCs w:val="21"/>
              </w:rPr>
            </w:pPr>
            <w:r>
              <w:rPr>
                <w:rFonts w:ascii="仿宋" w:hAnsi="仿宋" w:eastAsia="仿宋"/>
                <w:b/>
                <w:color w:val="auto"/>
                <w:szCs w:val="21"/>
              </w:rPr>
              <w:t>2、</w:t>
            </w:r>
            <w:r>
              <w:rPr>
                <w:rFonts w:hint="eastAsia" w:ascii="仿宋" w:hAnsi="仿宋" w:eastAsia="仿宋"/>
                <w:b/>
                <w:color w:val="auto"/>
                <w:szCs w:val="21"/>
              </w:rPr>
              <w:t>工作范围</w:t>
            </w:r>
          </w:p>
          <w:p>
            <w:pPr>
              <w:spacing w:line="360" w:lineRule="exact"/>
              <w:ind w:firstLine="420" w:firstLineChars="200"/>
              <w:rPr>
                <w:rFonts w:ascii="仿宋_GB2312" w:eastAsia="仿宋_GB2312"/>
                <w:color w:val="auto"/>
                <w:szCs w:val="21"/>
              </w:rPr>
            </w:pPr>
            <w:r>
              <w:rPr>
                <w:rFonts w:hint="eastAsia" w:ascii="仿宋_GB2312" w:eastAsia="仿宋_GB2312"/>
                <w:color w:val="auto"/>
                <w:szCs w:val="21"/>
              </w:rPr>
              <w:t>本次项目研究范围为龙岗区基本生态控制线及规划绿地总范围。</w:t>
            </w:r>
          </w:p>
          <w:p>
            <w:pPr>
              <w:spacing w:line="360" w:lineRule="exact"/>
              <w:rPr>
                <w:rFonts w:ascii="仿宋" w:hAnsi="仿宋" w:eastAsia="仿宋"/>
                <w:b/>
                <w:color w:val="auto"/>
                <w:szCs w:val="21"/>
              </w:rPr>
            </w:pPr>
            <w:r>
              <w:rPr>
                <w:rFonts w:ascii="仿宋" w:hAnsi="仿宋" w:eastAsia="仿宋"/>
                <w:b/>
                <w:color w:val="auto"/>
                <w:szCs w:val="21"/>
              </w:rPr>
              <w:t>3、</w:t>
            </w:r>
            <w:r>
              <w:rPr>
                <w:rFonts w:hint="eastAsia" w:ascii="仿宋" w:hAnsi="仿宋" w:eastAsia="仿宋"/>
                <w:b/>
                <w:color w:val="auto"/>
                <w:szCs w:val="21"/>
              </w:rPr>
              <w:t>工作内容</w:t>
            </w:r>
          </w:p>
          <w:p>
            <w:pPr>
              <w:spacing w:line="312" w:lineRule="auto"/>
              <w:ind w:firstLine="420" w:firstLineChars="200"/>
              <w:jc w:val="left"/>
              <w:rPr>
                <w:rFonts w:ascii="仿宋_GB2312" w:eastAsia="仿宋_GB2312"/>
                <w:color w:val="auto"/>
                <w:szCs w:val="21"/>
              </w:rPr>
            </w:pPr>
            <w:r>
              <w:rPr>
                <w:rFonts w:hint="eastAsia" w:ascii="仿宋_GB2312" w:eastAsia="仿宋_GB2312"/>
                <w:color w:val="auto"/>
                <w:szCs w:val="21"/>
              </w:rPr>
              <w:t>本次工作内容主要包括基础资料收集、本区生态相关用地梳理与建库、问题分析与下一步发展对策拟定三个部分。</w:t>
            </w:r>
          </w:p>
          <w:p>
            <w:pPr>
              <w:spacing w:line="312" w:lineRule="auto"/>
              <w:ind w:firstLine="420" w:firstLineChars="200"/>
              <w:jc w:val="left"/>
              <w:rPr>
                <w:rFonts w:ascii="仿宋_GB2312" w:eastAsia="仿宋_GB2312"/>
                <w:color w:val="auto"/>
                <w:szCs w:val="21"/>
              </w:rPr>
            </w:pPr>
            <w:r>
              <w:rPr>
                <w:rFonts w:hint="eastAsia" w:ascii="仿宋_GB2312" w:eastAsia="仿宋_GB2312"/>
                <w:color w:val="auto"/>
                <w:szCs w:val="21"/>
              </w:rPr>
              <w:t>（</w:t>
            </w:r>
            <w:r>
              <w:rPr>
                <w:rFonts w:ascii="仿宋_GB2312" w:eastAsia="仿宋_GB2312"/>
                <w:color w:val="auto"/>
                <w:szCs w:val="21"/>
              </w:rPr>
              <w:t>1</w:t>
            </w:r>
            <w:r>
              <w:rPr>
                <w:rFonts w:hint="eastAsia" w:ascii="仿宋_GB2312" w:eastAsia="仿宋_GB2312"/>
                <w:color w:val="auto"/>
                <w:szCs w:val="21"/>
              </w:rPr>
              <w:t>）夯实基础，完成资料收集</w:t>
            </w:r>
          </w:p>
          <w:p>
            <w:pPr>
              <w:spacing w:line="312" w:lineRule="auto"/>
              <w:ind w:firstLine="420" w:firstLineChars="200"/>
              <w:jc w:val="left"/>
              <w:rPr>
                <w:rFonts w:ascii="仿宋_GB2312" w:eastAsia="仿宋_GB2312"/>
                <w:color w:val="auto"/>
                <w:szCs w:val="21"/>
              </w:rPr>
            </w:pPr>
            <w:r>
              <w:rPr>
                <w:rFonts w:hint="eastAsia" w:ascii="仿宋_GB2312" w:eastAsia="仿宋_GB2312"/>
                <w:color w:val="auto"/>
                <w:szCs w:val="21"/>
              </w:rPr>
              <w:t>协调相关职能部门，收集《深圳市总体城市设计和特色风貌保护策略研究》、《深圳市“山海连城计划”概念城市设计》、《深圳市“山海连城计划”规划建设指导手册》、《深圳市国土空间规划（</w:t>
            </w:r>
            <w:r>
              <w:rPr>
                <w:rFonts w:ascii="仿宋_GB2312" w:eastAsia="仿宋_GB2312"/>
                <w:color w:val="auto"/>
                <w:szCs w:val="21"/>
              </w:rPr>
              <w:t>2020-2035</w:t>
            </w:r>
            <w:r>
              <w:rPr>
                <w:rFonts w:hint="eastAsia" w:ascii="仿宋_GB2312" w:eastAsia="仿宋_GB2312"/>
                <w:color w:val="auto"/>
                <w:szCs w:val="21"/>
              </w:rPr>
              <w:t>）》（在编）、《深圳市绿地系统规划（</w:t>
            </w:r>
            <w:r>
              <w:rPr>
                <w:rFonts w:ascii="仿宋_GB2312" w:eastAsia="仿宋_GB2312"/>
                <w:color w:val="auto"/>
                <w:szCs w:val="21"/>
              </w:rPr>
              <w:t>2017-2030</w:t>
            </w:r>
            <w:r>
              <w:rPr>
                <w:rFonts w:hint="eastAsia" w:ascii="仿宋_GB2312" w:eastAsia="仿宋_GB2312"/>
                <w:color w:val="auto"/>
                <w:szCs w:val="21"/>
              </w:rPr>
              <w:t>）》、龙岗区生态空间、绿地（需落实、完善）相关建设要求以及本区已批、在编各类专项规划；同时，充分应用遥感影像、高空全景等可获取资源，对已收集资料完成全面补充。</w:t>
            </w:r>
          </w:p>
          <w:p>
            <w:pPr>
              <w:spacing w:line="312" w:lineRule="auto"/>
              <w:ind w:firstLine="420" w:firstLineChars="200"/>
              <w:jc w:val="left"/>
              <w:rPr>
                <w:rFonts w:ascii="仿宋_GB2312" w:eastAsia="仿宋_GB2312"/>
                <w:color w:val="auto"/>
                <w:szCs w:val="21"/>
              </w:rPr>
            </w:pPr>
            <w:r>
              <w:rPr>
                <w:rFonts w:hint="eastAsia" w:ascii="仿宋_GB2312" w:eastAsia="仿宋_GB2312"/>
                <w:color w:val="auto"/>
                <w:szCs w:val="21"/>
              </w:rPr>
              <w:t>（</w:t>
            </w:r>
            <w:r>
              <w:rPr>
                <w:rFonts w:ascii="仿宋_GB2312" w:eastAsia="仿宋_GB2312"/>
                <w:color w:val="auto"/>
                <w:szCs w:val="21"/>
              </w:rPr>
              <w:t>2</w:t>
            </w:r>
            <w:r>
              <w:rPr>
                <w:rFonts w:hint="eastAsia" w:ascii="仿宋_GB2312" w:eastAsia="仿宋_GB2312"/>
                <w:color w:val="auto"/>
                <w:szCs w:val="21"/>
              </w:rPr>
              <w:t>）系统梳理，完成数据建库</w:t>
            </w:r>
          </w:p>
          <w:p>
            <w:pPr>
              <w:spacing w:line="312" w:lineRule="auto"/>
              <w:ind w:firstLine="420" w:firstLineChars="200"/>
              <w:jc w:val="left"/>
              <w:rPr>
                <w:rFonts w:ascii="仿宋_GB2312" w:eastAsia="仿宋_GB2312"/>
                <w:color w:val="auto"/>
                <w:szCs w:val="21"/>
              </w:rPr>
            </w:pPr>
            <w:r>
              <w:rPr>
                <w:rFonts w:hint="eastAsia" w:ascii="仿宋_GB2312" w:eastAsia="仿宋_GB2312"/>
                <w:color w:val="auto"/>
                <w:szCs w:val="21"/>
              </w:rPr>
              <w:t>在资料收集基础上，首先，系统梳理深圳市生态廊道建设等相关上位规划、要求以及龙岗区生态、建设用地规划与现状图斑数据，综合分析得到本区城市建设用地现状涉及上位规划中生态图斑的基本情况，形成外业调查工作底图；其次，针对梳理出的各类“涉生态空间”数据，组织调查小组现场踏勘，确认本区生态廊道建设相关图斑现地情况，做好数据记录；最后，整合内业核查与外业调查资料，明确本区生态空间基本结构，并建立各类用地“涉生态空间”数据库。</w:t>
            </w:r>
          </w:p>
          <w:p>
            <w:pPr>
              <w:spacing w:line="312" w:lineRule="auto"/>
              <w:ind w:firstLine="420" w:firstLineChars="200"/>
              <w:jc w:val="left"/>
              <w:rPr>
                <w:rFonts w:ascii="仿宋_GB2312" w:eastAsia="仿宋_GB2312"/>
                <w:color w:val="auto"/>
                <w:szCs w:val="21"/>
              </w:rPr>
            </w:pPr>
            <w:r>
              <w:rPr>
                <w:rFonts w:hint="eastAsia" w:ascii="仿宋_GB2312" w:eastAsia="仿宋_GB2312"/>
                <w:color w:val="auto"/>
                <w:szCs w:val="21"/>
              </w:rPr>
              <w:t>（</w:t>
            </w:r>
            <w:r>
              <w:rPr>
                <w:rFonts w:ascii="仿宋_GB2312" w:eastAsia="仿宋_GB2312"/>
                <w:color w:val="auto"/>
                <w:szCs w:val="21"/>
              </w:rPr>
              <w:t>3</w:t>
            </w:r>
            <w:r>
              <w:rPr>
                <w:rFonts w:hint="eastAsia" w:ascii="仿宋_GB2312" w:eastAsia="仿宋_GB2312"/>
                <w:color w:val="auto"/>
                <w:szCs w:val="21"/>
              </w:rPr>
              <w:t>）问题分析，拟定发展对策</w:t>
            </w:r>
          </w:p>
          <w:p>
            <w:pPr>
              <w:spacing w:line="312" w:lineRule="auto"/>
              <w:ind w:firstLine="420" w:firstLineChars="200"/>
              <w:jc w:val="left"/>
              <w:rPr>
                <w:rFonts w:ascii="仿宋_GB2312" w:eastAsia="仿宋_GB2312"/>
                <w:color w:val="auto"/>
                <w:szCs w:val="21"/>
              </w:rPr>
            </w:pPr>
            <w:r>
              <w:rPr>
                <w:rFonts w:hint="eastAsia" w:ascii="仿宋_GB2312" w:eastAsia="仿宋_GB2312"/>
                <w:color w:val="auto"/>
                <w:szCs w:val="21"/>
              </w:rPr>
              <w:t>基于系统梳理成果，对龙岗区建设现状与上位规划、要求相冲突的“涉生态空间”用地图斑数量、面积、空间分布、建设现状、用地类型等内容进行总体分析，并结合对本区生态空间布局的初步判断，提出本区生态廊道建设工作下一步优化对策，为完善市级主要生态廊道与片区次级生态廊道具体线位，推进龙岗区生态廊道专项规划建设和生态修复工作，编制深圳市国土空间规划龙岗区分区规划提供现状数据支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tcPr>
          <w:p>
            <w:pPr>
              <w:spacing w:line="360" w:lineRule="auto"/>
              <w:rPr>
                <w:rFonts w:ascii="仿宋" w:hAnsi="仿宋" w:eastAsia="仿宋"/>
                <w:bCs/>
                <w:color w:val="auto"/>
                <w:szCs w:val="21"/>
              </w:rPr>
            </w:pPr>
            <w:r>
              <w:rPr>
                <w:rFonts w:ascii="仿宋" w:hAnsi="仿宋" w:eastAsia="仿宋"/>
                <w:bCs/>
                <w:color w:val="auto"/>
                <w:szCs w:val="21"/>
              </w:rPr>
              <w:t>拟定供应商名单：</w:t>
            </w:r>
          </w:p>
          <w:p>
            <w:pPr>
              <w:spacing w:before="62" w:beforeLines="20" w:line="360" w:lineRule="auto"/>
              <w:ind w:firstLine="420" w:firstLineChars="200"/>
              <w:rPr>
                <w:rFonts w:ascii="仿宋" w:hAnsi="仿宋" w:eastAsia="仿宋"/>
                <w:color w:val="auto"/>
                <w:szCs w:val="21"/>
              </w:rPr>
            </w:pPr>
            <w:r>
              <w:rPr>
                <w:rFonts w:hint="eastAsia" w:ascii="仿宋" w:hAnsi="仿宋" w:eastAsia="仿宋"/>
                <w:color w:val="auto"/>
                <w:szCs w:val="21"/>
              </w:rPr>
              <w:t>深圳市龙岗区规划国土发展研究中心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tcPr>
          <w:p>
            <w:pPr>
              <w:spacing w:line="360" w:lineRule="auto"/>
              <w:rPr>
                <w:rFonts w:ascii="仿宋" w:hAnsi="仿宋" w:eastAsia="仿宋"/>
                <w:bCs/>
                <w:color w:val="auto"/>
                <w:szCs w:val="21"/>
              </w:rPr>
            </w:pPr>
            <w:r>
              <w:rPr>
                <w:rFonts w:ascii="仿宋" w:hAnsi="仿宋" w:eastAsia="仿宋"/>
                <w:bCs/>
                <w:color w:val="auto"/>
                <w:szCs w:val="21"/>
              </w:rPr>
              <w:t>申请理由及相关说明：</w:t>
            </w:r>
          </w:p>
          <w:p>
            <w:pPr>
              <w:spacing w:line="360" w:lineRule="auto"/>
              <w:ind w:firstLine="630" w:firstLineChars="300"/>
              <w:rPr>
                <w:rFonts w:ascii="仿宋" w:hAnsi="仿宋" w:eastAsia="仿宋"/>
                <w:bCs/>
                <w:color w:val="auto"/>
                <w:szCs w:val="21"/>
              </w:rPr>
            </w:pPr>
            <w:r>
              <w:rPr>
                <w:rFonts w:hint="eastAsia" w:ascii="仿宋" w:hAnsi="仿宋" w:eastAsia="仿宋"/>
                <w:bCs/>
                <w:color w:val="auto"/>
                <w:szCs w:val="21"/>
              </w:rPr>
              <w:t>依据《深圳市规划和自然资源局龙岗管理局政府采购管理制度（</w:t>
            </w:r>
            <w:r>
              <w:rPr>
                <w:rFonts w:ascii="仿宋" w:hAnsi="仿宋" w:eastAsia="仿宋"/>
                <w:bCs/>
                <w:color w:val="auto"/>
                <w:szCs w:val="21"/>
              </w:rPr>
              <w:t>2020</w:t>
            </w:r>
            <w:r>
              <w:rPr>
                <w:rFonts w:hint="eastAsia" w:ascii="仿宋" w:hAnsi="仿宋" w:eastAsia="仿宋"/>
                <w:bCs/>
                <w:color w:val="auto"/>
                <w:szCs w:val="21"/>
              </w:rPr>
              <w:t>年版）》中第五章第十八条第六点规定，采购金额在</w:t>
            </w:r>
            <w:r>
              <w:rPr>
                <w:rFonts w:ascii="仿宋" w:hAnsi="仿宋" w:eastAsia="仿宋"/>
                <w:bCs/>
                <w:color w:val="auto"/>
                <w:szCs w:val="21"/>
              </w:rPr>
              <w:t>20</w:t>
            </w:r>
            <w:r>
              <w:rPr>
                <w:rFonts w:hint="eastAsia" w:ascii="仿宋" w:hAnsi="仿宋" w:eastAsia="仿宋"/>
                <w:bCs/>
                <w:color w:val="auto"/>
                <w:szCs w:val="21"/>
              </w:rPr>
              <w:t>万元（含）以下的项目或</w:t>
            </w:r>
            <w:r>
              <w:rPr>
                <w:rFonts w:ascii="仿宋" w:hAnsi="仿宋" w:eastAsia="仿宋"/>
                <w:bCs/>
                <w:color w:val="auto"/>
                <w:szCs w:val="21"/>
              </w:rPr>
              <w:t>20</w:t>
            </w:r>
            <w:r>
              <w:rPr>
                <w:rFonts w:hint="eastAsia" w:ascii="仿宋" w:hAnsi="仿宋" w:eastAsia="仿宋"/>
                <w:bCs/>
                <w:color w:val="auto"/>
                <w:szCs w:val="21"/>
              </w:rPr>
              <w:t>万（不含）以上且符合以下条件之一的项目，经局业务会同意后可直接签订合同，经过深入研究，我局决定对本项目采取直接委托采购方式，原因为本项目符合以下两个条件，具体如下：</w:t>
            </w:r>
          </w:p>
          <w:p>
            <w:pPr>
              <w:spacing w:line="360" w:lineRule="exact"/>
              <w:ind w:firstLine="632" w:firstLineChars="300"/>
              <w:rPr>
                <w:rFonts w:ascii="仿宋" w:hAnsi="仿宋" w:eastAsia="仿宋"/>
                <w:b/>
                <w:color w:val="auto"/>
                <w:szCs w:val="21"/>
              </w:rPr>
            </w:pPr>
            <w:r>
              <w:rPr>
                <w:rFonts w:hint="eastAsia" w:ascii="仿宋" w:hAnsi="仿宋" w:eastAsia="仿宋"/>
                <w:b/>
                <w:color w:val="auto"/>
                <w:szCs w:val="21"/>
              </w:rPr>
              <w:t>1、特定供应商有较大优势</w:t>
            </w:r>
          </w:p>
          <w:p>
            <w:pPr>
              <w:spacing w:line="360" w:lineRule="auto"/>
              <w:ind w:firstLine="630" w:firstLineChars="300"/>
              <w:rPr>
                <w:rFonts w:ascii="仿宋" w:hAnsi="仿宋" w:eastAsia="仿宋"/>
                <w:bCs/>
                <w:color w:val="auto"/>
                <w:szCs w:val="21"/>
              </w:rPr>
            </w:pPr>
            <w:r>
              <w:rPr>
                <w:rFonts w:hint="eastAsia" w:ascii="仿宋" w:hAnsi="仿宋" w:eastAsia="仿宋"/>
                <w:bCs/>
                <w:color w:val="auto"/>
                <w:szCs w:val="21"/>
              </w:rPr>
              <w:t>龙岗区生态廊道规划前期研究涉及项目类型多样，各项任务推进和落实涉及龙岗区多个职能部门工作，为精准校核各项任务推进情况，项目供需商应具备专业水平、协调能力，并对辖区生态用地情况熟悉。自开展《龙岗区国土空间保护与发展“十四五”规划》研究以来，区规划国土发展研究中心（以下简称“中心”）全面展开生态相关现状及规划情况研究，对龙岗区生态用地信息掌握全面，符合《龙岗区生态廊道规划前期研究》开展需求。</w:t>
            </w:r>
          </w:p>
          <w:p>
            <w:pPr>
              <w:spacing w:line="360" w:lineRule="exact"/>
              <w:ind w:firstLine="632" w:firstLineChars="300"/>
              <w:rPr>
                <w:rFonts w:ascii="仿宋" w:hAnsi="仿宋" w:eastAsia="仿宋"/>
                <w:b/>
                <w:color w:val="auto"/>
                <w:szCs w:val="21"/>
              </w:rPr>
            </w:pPr>
            <w:r>
              <w:rPr>
                <w:rFonts w:hint="eastAsia" w:ascii="仿宋" w:hAnsi="仿宋" w:eastAsia="仿宋"/>
                <w:b/>
                <w:color w:val="auto"/>
                <w:szCs w:val="21"/>
              </w:rPr>
              <w:t>2</w:t>
            </w:r>
            <w:r>
              <w:rPr>
                <w:rFonts w:ascii="仿宋" w:hAnsi="仿宋" w:eastAsia="仿宋"/>
                <w:b/>
                <w:color w:val="auto"/>
                <w:szCs w:val="21"/>
              </w:rPr>
              <w:t>.</w:t>
            </w:r>
            <w:r>
              <w:rPr>
                <w:rFonts w:hint="eastAsia" w:ascii="仿宋" w:hAnsi="仿宋" w:eastAsia="仿宋"/>
                <w:b/>
                <w:color w:val="auto"/>
                <w:szCs w:val="21"/>
              </w:rPr>
              <w:t xml:space="preserve"> 属事业单位职能范围</w:t>
            </w:r>
          </w:p>
          <w:p>
            <w:pPr>
              <w:spacing w:line="360" w:lineRule="auto"/>
              <w:ind w:firstLine="630" w:firstLineChars="300"/>
              <w:rPr>
                <w:rFonts w:ascii="仿宋" w:hAnsi="仿宋" w:eastAsia="仿宋"/>
                <w:bCs/>
                <w:color w:val="auto"/>
                <w:szCs w:val="21"/>
              </w:rPr>
            </w:pPr>
            <w:r>
              <w:rPr>
                <w:rFonts w:hint="eastAsia" w:ascii="仿宋" w:hAnsi="仿宋" w:eastAsia="仿宋"/>
                <w:bCs/>
                <w:color w:val="auto"/>
                <w:szCs w:val="21"/>
              </w:rPr>
              <w:t>《龙岗区生态廊道规划前期研究》项目为生态研究类项目，龙岗区规划国土发展研究中心是我区的政府公益性二类事业单位，承担龙岗区城市规划和土地管理相关研究工作，主要职责根据龙岗区政府工作部署，为龙岗区城市发展策略、国民经济和社会发展规划、城市规划、土地利用规划、土地管理等提供研究咨询与技术服务，本项目属中心职能范围。</w:t>
            </w:r>
          </w:p>
          <w:p>
            <w:pPr>
              <w:spacing w:line="360" w:lineRule="auto"/>
              <w:ind w:firstLine="630" w:firstLineChars="300"/>
              <w:rPr>
                <w:rFonts w:ascii="仿宋" w:hAnsi="仿宋" w:eastAsia="仿宋"/>
                <w:bCs/>
                <w:color w:val="auto"/>
                <w:szCs w:val="21"/>
              </w:rPr>
            </w:pPr>
            <w:r>
              <w:rPr>
                <w:rFonts w:hint="eastAsia" w:ascii="仿宋" w:hAnsi="仿宋" w:eastAsia="仿宋"/>
                <w:bCs/>
                <w:color w:val="auto"/>
                <w:szCs w:val="21"/>
              </w:rPr>
              <w:t>综上，我局决定《龙岗区生态廊道规划前期研究》项目采用直接委托方式采购确定龙岗区规划国土发展研究中心为本项目编制单位。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tcPr>
          <w:p>
            <w:pPr>
              <w:spacing w:line="360" w:lineRule="auto"/>
              <w:rPr>
                <w:rFonts w:ascii="仿宋" w:hAnsi="仿宋" w:eastAsia="仿宋"/>
                <w:bCs/>
                <w:color w:val="auto"/>
                <w:szCs w:val="21"/>
              </w:rPr>
            </w:pPr>
            <w:r>
              <w:rPr>
                <w:rFonts w:ascii="仿宋" w:hAnsi="仿宋" w:eastAsia="仿宋"/>
                <w:bCs/>
                <w:color w:val="auto"/>
                <w:szCs w:val="21"/>
              </w:rPr>
              <w:t>征求意见期限：</w:t>
            </w:r>
          </w:p>
          <w:p>
            <w:pPr>
              <w:spacing w:before="62" w:beforeLines="20" w:after="62" w:afterLines="20" w:line="360" w:lineRule="auto"/>
              <w:ind w:firstLine="420" w:firstLineChars="200"/>
              <w:rPr>
                <w:rFonts w:ascii="仿宋" w:hAnsi="仿宋" w:eastAsia="仿宋"/>
                <w:color w:val="auto"/>
                <w:szCs w:val="21"/>
              </w:rPr>
            </w:pPr>
            <w:r>
              <w:rPr>
                <w:rFonts w:ascii="仿宋" w:hAnsi="仿宋" w:eastAsia="仿宋"/>
                <w:color w:val="auto"/>
                <w:szCs w:val="21"/>
              </w:rPr>
              <w:t>从2021年  月  日起至2021年  月  日止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tcPr>
          <w:p>
            <w:pPr>
              <w:widowControl/>
              <w:spacing w:before="100" w:beforeAutospacing="1" w:after="100" w:afterAutospacing="1" w:line="360" w:lineRule="auto"/>
              <w:jc w:val="left"/>
              <w:rPr>
                <w:rFonts w:ascii="仿宋" w:hAnsi="仿宋" w:eastAsia="仿宋" w:cs="宋体"/>
                <w:color w:val="auto"/>
                <w:kern w:val="0"/>
                <w:szCs w:val="21"/>
              </w:rPr>
            </w:pPr>
            <w:r>
              <w:rPr>
                <w:rFonts w:ascii="仿宋" w:hAnsi="仿宋" w:eastAsia="仿宋" w:cs="宋体"/>
                <w:bCs/>
                <w:color w:val="auto"/>
                <w:kern w:val="0"/>
                <w:szCs w:val="21"/>
              </w:rPr>
              <w:t>联系方式：</w:t>
            </w:r>
          </w:p>
          <w:p>
            <w:pPr>
              <w:widowControl/>
              <w:spacing w:before="100" w:beforeAutospacing="1" w:after="100" w:afterAutospacing="1" w:line="360" w:lineRule="auto"/>
              <w:ind w:firstLine="480"/>
              <w:jc w:val="left"/>
              <w:rPr>
                <w:rFonts w:ascii="仿宋" w:hAnsi="仿宋" w:eastAsia="仿宋" w:cs="宋体"/>
                <w:color w:val="auto"/>
                <w:kern w:val="0"/>
                <w:szCs w:val="21"/>
              </w:rPr>
            </w:pPr>
            <w:r>
              <w:rPr>
                <w:rFonts w:ascii="仿宋" w:hAnsi="仿宋" w:eastAsia="仿宋" w:cs="宋体"/>
                <w:color w:val="auto"/>
                <w:kern w:val="0"/>
                <w:szCs w:val="21"/>
              </w:rPr>
              <w:t>采购人:深圳市规划和自然资源局</w:t>
            </w:r>
            <w:r>
              <w:rPr>
                <w:rFonts w:hint="eastAsia" w:ascii="仿宋" w:hAnsi="仿宋" w:eastAsia="仿宋" w:cs="宋体"/>
                <w:color w:val="auto"/>
                <w:kern w:val="0"/>
                <w:szCs w:val="21"/>
              </w:rPr>
              <w:t>龙岗管理局</w:t>
            </w:r>
          </w:p>
          <w:p>
            <w:pPr>
              <w:widowControl/>
              <w:spacing w:before="100" w:beforeAutospacing="1" w:after="100" w:afterAutospacing="1" w:line="360" w:lineRule="auto"/>
              <w:ind w:firstLine="480"/>
              <w:jc w:val="left"/>
              <w:rPr>
                <w:rFonts w:hint="eastAsia" w:ascii="仿宋" w:hAnsi="仿宋" w:eastAsia="仿宋" w:cs="宋体"/>
                <w:color w:val="auto"/>
                <w:kern w:val="0"/>
                <w:szCs w:val="21"/>
                <w:lang w:eastAsia="zh-CN"/>
              </w:rPr>
            </w:pPr>
            <w:r>
              <w:rPr>
                <w:rFonts w:ascii="仿宋" w:hAnsi="仿宋" w:eastAsia="仿宋" w:cs="宋体"/>
                <w:color w:val="auto"/>
                <w:kern w:val="0"/>
                <w:szCs w:val="21"/>
              </w:rPr>
              <w:t>联系人：</w:t>
            </w:r>
            <w:r>
              <w:rPr>
                <w:rFonts w:hint="eastAsia" w:ascii="仿宋" w:hAnsi="仿宋" w:eastAsia="仿宋" w:cs="宋体"/>
                <w:color w:val="auto"/>
                <w:kern w:val="0"/>
                <w:szCs w:val="21"/>
                <w:lang w:val="en-US" w:eastAsia="zh-CN"/>
              </w:rPr>
              <w:t>梁晓萍</w:t>
            </w:r>
            <w:bookmarkStart w:id="0" w:name="_GoBack"/>
            <w:bookmarkEnd w:id="0"/>
          </w:p>
          <w:p>
            <w:pPr>
              <w:widowControl/>
              <w:spacing w:before="100" w:beforeAutospacing="1" w:after="100" w:afterAutospacing="1" w:line="360" w:lineRule="auto"/>
              <w:jc w:val="left"/>
              <w:rPr>
                <w:rFonts w:ascii="仿宋" w:hAnsi="仿宋" w:eastAsia="仿宋" w:cs="宋体"/>
                <w:color w:val="auto"/>
                <w:kern w:val="0"/>
                <w:szCs w:val="21"/>
              </w:rPr>
            </w:pPr>
            <w:r>
              <w:rPr>
                <w:rFonts w:ascii="仿宋" w:hAnsi="仿宋" w:eastAsia="仿宋" w:cs="宋体"/>
                <w:color w:val="auto"/>
                <w:kern w:val="0"/>
                <w:szCs w:val="21"/>
              </w:rPr>
              <w:t>　　地址：深圳市</w:t>
            </w:r>
            <w:r>
              <w:rPr>
                <w:rFonts w:hint="eastAsia" w:ascii="仿宋" w:hAnsi="仿宋" w:eastAsia="仿宋" w:cs="宋体"/>
                <w:color w:val="auto"/>
                <w:kern w:val="0"/>
                <w:szCs w:val="21"/>
              </w:rPr>
              <w:t>龙岗区中心城建设大厦</w:t>
            </w:r>
          </w:p>
          <w:p>
            <w:pPr>
              <w:widowControl/>
              <w:spacing w:before="100" w:beforeAutospacing="1" w:after="100" w:afterAutospacing="1" w:line="360" w:lineRule="auto"/>
              <w:ind w:firstLine="420" w:firstLineChars="200"/>
              <w:jc w:val="left"/>
              <w:rPr>
                <w:rFonts w:hint="default" w:ascii="仿宋" w:hAnsi="仿宋" w:eastAsia="仿宋" w:cs="宋体"/>
                <w:color w:val="auto"/>
                <w:kern w:val="0"/>
                <w:szCs w:val="21"/>
                <w:lang w:val="en-US" w:eastAsia="zh-CN"/>
              </w:rPr>
            </w:pPr>
            <w:r>
              <w:rPr>
                <w:rFonts w:ascii="仿宋" w:hAnsi="仿宋" w:eastAsia="仿宋" w:cs="宋体"/>
                <w:color w:val="auto"/>
                <w:kern w:val="0"/>
                <w:szCs w:val="21"/>
              </w:rPr>
              <w:t>联系电话：</w:t>
            </w:r>
            <w:r>
              <w:rPr>
                <w:rFonts w:hint="eastAsia" w:ascii="仿宋" w:hAnsi="仿宋" w:eastAsia="仿宋" w:cs="宋体"/>
                <w:color w:val="auto"/>
                <w:kern w:val="0"/>
                <w:szCs w:val="21"/>
                <w:lang w:val="en-US" w:eastAsia="zh-CN"/>
              </w:rPr>
              <w:t>28918663</w:t>
            </w:r>
            <w:r>
              <w:rPr>
                <w:rFonts w:ascii="仿宋" w:hAnsi="仿宋" w:eastAsia="仿宋" w:cs="宋体"/>
                <w:color w:val="auto"/>
                <w:kern w:val="0"/>
                <w:szCs w:val="21"/>
              </w:rPr>
              <w:t xml:space="preserve">            传真：</w:t>
            </w:r>
            <w:r>
              <w:rPr>
                <w:rFonts w:hint="eastAsia" w:ascii="仿宋" w:hAnsi="仿宋" w:eastAsia="仿宋" w:cs="宋体"/>
                <w:color w:val="auto"/>
                <w:kern w:val="0"/>
                <w:szCs w:val="21"/>
                <w:lang w:val="en-US" w:eastAsia="zh-CN"/>
              </w:rPr>
              <w:t>28913205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tcPr>
          <w:p>
            <w:pPr>
              <w:spacing w:line="360" w:lineRule="auto"/>
              <w:rPr>
                <w:rFonts w:ascii="仿宋" w:hAnsi="仿宋" w:eastAsia="仿宋"/>
                <w:color w:val="auto"/>
                <w:szCs w:val="21"/>
              </w:rPr>
            </w:pPr>
            <w:r>
              <w:rPr>
                <w:rFonts w:ascii="仿宋" w:hAnsi="仿宋" w:eastAsia="仿宋"/>
                <w:bCs/>
                <w:color w:val="auto"/>
                <w:szCs w:val="21"/>
              </w:rPr>
              <w:t>备注：</w:t>
            </w:r>
            <w:r>
              <w:rPr>
                <w:rFonts w:ascii="仿宋" w:hAnsi="仿宋" w:eastAsia="仿宋"/>
                <w:color w:val="auto"/>
                <w:szCs w:val="21"/>
              </w:rPr>
              <w:t>潜在政府采购供应商对公示内容有异议的，请于</w:t>
            </w:r>
            <w:r>
              <w:rPr>
                <w:rFonts w:ascii="仿宋" w:hAnsi="仿宋" w:eastAsia="仿宋"/>
                <w:bCs/>
                <w:color w:val="auto"/>
                <w:szCs w:val="21"/>
              </w:rPr>
              <w:t>公示之日起至期满后两个工作日内</w:t>
            </w:r>
            <w:r>
              <w:rPr>
                <w:rFonts w:ascii="仿宋" w:hAnsi="仿宋" w:eastAsia="仿宋"/>
                <w:color w:val="auto"/>
                <w:szCs w:val="21"/>
              </w:rPr>
              <w:t>以实名书面（包括联系人、地址、联系电话）形式将意见反馈至</w:t>
            </w:r>
            <w:r>
              <w:rPr>
                <w:rFonts w:ascii="仿宋" w:hAnsi="仿宋" w:eastAsia="仿宋" w:cs="宋体"/>
                <w:color w:val="auto"/>
                <w:kern w:val="0"/>
                <w:szCs w:val="21"/>
              </w:rPr>
              <w:t>深圳市规划和自然资源局</w:t>
            </w:r>
            <w:r>
              <w:rPr>
                <w:rFonts w:hint="eastAsia" w:ascii="仿宋" w:hAnsi="仿宋" w:eastAsia="仿宋" w:cs="宋体"/>
                <w:color w:val="auto"/>
                <w:kern w:val="0"/>
                <w:szCs w:val="21"/>
              </w:rPr>
              <w:t>龙岗管理局</w:t>
            </w:r>
            <w:r>
              <w:rPr>
                <w:rFonts w:ascii="仿宋" w:hAnsi="仿宋" w:eastAsia="仿宋" w:cs="宋体"/>
                <w:color w:val="auto"/>
                <w:kern w:val="0"/>
                <w:szCs w:val="21"/>
              </w:rPr>
              <w:t>。</w:t>
            </w:r>
          </w:p>
        </w:tc>
      </w:tr>
    </w:tbl>
    <w:p>
      <w:pPr>
        <w:spacing w:line="360" w:lineRule="auto"/>
        <w:rPr>
          <w:rFonts w:ascii="仿宋" w:hAnsi="仿宋" w:eastAsia="仿宋"/>
          <w:color w:val="auto"/>
          <w:szCs w:val="21"/>
        </w:rPr>
      </w:pPr>
      <w:r>
        <w:rPr>
          <w:rFonts w:hint="eastAsia" w:ascii="仿宋" w:hAnsi="仿宋" w:eastAsia="仿宋"/>
          <w:color w:val="auto"/>
          <w:szCs w:val="21"/>
        </w:rPr>
        <w:t>上述内容需包括：</w:t>
      </w:r>
    </w:p>
    <w:p>
      <w:pPr>
        <w:widowControl/>
        <w:spacing w:line="360" w:lineRule="auto"/>
        <w:jc w:val="left"/>
        <w:rPr>
          <w:rFonts w:ascii="仿宋" w:hAnsi="仿宋" w:eastAsia="仿宋" w:cs="宋体"/>
          <w:color w:val="auto"/>
          <w:kern w:val="0"/>
          <w:szCs w:val="21"/>
        </w:rPr>
      </w:pPr>
      <w:r>
        <w:rPr>
          <w:rFonts w:hint="eastAsia" w:ascii="仿宋" w:hAnsi="仿宋" w:eastAsia="仿宋" w:cs="宋体"/>
          <w:color w:val="auto"/>
          <w:kern w:val="0"/>
          <w:szCs w:val="21"/>
        </w:rPr>
        <w:t>（一）采购人名称、项目名称、采购计划、项目规模及资金来源情况；</w:t>
      </w:r>
    </w:p>
    <w:p>
      <w:pPr>
        <w:widowControl/>
        <w:spacing w:line="360" w:lineRule="auto"/>
        <w:jc w:val="left"/>
        <w:rPr>
          <w:rFonts w:ascii="仿宋" w:hAnsi="仿宋" w:eastAsia="仿宋" w:cs="宋体"/>
          <w:color w:val="auto"/>
          <w:kern w:val="0"/>
          <w:szCs w:val="21"/>
        </w:rPr>
      </w:pPr>
      <w:r>
        <w:rPr>
          <w:rFonts w:hint="eastAsia" w:ascii="仿宋" w:hAnsi="仿宋" w:eastAsia="仿宋" w:cs="宋体"/>
          <w:color w:val="auto"/>
          <w:kern w:val="0"/>
          <w:szCs w:val="21"/>
        </w:rPr>
        <w:t>（二）项目技术需求和标准；</w:t>
      </w:r>
    </w:p>
    <w:p>
      <w:pPr>
        <w:widowControl/>
        <w:spacing w:line="360" w:lineRule="auto"/>
        <w:jc w:val="left"/>
        <w:rPr>
          <w:rFonts w:ascii="仿宋" w:hAnsi="仿宋" w:eastAsia="仿宋" w:cs="宋体"/>
          <w:color w:val="auto"/>
          <w:kern w:val="0"/>
          <w:sz w:val="20"/>
          <w:szCs w:val="20"/>
        </w:rPr>
      </w:pPr>
      <w:r>
        <w:rPr>
          <w:rFonts w:hint="eastAsia" w:ascii="仿宋" w:hAnsi="仿宋" w:eastAsia="仿宋" w:cs="宋体"/>
          <w:color w:val="auto"/>
          <w:kern w:val="0"/>
          <w:szCs w:val="21"/>
        </w:rPr>
        <w:t>（三）申请非公开招标的采购方式、理由及证明材料；</w:t>
      </w:r>
    </w:p>
    <w:p>
      <w:pPr>
        <w:widowControl/>
        <w:spacing w:line="360" w:lineRule="auto"/>
        <w:jc w:val="left"/>
        <w:rPr>
          <w:rFonts w:ascii="仿宋" w:hAnsi="仿宋" w:eastAsia="仿宋" w:cs="宋体"/>
          <w:color w:val="auto"/>
          <w:kern w:val="0"/>
          <w:sz w:val="20"/>
          <w:szCs w:val="20"/>
        </w:rPr>
      </w:pPr>
      <w:r>
        <w:rPr>
          <w:rFonts w:hint="eastAsia" w:ascii="仿宋" w:hAnsi="仿宋" w:eastAsia="仿宋" w:cs="宋体"/>
          <w:color w:val="auto"/>
          <w:kern w:val="0"/>
          <w:sz w:val="20"/>
          <w:szCs w:val="20"/>
        </w:rPr>
        <w:t>（四）相关行业及潜在供应商情况；</w:t>
      </w:r>
    </w:p>
    <w:p>
      <w:pPr>
        <w:widowControl/>
        <w:spacing w:line="360" w:lineRule="auto"/>
        <w:jc w:val="left"/>
        <w:rPr>
          <w:rFonts w:ascii="仿宋" w:hAnsi="仿宋" w:eastAsia="仿宋" w:cs="宋体"/>
          <w:color w:val="auto"/>
          <w:kern w:val="0"/>
          <w:sz w:val="20"/>
          <w:szCs w:val="20"/>
        </w:rPr>
      </w:pPr>
      <w:r>
        <w:rPr>
          <w:rFonts w:hint="eastAsia" w:ascii="仿宋" w:hAnsi="仿宋" w:eastAsia="仿宋" w:cs="宋体"/>
          <w:color w:val="auto"/>
          <w:kern w:val="0"/>
          <w:sz w:val="20"/>
          <w:szCs w:val="20"/>
        </w:rPr>
        <w:t>（五）参与非公开招标的供应商的产生方式和理由；</w:t>
      </w:r>
    </w:p>
    <w:p>
      <w:pPr>
        <w:spacing w:line="360" w:lineRule="auto"/>
        <w:ind w:right="422" w:rightChars="201"/>
        <w:rPr>
          <w:rFonts w:ascii="仿宋" w:hAnsi="仿宋" w:eastAsia="仿宋"/>
          <w:sz w:val="32"/>
          <w:szCs w:val="32"/>
        </w:rPr>
      </w:pPr>
      <w:r>
        <w:rPr>
          <w:rFonts w:hint="eastAsia" w:ascii="仿宋" w:hAnsi="仿宋" w:eastAsia="仿宋" w:cs="宋体"/>
          <w:color w:val="auto"/>
          <w:kern w:val="0"/>
          <w:sz w:val="20"/>
          <w:szCs w:val="20"/>
        </w:rPr>
        <w:t>（六）涉密、应急项目的认定材料。</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212"/>
    <w:rsid w:val="000A26FA"/>
    <w:rsid w:val="000A7310"/>
    <w:rsid w:val="000C121A"/>
    <w:rsid w:val="00106212"/>
    <w:rsid w:val="001E5710"/>
    <w:rsid w:val="00212155"/>
    <w:rsid w:val="00232E4D"/>
    <w:rsid w:val="00250582"/>
    <w:rsid w:val="002A1F61"/>
    <w:rsid w:val="00344570"/>
    <w:rsid w:val="00362D6A"/>
    <w:rsid w:val="00367DB1"/>
    <w:rsid w:val="003D326F"/>
    <w:rsid w:val="003F09FB"/>
    <w:rsid w:val="00415CC0"/>
    <w:rsid w:val="00443E1A"/>
    <w:rsid w:val="004F5948"/>
    <w:rsid w:val="00503B9C"/>
    <w:rsid w:val="00505BE9"/>
    <w:rsid w:val="005840C1"/>
    <w:rsid w:val="0059581E"/>
    <w:rsid w:val="00610305"/>
    <w:rsid w:val="00676708"/>
    <w:rsid w:val="00682AB6"/>
    <w:rsid w:val="006B682F"/>
    <w:rsid w:val="00727EBD"/>
    <w:rsid w:val="0073275A"/>
    <w:rsid w:val="007525E3"/>
    <w:rsid w:val="007568DC"/>
    <w:rsid w:val="0077794F"/>
    <w:rsid w:val="007A0299"/>
    <w:rsid w:val="007A0FD8"/>
    <w:rsid w:val="007F7BB6"/>
    <w:rsid w:val="008A6AC2"/>
    <w:rsid w:val="008D2F2B"/>
    <w:rsid w:val="00904FA8"/>
    <w:rsid w:val="00940028"/>
    <w:rsid w:val="00A66D20"/>
    <w:rsid w:val="00AC26DD"/>
    <w:rsid w:val="00B21CC0"/>
    <w:rsid w:val="00B345AF"/>
    <w:rsid w:val="00B80053"/>
    <w:rsid w:val="00B87AD7"/>
    <w:rsid w:val="00B9364A"/>
    <w:rsid w:val="00C171D0"/>
    <w:rsid w:val="00CC3E4B"/>
    <w:rsid w:val="00D61A11"/>
    <w:rsid w:val="00DF2096"/>
    <w:rsid w:val="00E8618A"/>
    <w:rsid w:val="00F71442"/>
    <w:rsid w:val="00FF007A"/>
    <w:rsid w:val="36F36A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jc w:val="both"/>
      <w:textAlignment w:val="baseline"/>
    </w:pPr>
    <w:rPr>
      <w:rFonts w:ascii="Times New Roman" w:hAnsi="Times New Roman" w:eastAsia="Times New Roman"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adjustRightInd/>
      <w:snapToGrid w:val="0"/>
      <w:spacing w:line="240" w:lineRule="auto"/>
      <w:jc w:val="left"/>
      <w:textAlignment w:val="auto"/>
    </w:pPr>
    <w:rPr>
      <w:rFonts w:asciiTheme="minorHAnsi" w:hAnsiTheme="minorHAnsi" w:eastAsiaTheme="minorEastAsia" w:cstheme="minorBidi"/>
      <w:sz w:val="18"/>
      <w:szCs w:val="18"/>
    </w:rPr>
  </w:style>
  <w:style w:type="paragraph" w:styleId="3">
    <w:name w:val="header"/>
    <w:basedOn w:val="1"/>
    <w:link w:val="6"/>
    <w:unhideWhenUsed/>
    <w:uiPriority w:val="99"/>
    <w:pPr>
      <w:pBdr>
        <w:bottom w:val="single" w:color="auto" w:sz="6" w:space="1"/>
      </w:pBdr>
      <w:tabs>
        <w:tab w:val="center" w:pos="4153"/>
        <w:tab w:val="right" w:pos="8306"/>
      </w:tabs>
      <w:adjustRightInd/>
      <w:snapToGrid w:val="0"/>
      <w:spacing w:line="240" w:lineRule="auto"/>
      <w:jc w:val="center"/>
      <w:textAlignment w:val="auto"/>
    </w:pPr>
    <w:rPr>
      <w:rFonts w:asciiTheme="minorHAnsi" w:hAnsiTheme="minorHAnsi" w:eastAsiaTheme="minorEastAsia" w:cstheme="minorBidi"/>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300</Words>
  <Characters>1714</Characters>
  <Lines>14</Lines>
  <Paragraphs>4</Paragraphs>
  <TotalTime>90</TotalTime>
  <ScaleCrop>false</ScaleCrop>
  <LinksUpToDate>false</LinksUpToDate>
  <CharactersWithSpaces>2010</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2021-01-29T01:44:00Z</dcterms:created>
  <dc:creator>陈玲仙</dc:creator>
  <cp:lastModifiedBy>null</cp:lastModifiedBy>
  <dcterms:modified xsi:type="dcterms:W3CDTF">2021-03-08T03:28:09Z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