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Times New Roman"/>
          <w:b/>
          <w:bCs/>
          <w:sz w:val="44"/>
          <w:szCs w:val="44"/>
        </w:rPr>
      </w:pPr>
      <w:r>
        <w:rPr>
          <w:rFonts w:hint="eastAsia" w:ascii="华文中宋" w:hAnsi="华文中宋" w:eastAsia="华文中宋" w:cs="华文中宋"/>
          <w:b/>
          <w:bCs/>
          <w:sz w:val="44"/>
          <w:szCs w:val="44"/>
        </w:rPr>
        <w:t>市规划和自然资源局</w:t>
      </w:r>
      <w:r>
        <w:rPr>
          <w:rFonts w:ascii="华文中宋" w:hAnsi="华文中宋" w:eastAsia="华文中宋" w:cs="华文中宋"/>
          <w:b/>
          <w:bCs/>
          <w:sz w:val="44"/>
          <w:szCs w:val="44"/>
        </w:rPr>
        <w:t>20</w:t>
      </w:r>
      <w:r>
        <w:rPr>
          <w:rFonts w:hint="eastAsia" w:ascii="华文中宋" w:hAnsi="华文中宋" w:eastAsia="华文中宋" w:cs="华文中宋"/>
          <w:b/>
          <w:bCs/>
          <w:sz w:val="44"/>
          <w:szCs w:val="44"/>
        </w:rPr>
        <w:t>2</w:t>
      </w:r>
      <w:r>
        <w:rPr>
          <w:rFonts w:hint="eastAsia" w:ascii="华文中宋" w:hAnsi="华文中宋" w:eastAsia="华文中宋" w:cs="华文中宋"/>
          <w:b/>
          <w:bCs/>
          <w:sz w:val="44"/>
          <w:szCs w:val="44"/>
          <w:lang w:val="en-US" w:eastAsia="zh-CN"/>
        </w:rPr>
        <w:t>1</w:t>
      </w:r>
      <w:r>
        <w:rPr>
          <w:rFonts w:hint="eastAsia" w:ascii="华文中宋" w:hAnsi="华文中宋" w:eastAsia="华文中宋" w:cs="华文中宋"/>
          <w:b/>
          <w:bCs/>
          <w:sz w:val="44"/>
          <w:szCs w:val="44"/>
        </w:rPr>
        <w:t>年度重大行政决策事项目录</w:t>
      </w:r>
    </w:p>
    <w:p>
      <w:pPr>
        <w:ind w:right="-198"/>
        <w:jc w:val="left"/>
        <w:rPr>
          <w:rFonts w:cs="Times New Roman"/>
          <w:sz w:val="28"/>
          <w:szCs w:val="28"/>
        </w:rPr>
      </w:pPr>
    </w:p>
    <w:tbl>
      <w:tblPr>
        <w:tblStyle w:val="5"/>
        <w:tblW w:w="12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6594"/>
        <w:gridCol w:w="2640"/>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981" w:type="dxa"/>
            <w:noWrap/>
            <w:vAlign w:val="center"/>
          </w:tcPr>
          <w:p>
            <w:pPr>
              <w:widowControl/>
              <w:jc w:val="center"/>
              <w:rPr>
                <w:rFonts w:ascii="仿宋_GB2312" w:hAnsi="宋体" w:eastAsia="仿宋_GB2312" w:cs="Times New Roman"/>
                <w:b/>
                <w:bCs/>
                <w:kern w:val="0"/>
                <w:sz w:val="24"/>
                <w:szCs w:val="24"/>
              </w:rPr>
            </w:pPr>
            <w:r>
              <w:rPr>
                <w:rFonts w:hint="eastAsia" w:ascii="仿宋_GB2312" w:hAnsi="宋体" w:eastAsia="仿宋_GB2312" w:cs="仿宋_GB2312"/>
                <w:b/>
                <w:bCs/>
                <w:sz w:val="24"/>
                <w:szCs w:val="24"/>
              </w:rPr>
              <w:t>序号</w:t>
            </w:r>
          </w:p>
        </w:tc>
        <w:tc>
          <w:tcPr>
            <w:tcW w:w="6594" w:type="dxa"/>
            <w:noWrap/>
            <w:vAlign w:val="center"/>
          </w:tcPr>
          <w:p>
            <w:pPr>
              <w:widowControl/>
              <w:jc w:val="center"/>
              <w:rPr>
                <w:rFonts w:ascii="仿宋_GB2312" w:hAnsi="宋体" w:eastAsia="仿宋_GB2312" w:cs="Times New Roman"/>
                <w:b/>
                <w:bCs/>
                <w:kern w:val="0"/>
                <w:sz w:val="24"/>
                <w:szCs w:val="24"/>
              </w:rPr>
            </w:pPr>
            <w:r>
              <w:rPr>
                <w:rFonts w:hint="eastAsia" w:ascii="仿宋_GB2312" w:hAnsi="宋体" w:eastAsia="仿宋_GB2312" w:cs="仿宋_GB2312"/>
                <w:b/>
                <w:bCs/>
                <w:sz w:val="24"/>
                <w:szCs w:val="24"/>
              </w:rPr>
              <w:t>重大行政决策名称</w:t>
            </w:r>
          </w:p>
        </w:tc>
        <w:tc>
          <w:tcPr>
            <w:tcW w:w="2640" w:type="dxa"/>
            <w:noWrap/>
            <w:vAlign w:val="center"/>
          </w:tcPr>
          <w:p>
            <w:pPr>
              <w:widowControl/>
              <w:jc w:val="center"/>
              <w:rPr>
                <w:rFonts w:hint="default" w:ascii="仿宋_GB2312" w:hAnsi="宋体" w:eastAsia="仿宋_GB2312" w:cs="Times New Roman"/>
                <w:b/>
                <w:bCs/>
                <w:kern w:val="0"/>
                <w:sz w:val="24"/>
                <w:szCs w:val="24"/>
                <w:lang w:val="en-US" w:eastAsia="zh-CN"/>
              </w:rPr>
            </w:pPr>
            <w:r>
              <w:rPr>
                <w:rFonts w:hint="eastAsia" w:ascii="仿宋_GB2312" w:hAnsi="宋体" w:eastAsia="仿宋_GB2312" w:cs="Times New Roman"/>
                <w:b/>
                <w:bCs/>
                <w:kern w:val="0"/>
                <w:sz w:val="24"/>
                <w:szCs w:val="24"/>
                <w:lang w:val="en-US" w:eastAsia="zh-CN"/>
              </w:rPr>
              <w:t>组织承办部门</w:t>
            </w:r>
          </w:p>
        </w:tc>
        <w:tc>
          <w:tcPr>
            <w:tcW w:w="2715" w:type="dxa"/>
            <w:noWrap/>
            <w:vAlign w:val="center"/>
          </w:tcPr>
          <w:p>
            <w:pPr>
              <w:widowControl/>
              <w:jc w:val="center"/>
              <w:rPr>
                <w:rFonts w:hint="default" w:ascii="仿宋_GB2312" w:hAnsi="宋体" w:eastAsia="仿宋_GB2312" w:cs="仿宋_GB2312"/>
                <w:b/>
                <w:bCs/>
                <w:sz w:val="24"/>
                <w:szCs w:val="24"/>
                <w:lang w:val="en-US" w:eastAsia="zh-CN"/>
              </w:rPr>
            </w:pPr>
            <w:r>
              <w:rPr>
                <w:rFonts w:hint="eastAsia" w:ascii="仿宋_GB2312" w:hAnsi="宋体" w:eastAsia="仿宋_GB2312" w:cs="仿宋_GB2312"/>
                <w:b/>
                <w:bCs/>
                <w:sz w:val="24"/>
                <w:szCs w:val="24"/>
                <w:lang w:val="en-US" w:eastAsia="zh-CN"/>
              </w:rPr>
              <w:t>决策时间计划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981" w:type="dxa"/>
            <w:noWrap/>
            <w:vAlign w:val="center"/>
          </w:tcPr>
          <w:p>
            <w:pPr>
              <w:widowControl/>
              <w:jc w:val="center"/>
              <w:rPr>
                <w:rFonts w:hint="eastAsia" w:ascii="宋体" w:eastAsia="宋体" w:cs="Times New Roman"/>
                <w:kern w:val="0"/>
                <w:sz w:val="24"/>
                <w:szCs w:val="24"/>
                <w:lang w:val="en-US" w:eastAsia="zh-CN"/>
              </w:rPr>
            </w:pPr>
            <w:r>
              <w:rPr>
                <w:rFonts w:hint="eastAsia" w:ascii="宋体" w:cs="Times New Roman"/>
                <w:kern w:val="0"/>
                <w:sz w:val="24"/>
                <w:szCs w:val="24"/>
                <w:lang w:val="en-US" w:eastAsia="zh-CN"/>
              </w:rPr>
              <w:t>1</w:t>
            </w:r>
          </w:p>
        </w:tc>
        <w:tc>
          <w:tcPr>
            <w:tcW w:w="6594" w:type="dxa"/>
            <w:noWrap/>
            <w:vAlign w:val="center"/>
          </w:tcPr>
          <w:p>
            <w:pPr>
              <w:jc w:val="left"/>
              <w:rPr>
                <w:rFonts w:ascii="宋体" w:hAnsi="宋体" w:cs="宋体"/>
                <w:sz w:val="24"/>
                <w:szCs w:val="24"/>
              </w:rPr>
            </w:pPr>
            <w:r>
              <w:rPr>
                <w:rFonts w:hint="eastAsia"/>
                <w:sz w:val="24"/>
                <w:szCs w:val="24"/>
              </w:rPr>
              <w:t>研究制定深圳市矿山地质环境保护与土地复垦方案审查规则</w:t>
            </w:r>
          </w:p>
        </w:tc>
        <w:tc>
          <w:tcPr>
            <w:tcW w:w="2640" w:type="dxa"/>
            <w:noWrap/>
            <w:vAlign w:val="center"/>
          </w:tcPr>
          <w:p>
            <w:pPr>
              <w:widowControl/>
              <w:jc w:val="center"/>
              <w:rPr>
                <w:rFonts w:hint="default" w:ascii="宋体" w:eastAsia="宋体" w:cs="Times New Roman"/>
                <w:kern w:val="0"/>
                <w:sz w:val="24"/>
                <w:szCs w:val="24"/>
                <w:lang w:val="en-US" w:eastAsia="zh-CN"/>
              </w:rPr>
            </w:pPr>
            <w:r>
              <w:rPr>
                <w:rFonts w:hint="eastAsia" w:ascii="宋体" w:cs="Times New Roman"/>
                <w:kern w:val="0"/>
                <w:sz w:val="24"/>
                <w:szCs w:val="24"/>
                <w:lang w:val="en-US" w:eastAsia="zh-CN"/>
              </w:rPr>
              <w:t>市规划和自然资源局</w:t>
            </w:r>
          </w:p>
        </w:tc>
        <w:tc>
          <w:tcPr>
            <w:tcW w:w="2715" w:type="dxa"/>
            <w:noWrap/>
            <w:vAlign w:val="center"/>
          </w:tcPr>
          <w:p>
            <w:pPr>
              <w:widowControl/>
              <w:jc w:val="center"/>
              <w:rPr>
                <w:rFonts w:hint="default" w:ascii="宋体" w:cs="Times New Roman"/>
                <w:kern w:val="0"/>
                <w:sz w:val="24"/>
                <w:szCs w:val="24"/>
                <w:lang w:val="en-US" w:eastAsia="zh-CN"/>
              </w:rPr>
            </w:pPr>
            <w:r>
              <w:rPr>
                <w:rFonts w:hint="eastAsia" w:ascii="宋体" w:cs="Times New Roman"/>
                <w:kern w:val="0"/>
                <w:sz w:val="24"/>
                <w:szCs w:val="24"/>
                <w:lang w:val="en-US" w:eastAsia="zh-CN"/>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81" w:type="dxa"/>
            <w:vAlign w:val="center"/>
          </w:tcPr>
          <w:p>
            <w:pPr>
              <w:widowControl/>
              <w:jc w:val="center"/>
              <w:rPr>
                <w:rFonts w:hint="default" w:ascii="宋体" w:eastAsia="宋体" w:cs="Times New Roman"/>
                <w:kern w:val="0"/>
                <w:sz w:val="24"/>
                <w:szCs w:val="24"/>
                <w:lang w:val="en-US" w:eastAsia="zh-CN"/>
              </w:rPr>
            </w:pPr>
            <w:r>
              <w:rPr>
                <w:rFonts w:hint="eastAsia" w:ascii="宋体" w:cs="Times New Roman"/>
                <w:kern w:val="0"/>
                <w:sz w:val="24"/>
                <w:szCs w:val="24"/>
                <w:lang w:val="en-US" w:eastAsia="zh-CN"/>
              </w:rPr>
              <w:t>2</w:t>
            </w:r>
          </w:p>
        </w:tc>
        <w:tc>
          <w:tcPr>
            <w:tcW w:w="6594" w:type="dxa"/>
            <w:vAlign w:val="center"/>
          </w:tcPr>
          <w:p>
            <w:pPr>
              <w:jc w:val="center"/>
              <w:rPr>
                <w:rFonts w:ascii="宋体" w:hAnsi="宋体" w:cs="宋体"/>
                <w:sz w:val="24"/>
                <w:szCs w:val="24"/>
              </w:rPr>
            </w:pPr>
            <w:r>
              <w:rPr>
                <w:rFonts w:hint="eastAsia"/>
                <w:sz w:val="24"/>
                <w:szCs w:val="24"/>
              </w:rPr>
              <w:t>构建深圳市可视化城市空间数字平台管理规则</w:t>
            </w:r>
          </w:p>
        </w:tc>
        <w:tc>
          <w:tcPr>
            <w:tcW w:w="2640" w:type="dxa"/>
            <w:vAlign w:val="center"/>
          </w:tcPr>
          <w:p>
            <w:pPr>
              <w:widowControl/>
              <w:jc w:val="center"/>
              <w:rPr>
                <w:rFonts w:hint="default" w:ascii="宋体" w:eastAsia="宋体" w:cs="Times New Roman"/>
                <w:kern w:val="0"/>
                <w:sz w:val="24"/>
                <w:szCs w:val="24"/>
                <w:lang w:val="en-US" w:eastAsia="zh-CN"/>
              </w:rPr>
            </w:pPr>
            <w:r>
              <w:rPr>
                <w:rFonts w:hint="eastAsia" w:ascii="宋体" w:cs="Times New Roman"/>
                <w:kern w:val="0"/>
                <w:sz w:val="24"/>
                <w:szCs w:val="24"/>
                <w:lang w:val="en-US" w:eastAsia="zh-CN"/>
              </w:rPr>
              <w:t>市规划和自然资源局</w:t>
            </w:r>
          </w:p>
        </w:tc>
        <w:tc>
          <w:tcPr>
            <w:tcW w:w="2715" w:type="dxa"/>
            <w:vAlign w:val="center"/>
          </w:tcPr>
          <w:p>
            <w:pPr>
              <w:widowControl/>
              <w:jc w:val="center"/>
              <w:rPr>
                <w:rFonts w:hint="default" w:ascii="宋体" w:cs="Times New Roman"/>
                <w:kern w:val="0"/>
                <w:sz w:val="24"/>
                <w:szCs w:val="24"/>
                <w:lang w:val="en-US" w:eastAsia="zh-CN"/>
              </w:rPr>
            </w:pPr>
            <w:r>
              <w:rPr>
                <w:rFonts w:hint="eastAsia" w:ascii="宋体" w:cs="Times New Roman"/>
                <w:kern w:val="0"/>
                <w:sz w:val="24"/>
                <w:szCs w:val="24"/>
                <w:lang w:val="en-US" w:eastAsia="zh-CN"/>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81" w:type="dxa"/>
            <w:vAlign w:val="center"/>
          </w:tcPr>
          <w:p>
            <w:pPr>
              <w:widowControl/>
              <w:jc w:val="center"/>
              <w:rPr>
                <w:rFonts w:hint="default" w:ascii="宋体" w:eastAsia="宋体" w:cs="Times New Roman"/>
                <w:kern w:val="0"/>
                <w:sz w:val="24"/>
                <w:szCs w:val="24"/>
                <w:lang w:val="en-US" w:eastAsia="zh-CN"/>
              </w:rPr>
            </w:pPr>
            <w:r>
              <w:rPr>
                <w:rFonts w:hint="eastAsia" w:ascii="宋体" w:cs="Times New Roman"/>
                <w:kern w:val="0"/>
                <w:sz w:val="24"/>
                <w:szCs w:val="24"/>
                <w:lang w:val="en-US" w:eastAsia="zh-CN"/>
              </w:rPr>
              <w:t>3</w:t>
            </w:r>
          </w:p>
        </w:tc>
        <w:tc>
          <w:tcPr>
            <w:tcW w:w="6594" w:type="dxa"/>
            <w:vAlign w:val="center"/>
          </w:tcPr>
          <w:p>
            <w:pPr>
              <w:jc w:val="center"/>
              <w:rPr>
                <w:rFonts w:ascii="宋体" w:hAnsi="宋体" w:cs="宋体"/>
                <w:sz w:val="24"/>
                <w:szCs w:val="24"/>
              </w:rPr>
            </w:pPr>
            <w:r>
              <w:rPr>
                <w:rFonts w:hint="eastAsia"/>
                <w:sz w:val="24"/>
                <w:szCs w:val="24"/>
              </w:rPr>
              <w:t>制定深圳市</w:t>
            </w:r>
            <w:r>
              <w:rPr>
                <w:rFonts w:hint="eastAsia"/>
                <w:sz w:val="24"/>
                <w:szCs w:val="24"/>
                <w:lang w:val="en-US" w:eastAsia="zh-CN"/>
              </w:rPr>
              <w:t>国有建设用地</w:t>
            </w:r>
            <w:r>
              <w:rPr>
                <w:rFonts w:hint="eastAsia"/>
                <w:sz w:val="24"/>
                <w:szCs w:val="24"/>
              </w:rPr>
              <w:t>短期租赁管理</w:t>
            </w:r>
            <w:r>
              <w:rPr>
                <w:rFonts w:hint="eastAsia"/>
                <w:sz w:val="24"/>
                <w:szCs w:val="24"/>
                <w:lang w:val="en-US" w:eastAsia="zh-CN"/>
              </w:rPr>
              <w:t>办法</w:t>
            </w:r>
          </w:p>
        </w:tc>
        <w:tc>
          <w:tcPr>
            <w:tcW w:w="2640" w:type="dxa"/>
            <w:vAlign w:val="center"/>
          </w:tcPr>
          <w:p>
            <w:pPr>
              <w:widowControl/>
              <w:jc w:val="center"/>
              <w:rPr>
                <w:rFonts w:hint="eastAsia" w:ascii="宋体" w:eastAsia="宋体" w:cs="Times New Roman"/>
                <w:kern w:val="0"/>
                <w:sz w:val="24"/>
                <w:szCs w:val="24"/>
                <w:lang w:val="en-US" w:eastAsia="zh-CN"/>
              </w:rPr>
            </w:pPr>
            <w:r>
              <w:rPr>
                <w:rFonts w:hint="eastAsia" w:ascii="宋体" w:cs="Times New Roman"/>
                <w:kern w:val="0"/>
                <w:sz w:val="24"/>
                <w:szCs w:val="24"/>
                <w:lang w:val="en-US" w:eastAsia="zh-CN"/>
              </w:rPr>
              <w:t>市规划和自然资源局</w:t>
            </w:r>
          </w:p>
        </w:tc>
        <w:tc>
          <w:tcPr>
            <w:tcW w:w="2715" w:type="dxa"/>
            <w:vAlign w:val="center"/>
          </w:tcPr>
          <w:p>
            <w:pPr>
              <w:widowControl/>
              <w:ind w:firstLine="960" w:firstLineChars="400"/>
              <w:jc w:val="both"/>
              <w:rPr>
                <w:rFonts w:hint="default" w:ascii="宋体" w:cs="Times New Roman"/>
                <w:kern w:val="0"/>
                <w:sz w:val="24"/>
                <w:szCs w:val="24"/>
                <w:lang w:val="en-US" w:eastAsia="zh-CN"/>
              </w:rPr>
            </w:pPr>
            <w:bookmarkStart w:id="0" w:name="_GoBack"/>
            <w:bookmarkEnd w:id="0"/>
            <w:r>
              <w:rPr>
                <w:rFonts w:hint="eastAsia" w:ascii="宋体" w:cs="Times New Roman"/>
                <w:kern w:val="0"/>
                <w:sz w:val="24"/>
                <w:szCs w:val="24"/>
                <w:lang w:val="en-US" w:eastAsia="zh-CN"/>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81" w:type="dxa"/>
            <w:vAlign w:val="center"/>
          </w:tcPr>
          <w:p>
            <w:pPr>
              <w:widowControl/>
              <w:jc w:val="center"/>
              <w:rPr>
                <w:rFonts w:hint="default" w:ascii="宋体" w:cs="Times New Roman"/>
                <w:kern w:val="0"/>
                <w:sz w:val="24"/>
                <w:szCs w:val="24"/>
                <w:lang w:val="en-US" w:eastAsia="zh-CN"/>
              </w:rPr>
            </w:pPr>
            <w:r>
              <w:rPr>
                <w:rFonts w:hint="eastAsia" w:ascii="宋体" w:cs="Times New Roman"/>
                <w:kern w:val="0"/>
                <w:sz w:val="24"/>
                <w:szCs w:val="24"/>
                <w:lang w:val="en-US" w:eastAsia="zh-CN"/>
              </w:rPr>
              <w:t>4</w:t>
            </w:r>
          </w:p>
        </w:tc>
        <w:tc>
          <w:tcPr>
            <w:tcW w:w="6594" w:type="dxa"/>
            <w:vAlign w:val="center"/>
          </w:tcPr>
          <w:p>
            <w:pPr>
              <w:jc w:val="center"/>
              <w:rPr>
                <w:rFonts w:hint="default" w:eastAsia="宋体"/>
                <w:sz w:val="24"/>
                <w:szCs w:val="24"/>
                <w:lang w:val="en-US" w:eastAsia="zh-CN"/>
              </w:rPr>
            </w:pPr>
            <w:r>
              <w:rPr>
                <w:rFonts w:hint="eastAsia"/>
                <w:sz w:val="24"/>
                <w:szCs w:val="24"/>
                <w:lang w:val="en-US" w:eastAsia="zh-CN"/>
              </w:rPr>
              <w:t>制定规划和自然资源领域听证规则</w:t>
            </w:r>
          </w:p>
        </w:tc>
        <w:tc>
          <w:tcPr>
            <w:tcW w:w="2640" w:type="dxa"/>
            <w:vAlign w:val="center"/>
          </w:tcPr>
          <w:p>
            <w:pPr>
              <w:widowControl/>
              <w:jc w:val="center"/>
              <w:rPr>
                <w:rFonts w:hint="eastAsia" w:ascii="宋体" w:eastAsia="宋体" w:cs="Times New Roman"/>
                <w:kern w:val="0"/>
                <w:sz w:val="24"/>
                <w:szCs w:val="24"/>
                <w:lang w:val="en-US" w:eastAsia="zh-CN"/>
              </w:rPr>
            </w:pPr>
            <w:r>
              <w:rPr>
                <w:rFonts w:hint="eastAsia" w:ascii="宋体" w:cs="Times New Roman"/>
                <w:kern w:val="0"/>
                <w:sz w:val="24"/>
                <w:szCs w:val="24"/>
                <w:lang w:val="en-US" w:eastAsia="zh-CN"/>
              </w:rPr>
              <w:t>市规划和自然资源局</w:t>
            </w:r>
          </w:p>
        </w:tc>
        <w:tc>
          <w:tcPr>
            <w:tcW w:w="2715" w:type="dxa"/>
            <w:vAlign w:val="center"/>
          </w:tcPr>
          <w:p>
            <w:pPr>
              <w:widowControl/>
              <w:jc w:val="center"/>
              <w:rPr>
                <w:rFonts w:hint="default" w:ascii="宋体" w:cs="Times New Roman"/>
                <w:kern w:val="0"/>
                <w:sz w:val="24"/>
                <w:szCs w:val="24"/>
                <w:lang w:val="en-US" w:eastAsia="zh-CN"/>
              </w:rPr>
            </w:pPr>
            <w:r>
              <w:rPr>
                <w:rFonts w:hint="eastAsia" w:ascii="宋体" w:cs="Times New Roman"/>
                <w:kern w:val="0"/>
                <w:sz w:val="24"/>
                <w:szCs w:val="24"/>
                <w:lang w:val="en-US" w:eastAsia="zh-CN"/>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81" w:type="dxa"/>
            <w:vAlign w:val="center"/>
          </w:tcPr>
          <w:p>
            <w:pPr>
              <w:widowControl/>
              <w:jc w:val="center"/>
              <w:rPr>
                <w:rFonts w:hint="default" w:ascii="宋体" w:cs="Times New Roman"/>
                <w:kern w:val="0"/>
                <w:sz w:val="24"/>
                <w:szCs w:val="24"/>
                <w:lang w:val="en-US" w:eastAsia="zh-CN"/>
              </w:rPr>
            </w:pPr>
            <w:r>
              <w:rPr>
                <w:rFonts w:hint="eastAsia" w:ascii="宋体" w:cs="Times New Roman"/>
                <w:kern w:val="0"/>
                <w:sz w:val="24"/>
                <w:szCs w:val="24"/>
                <w:lang w:val="en-US" w:eastAsia="zh-CN"/>
              </w:rPr>
              <w:t>5</w:t>
            </w:r>
          </w:p>
        </w:tc>
        <w:tc>
          <w:tcPr>
            <w:tcW w:w="6594" w:type="dxa"/>
            <w:vAlign w:val="center"/>
          </w:tcPr>
          <w:p>
            <w:pPr>
              <w:jc w:val="center"/>
              <w:rPr>
                <w:rFonts w:hint="default"/>
                <w:sz w:val="24"/>
                <w:szCs w:val="24"/>
                <w:lang w:val="en-US" w:eastAsia="zh-CN"/>
              </w:rPr>
            </w:pPr>
            <w:r>
              <w:rPr>
                <w:rFonts w:hint="eastAsia"/>
                <w:sz w:val="24"/>
                <w:szCs w:val="24"/>
                <w:lang w:val="en-US" w:eastAsia="zh-CN"/>
              </w:rPr>
              <w:t>制定城市更新搬迁补偿协议标准文本</w:t>
            </w:r>
          </w:p>
        </w:tc>
        <w:tc>
          <w:tcPr>
            <w:tcW w:w="2640" w:type="dxa"/>
            <w:vAlign w:val="center"/>
          </w:tcPr>
          <w:p>
            <w:pPr>
              <w:widowControl/>
              <w:jc w:val="center"/>
              <w:rPr>
                <w:rFonts w:hint="default" w:ascii="宋体" w:eastAsia="宋体" w:cs="Times New Roman"/>
                <w:kern w:val="0"/>
                <w:sz w:val="24"/>
                <w:szCs w:val="24"/>
                <w:lang w:val="en-US" w:eastAsia="zh-CN"/>
              </w:rPr>
            </w:pPr>
            <w:r>
              <w:rPr>
                <w:rFonts w:hint="eastAsia" w:ascii="宋体" w:cs="Times New Roman"/>
                <w:kern w:val="0"/>
                <w:sz w:val="24"/>
                <w:szCs w:val="24"/>
                <w:lang w:val="en-US" w:eastAsia="zh-CN"/>
              </w:rPr>
              <w:t>市规划和自然资源局</w:t>
            </w:r>
          </w:p>
        </w:tc>
        <w:tc>
          <w:tcPr>
            <w:tcW w:w="2715" w:type="dxa"/>
            <w:vAlign w:val="center"/>
          </w:tcPr>
          <w:p>
            <w:pPr>
              <w:widowControl/>
              <w:jc w:val="center"/>
              <w:rPr>
                <w:rFonts w:hint="default" w:ascii="宋体" w:cs="Times New Roman"/>
                <w:kern w:val="0"/>
                <w:sz w:val="24"/>
                <w:szCs w:val="24"/>
                <w:lang w:val="en-US" w:eastAsia="zh-CN"/>
              </w:rPr>
            </w:pPr>
            <w:r>
              <w:rPr>
                <w:rFonts w:hint="eastAsia" w:ascii="宋体" w:cs="Times New Roman"/>
                <w:kern w:val="0"/>
                <w:sz w:val="24"/>
                <w:szCs w:val="24"/>
                <w:lang w:val="en-US" w:eastAsia="zh-CN"/>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981" w:type="dxa"/>
            <w:vAlign w:val="center"/>
          </w:tcPr>
          <w:p>
            <w:pPr>
              <w:widowControl/>
              <w:jc w:val="center"/>
              <w:rPr>
                <w:rFonts w:hint="default" w:ascii="宋体" w:cs="Times New Roman"/>
                <w:kern w:val="0"/>
                <w:sz w:val="24"/>
                <w:szCs w:val="24"/>
                <w:lang w:val="en-US" w:eastAsia="zh-CN"/>
              </w:rPr>
            </w:pPr>
            <w:r>
              <w:rPr>
                <w:rFonts w:hint="eastAsia" w:ascii="宋体" w:cs="Times New Roman"/>
                <w:kern w:val="0"/>
                <w:sz w:val="24"/>
                <w:szCs w:val="24"/>
                <w:lang w:val="en-US" w:eastAsia="zh-CN"/>
              </w:rPr>
              <w:t>6</w:t>
            </w:r>
          </w:p>
        </w:tc>
        <w:tc>
          <w:tcPr>
            <w:tcW w:w="6594" w:type="dxa"/>
            <w:vAlign w:val="center"/>
          </w:tcPr>
          <w:p>
            <w:pPr>
              <w:jc w:val="left"/>
              <w:rPr>
                <w:rFonts w:hint="default"/>
                <w:sz w:val="24"/>
                <w:szCs w:val="24"/>
                <w:lang w:val="en-US" w:eastAsia="zh-CN"/>
              </w:rPr>
            </w:pPr>
            <w:r>
              <w:rPr>
                <w:rFonts w:hint="eastAsia"/>
                <w:sz w:val="24"/>
                <w:szCs w:val="24"/>
                <w:lang w:val="en-US" w:eastAsia="zh-CN"/>
              </w:rPr>
              <w:t>制定原农村集体经济组织改组为股份合作公司相关不动产继受手续操作规则</w:t>
            </w:r>
          </w:p>
        </w:tc>
        <w:tc>
          <w:tcPr>
            <w:tcW w:w="2640" w:type="dxa"/>
            <w:vAlign w:val="center"/>
          </w:tcPr>
          <w:p>
            <w:pPr>
              <w:widowControl/>
              <w:jc w:val="center"/>
              <w:rPr>
                <w:rFonts w:hint="default" w:ascii="宋体" w:eastAsia="宋体" w:cs="Times New Roman"/>
                <w:kern w:val="0"/>
                <w:sz w:val="24"/>
                <w:szCs w:val="24"/>
                <w:lang w:val="en-US" w:eastAsia="zh-CN"/>
              </w:rPr>
            </w:pPr>
            <w:r>
              <w:rPr>
                <w:rFonts w:hint="eastAsia" w:ascii="宋体" w:cs="Times New Roman"/>
                <w:kern w:val="0"/>
                <w:sz w:val="24"/>
                <w:szCs w:val="24"/>
                <w:lang w:val="en-US" w:eastAsia="zh-CN"/>
              </w:rPr>
              <w:t>市规划和自然资源局</w:t>
            </w:r>
          </w:p>
        </w:tc>
        <w:tc>
          <w:tcPr>
            <w:tcW w:w="2715" w:type="dxa"/>
            <w:vAlign w:val="center"/>
          </w:tcPr>
          <w:p>
            <w:pPr>
              <w:widowControl/>
              <w:jc w:val="center"/>
              <w:rPr>
                <w:rFonts w:hint="default" w:ascii="宋体" w:cs="Times New Roman"/>
                <w:kern w:val="0"/>
                <w:sz w:val="24"/>
                <w:szCs w:val="24"/>
                <w:lang w:val="en-US" w:eastAsia="zh-CN"/>
              </w:rPr>
            </w:pPr>
            <w:r>
              <w:rPr>
                <w:rFonts w:hint="eastAsia" w:ascii="宋体" w:cs="Times New Roman"/>
                <w:kern w:val="0"/>
                <w:sz w:val="24"/>
                <w:szCs w:val="24"/>
                <w:lang w:val="en-US" w:eastAsia="zh-CN"/>
              </w:rPr>
              <w:t>1-12月</w:t>
            </w:r>
          </w:p>
        </w:tc>
      </w:tr>
    </w:tbl>
    <w:p>
      <w:pPr>
        <w:rPr>
          <w:rFonts w:ascii="仿宋_GB2312" w:hAnsi="仿宋"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2C"/>
    <w:rsid w:val="00002F4E"/>
    <w:rsid w:val="00015AC1"/>
    <w:rsid w:val="000200F6"/>
    <w:rsid w:val="0002247B"/>
    <w:rsid w:val="000329B0"/>
    <w:rsid w:val="00047BB1"/>
    <w:rsid w:val="00053635"/>
    <w:rsid w:val="000545E2"/>
    <w:rsid w:val="00060F3F"/>
    <w:rsid w:val="000719AD"/>
    <w:rsid w:val="000779F5"/>
    <w:rsid w:val="00086ECE"/>
    <w:rsid w:val="000A159C"/>
    <w:rsid w:val="000A722B"/>
    <w:rsid w:val="000B70E0"/>
    <w:rsid w:val="000C066E"/>
    <w:rsid w:val="000D136C"/>
    <w:rsid w:val="000D1D84"/>
    <w:rsid w:val="000D3DD6"/>
    <w:rsid w:val="000F1C75"/>
    <w:rsid w:val="001029CB"/>
    <w:rsid w:val="00122D3F"/>
    <w:rsid w:val="00164BEA"/>
    <w:rsid w:val="00176FAA"/>
    <w:rsid w:val="00181F13"/>
    <w:rsid w:val="00193D61"/>
    <w:rsid w:val="001A3280"/>
    <w:rsid w:val="001A47FD"/>
    <w:rsid w:val="001A4894"/>
    <w:rsid w:val="001C1256"/>
    <w:rsid w:val="001C5773"/>
    <w:rsid w:val="001E0398"/>
    <w:rsid w:val="001F1B64"/>
    <w:rsid w:val="001F215A"/>
    <w:rsid w:val="002101B4"/>
    <w:rsid w:val="0023620A"/>
    <w:rsid w:val="00272E68"/>
    <w:rsid w:val="00275802"/>
    <w:rsid w:val="00276D73"/>
    <w:rsid w:val="002B087F"/>
    <w:rsid w:val="002B1D88"/>
    <w:rsid w:val="002C3A0D"/>
    <w:rsid w:val="002E33A2"/>
    <w:rsid w:val="002E6C41"/>
    <w:rsid w:val="002F2711"/>
    <w:rsid w:val="002F3455"/>
    <w:rsid w:val="00323D5F"/>
    <w:rsid w:val="00352062"/>
    <w:rsid w:val="00363554"/>
    <w:rsid w:val="00367317"/>
    <w:rsid w:val="00384ADE"/>
    <w:rsid w:val="00387DC2"/>
    <w:rsid w:val="003A6735"/>
    <w:rsid w:val="003B29CD"/>
    <w:rsid w:val="003B2EF4"/>
    <w:rsid w:val="003C5114"/>
    <w:rsid w:val="00403A10"/>
    <w:rsid w:val="00412E5D"/>
    <w:rsid w:val="00431DE9"/>
    <w:rsid w:val="00432CBE"/>
    <w:rsid w:val="00434DDF"/>
    <w:rsid w:val="00442E18"/>
    <w:rsid w:val="0048283C"/>
    <w:rsid w:val="00483403"/>
    <w:rsid w:val="00491675"/>
    <w:rsid w:val="004A113F"/>
    <w:rsid w:val="004D2021"/>
    <w:rsid w:val="004E647E"/>
    <w:rsid w:val="004F65AC"/>
    <w:rsid w:val="005018F0"/>
    <w:rsid w:val="005047D4"/>
    <w:rsid w:val="00520740"/>
    <w:rsid w:val="0052099C"/>
    <w:rsid w:val="00531A00"/>
    <w:rsid w:val="00546E72"/>
    <w:rsid w:val="00557BBE"/>
    <w:rsid w:val="00567074"/>
    <w:rsid w:val="0058625D"/>
    <w:rsid w:val="005A3EB1"/>
    <w:rsid w:val="005B1C44"/>
    <w:rsid w:val="005C3143"/>
    <w:rsid w:val="005D4B9C"/>
    <w:rsid w:val="005D7065"/>
    <w:rsid w:val="005E2DB1"/>
    <w:rsid w:val="005E3F44"/>
    <w:rsid w:val="006049EE"/>
    <w:rsid w:val="00616E12"/>
    <w:rsid w:val="00662C57"/>
    <w:rsid w:val="00674EE2"/>
    <w:rsid w:val="00695CA9"/>
    <w:rsid w:val="006B1C97"/>
    <w:rsid w:val="007064E3"/>
    <w:rsid w:val="00707276"/>
    <w:rsid w:val="00707CE4"/>
    <w:rsid w:val="00726B72"/>
    <w:rsid w:val="00750DF3"/>
    <w:rsid w:val="00764315"/>
    <w:rsid w:val="00770E16"/>
    <w:rsid w:val="00771878"/>
    <w:rsid w:val="007723A6"/>
    <w:rsid w:val="007748F4"/>
    <w:rsid w:val="0079526F"/>
    <w:rsid w:val="007D6F34"/>
    <w:rsid w:val="007E6B62"/>
    <w:rsid w:val="007F7833"/>
    <w:rsid w:val="00823472"/>
    <w:rsid w:val="00827E5C"/>
    <w:rsid w:val="00834638"/>
    <w:rsid w:val="00835E29"/>
    <w:rsid w:val="0086691E"/>
    <w:rsid w:val="00866F9E"/>
    <w:rsid w:val="00867E43"/>
    <w:rsid w:val="00867E69"/>
    <w:rsid w:val="008745F5"/>
    <w:rsid w:val="008A19CD"/>
    <w:rsid w:val="008A6BB6"/>
    <w:rsid w:val="008B50FD"/>
    <w:rsid w:val="008B53CE"/>
    <w:rsid w:val="008D4C1D"/>
    <w:rsid w:val="008D7537"/>
    <w:rsid w:val="008E60EC"/>
    <w:rsid w:val="008E672F"/>
    <w:rsid w:val="00901D6A"/>
    <w:rsid w:val="00903244"/>
    <w:rsid w:val="00905416"/>
    <w:rsid w:val="0092687A"/>
    <w:rsid w:val="00952C4A"/>
    <w:rsid w:val="00966E89"/>
    <w:rsid w:val="00984B4E"/>
    <w:rsid w:val="00991899"/>
    <w:rsid w:val="009A0048"/>
    <w:rsid w:val="009C2325"/>
    <w:rsid w:val="009C3D26"/>
    <w:rsid w:val="009C4912"/>
    <w:rsid w:val="009E3C18"/>
    <w:rsid w:val="009E4032"/>
    <w:rsid w:val="009E7E37"/>
    <w:rsid w:val="00A240EE"/>
    <w:rsid w:val="00A27443"/>
    <w:rsid w:val="00A45207"/>
    <w:rsid w:val="00A51545"/>
    <w:rsid w:val="00A53AAB"/>
    <w:rsid w:val="00A56B88"/>
    <w:rsid w:val="00A64DDB"/>
    <w:rsid w:val="00A73C25"/>
    <w:rsid w:val="00A80C6A"/>
    <w:rsid w:val="00A85F02"/>
    <w:rsid w:val="00A86F94"/>
    <w:rsid w:val="00AB4E0F"/>
    <w:rsid w:val="00AC3096"/>
    <w:rsid w:val="00AC714E"/>
    <w:rsid w:val="00AF2BD1"/>
    <w:rsid w:val="00AF7049"/>
    <w:rsid w:val="00B14A12"/>
    <w:rsid w:val="00B14C2D"/>
    <w:rsid w:val="00B55711"/>
    <w:rsid w:val="00B61E3D"/>
    <w:rsid w:val="00B67C2C"/>
    <w:rsid w:val="00B73E19"/>
    <w:rsid w:val="00B80766"/>
    <w:rsid w:val="00B817CB"/>
    <w:rsid w:val="00B82E18"/>
    <w:rsid w:val="00B95A33"/>
    <w:rsid w:val="00BB0D79"/>
    <w:rsid w:val="00BB5E74"/>
    <w:rsid w:val="00BC2F9A"/>
    <w:rsid w:val="00BC5D23"/>
    <w:rsid w:val="00BC7ABA"/>
    <w:rsid w:val="00BC7EAE"/>
    <w:rsid w:val="00BD059F"/>
    <w:rsid w:val="00BD34A0"/>
    <w:rsid w:val="00BD793B"/>
    <w:rsid w:val="00C0508D"/>
    <w:rsid w:val="00C125E1"/>
    <w:rsid w:val="00C14A0A"/>
    <w:rsid w:val="00C16131"/>
    <w:rsid w:val="00C3286E"/>
    <w:rsid w:val="00C37EDA"/>
    <w:rsid w:val="00C847A1"/>
    <w:rsid w:val="00CC7997"/>
    <w:rsid w:val="00CD1DC4"/>
    <w:rsid w:val="00CD6F04"/>
    <w:rsid w:val="00CD721B"/>
    <w:rsid w:val="00CE7E1F"/>
    <w:rsid w:val="00CF10C6"/>
    <w:rsid w:val="00CF5360"/>
    <w:rsid w:val="00CF67E3"/>
    <w:rsid w:val="00D0482C"/>
    <w:rsid w:val="00D05A6F"/>
    <w:rsid w:val="00D142F6"/>
    <w:rsid w:val="00D37B28"/>
    <w:rsid w:val="00D4714F"/>
    <w:rsid w:val="00D91844"/>
    <w:rsid w:val="00DC0CCB"/>
    <w:rsid w:val="00DC4740"/>
    <w:rsid w:val="00DE0492"/>
    <w:rsid w:val="00E06C1A"/>
    <w:rsid w:val="00E11553"/>
    <w:rsid w:val="00E2035B"/>
    <w:rsid w:val="00E2340C"/>
    <w:rsid w:val="00E23FE8"/>
    <w:rsid w:val="00E279F2"/>
    <w:rsid w:val="00E27AC4"/>
    <w:rsid w:val="00E30E35"/>
    <w:rsid w:val="00E33CFF"/>
    <w:rsid w:val="00E34D00"/>
    <w:rsid w:val="00E45D1F"/>
    <w:rsid w:val="00E50915"/>
    <w:rsid w:val="00E5339F"/>
    <w:rsid w:val="00E5684D"/>
    <w:rsid w:val="00E57547"/>
    <w:rsid w:val="00E61719"/>
    <w:rsid w:val="00E62C05"/>
    <w:rsid w:val="00E7034E"/>
    <w:rsid w:val="00E703E4"/>
    <w:rsid w:val="00E7482B"/>
    <w:rsid w:val="00E82499"/>
    <w:rsid w:val="00E87A68"/>
    <w:rsid w:val="00E95C33"/>
    <w:rsid w:val="00E95EB7"/>
    <w:rsid w:val="00EA6A6A"/>
    <w:rsid w:val="00EA7BF5"/>
    <w:rsid w:val="00EB454F"/>
    <w:rsid w:val="00EB6EA5"/>
    <w:rsid w:val="00EC1EF6"/>
    <w:rsid w:val="00EE72B6"/>
    <w:rsid w:val="00F10D1E"/>
    <w:rsid w:val="00F1165B"/>
    <w:rsid w:val="00F13FB0"/>
    <w:rsid w:val="00F22280"/>
    <w:rsid w:val="00F33C28"/>
    <w:rsid w:val="00F36883"/>
    <w:rsid w:val="00F43C0D"/>
    <w:rsid w:val="00F5154F"/>
    <w:rsid w:val="00F528A9"/>
    <w:rsid w:val="00F6621E"/>
    <w:rsid w:val="00F70694"/>
    <w:rsid w:val="00F764C8"/>
    <w:rsid w:val="00F91FB4"/>
    <w:rsid w:val="00F96CF3"/>
    <w:rsid w:val="00FC652F"/>
    <w:rsid w:val="00FF7005"/>
    <w:rsid w:val="09CC6EDC"/>
    <w:rsid w:val="0AB76B8D"/>
    <w:rsid w:val="0CC4686B"/>
    <w:rsid w:val="231E0248"/>
    <w:rsid w:val="7F633071"/>
    <w:rsid w:val="7F9D17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semiHidden/>
    <w:locked/>
    <w:uiPriority w:val="99"/>
    <w:rPr>
      <w:sz w:val="18"/>
      <w:szCs w:val="18"/>
    </w:rPr>
  </w:style>
  <w:style w:type="character" w:customStyle="1" w:styleId="8">
    <w:name w:val="页脚 Char"/>
    <w:link w:val="3"/>
    <w:semiHidden/>
    <w:qFormat/>
    <w:locked/>
    <w:uiPriority w:val="99"/>
    <w:rPr>
      <w:sz w:val="18"/>
      <w:szCs w:val="18"/>
    </w:rPr>
  </w:style>
  <w:style w:type="paragraph" w:customStyle="1" w:styleId="9">
    <w:name w:val="Char"/>
    <w:basedOn w:val="1"/>
    <w:qFormat/>
    <w:uiPriority w:val="0"/>
    <w:pPr>
      <w:tabs>
        <w:tab w:val="left" w:pos="720"/>
      </w:tabs>
      <w:ind w:left="720" w:hanging="720"/>
    </w:pPr>
    <w:rPr>
      <w:rFonts w:ascii="Times New Roman" w:hAnsi="Times New Roman" w:cs="Times New Roman"/>
      <w:sz w:val="24"/>
      <w:szCs w:val="24"/>
    </w:rPr>
  </w:style>
  <w:style w:type="character" w:customStyle="1" w:styleId="10">
    <w:name w:val="批注框文本 Char"/>
    <w:link w:val="2"/>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251</Words>
  <Characters>67</Characters>
  <Lines>1</Lines>
  <Paragraphs>1</Paragraphs>
  <TotalTime>19</TotalTime>
  <ScaleCrop>false</ScaleCrop>
  <LinksUpToDate>false</LinksUpToDate>
  <CharactersWithSpaces>317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2020-03-23T03:01:00Z</dcterms:created>
  <dc:creator>Wangl</dc:creator>
  <cp:lastModifiedBy>王唐颖</cp:lastModifiedBy>
  <cp:lastPrinted>2021-03-18T02:24:00Z</cp:lastPrinted>
  <dcterms:modified xsi:type="dcterms:W3CDTF">2021-03-29T09:39:51Z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