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adjustRightInd w:val="0"/>
        <w:spacing w:line="360" w:lineRule="auto"/>
        <w:ind w:firstLine="0" w:firstLineChars="0"/>
        <w:rPr>
          <w:rFonts w:ascii="仿宋" w:hAnsi="仿宋" w:eastAsia="仿宋"/>
          <w:sz w:val="24"/>
          <w:szCs w:val="24"/>
        </w:rPr>
      </w:pPr>
      <w:r>
        <w:rPr>
          <w:rFonts w:hint="eastAsia" w:ascii="仿宋" w:hAnsi="仿宋" w:eastAsia="仿宋"/>
          <w:sz w:val="24"/>
          <w:szCs w:val="24"/>
        </w:rPr>
        <w:t>附件</w:t>
      </w:r>
      <w:r>
        <w:rPr>
          <w:rFonts w:ascii="仿宋" w:hAnsi="仿宋" w:eastAsia="仿宋"/>
          <w:sz w:val="24"/>
          <w:szCs w:val="24"/>
        </w:rPr>
        <w:t>5</w:t>
      </w:r>
      <w:r>
        <w:rPr>
          <w:rFonts w:hint="eastAsia" w:ascii="仿宋" w:hAnsi="仿宋" w:eastAsia="仿宋"/>
          <w:sz w:val="24"/>
          <w:szCs w:val="24"/>
        </w:rPr>
        <w:t>：</w:t>
      </w:r>
    </w:p>
    <w:p>
      <w:pPr>
        <w:spacing w:line="360" w:lineRule="auto"/>
        <w:jc w:val="center"/>
        <w:rPr>
          <w:rFonts w:ascii="仿宋" w:hAnsi="仿宋" w:eastAsia="仿宋"/>
          <w:b/>
          <w:sz w:val="44"/>
          <w:szCs w:val="44"/>
        </w:rPr>
      </w:pPr>
      <w:r>
        <w:rPr>
          <w:rFonts w:ascii="仿宋" w:hAnsi="仿宋" w:eastAsia="仿宋"/>
          <w:b/>
          <w:sz w:val="44"/>
          <w:szCs w:val="44"/>
        </w:rPr>
        <w:t>非公开招标方式采购公示表</w:t>
      </w:r>
    </w:p>
    <w:p>
      <w:pPr>
        <w:spacing w:line="360" w:lineRule="auto"/>
        <w:rPr>
          <w:rFonts w:ascii="仿宋" w:hAnsi="仿宋" w:eastAsia="仿宋"/>
          <w:sz w:val="24"/>
          <w:szCs w:val="24"/>
        </w:rPr>
      </w:pP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依照《深圳经济特区政府采购条例》第二十一条规定，</w:t>
            </w:r>
            <w:r>
              <w:rPr>
                <w:rFonts w:hint="eastAsia" w:ascii="仿宋" w:hAnsi="仿宋" w:eastAsia="仿宋" w:cs="宋体"/>
                <w:kern w:val="0"/>
                <w:sz w:val="20"/>
                <w:szCs w:val="21"/>
              </w:rPr>
              <w:t>深圳市规划和自然</w:t>
            </w:r>
            <w:r>
              <w:rPr>
                <w:rFonts w:hint="eastAsia" w:ascii="仿宋" w:hAnsi="仿宋" w:eastAsia="仿宋" w:cs="Times New Roman"/>
                <w:kern w:val="0"/>
                <w:sz w:val="20"/>
                <w:szCs w:val="21"/>
              </w:rPr>
              <w:t>资源局就《深圳市全类型自然资源资产清查统计与评估核算（不含深汕合作区）</w:t>
            </w:r>
            <w:r>
              <w:rPr>
                <w:rFonts w:hint="eastAsia" w:ascii="仿宋" w:hAnsi="仿宋" w:eastAsia="仿宋" w:cs="Times New Roman"/>
                <w:kern w:val="0"/>
                <w:sz w:val="20"/>
                <w:szCs w:val="21"/>
                <w:lang w:eastAsia="zh-CN"/>
              </w:rPr>
              <w:t>》</w:t>
            </w:r>
            <w:r>
              <w:rPr>
                <w:rFonts w:hint="eastAsia" w:ascii="仿宋" w:hAnsi="仿宋" w:eastAsia="仿宋" w:cs="Times New Roman"/>
                <w:kern w:val="0"/>
                <w:sz w:val="20"/>
                <w:szCs w:val="21"/>
              </w:rPr>
              <w:t>项目采用单一来源方式采购，现将有关情况向潜在政府采购供应商征求意见: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hint="eastAsia" w:ascii="仿宋" w:hAnsi="仿宋" w:eastAsia="仿宋" w:cs="Times New Roman"/>
                <w:bCs/>
                <w:kern w:val="0"/>
                <w:sz w:val="20"/>
                <w:szCs w:val="21"/>
              </w:rPr>
            </w:pPr>
            <w:r>
              <w:rPr>
                <w:rFonts w:hint="eastAsia" w:ascii="仿宋" w:hAnsi="仿宋" w:eastAsia="仿宋" w:cs="Times New Roman"/>
                <w:bCs/>
                <w:kern w:val="0"/>
                <w:sz w:val="20"/>
                <w:szCs w:val="21"/>
              </w:rPr>
              <w:t>采购项目名称：深圳市全类型自然资源资产清查统计与评估核算（不含深汕合作区）</w:t>
            </w:r>
          </w:p>
          <w:p>
            <w:pPr>
              <w:spacing w:line="360" w:lineRule="auto"/>
              <w:rPr>
                <w:rFonts w:ascii="仿宋" w:hAnsi="仿宋" w:eastAsia="仿宋" w:cs="Times New Roman"/>
                <w:bCs/>
                <w:kern w:val="0"/>
                <w:sz w:val="20"/>
                <w:szCs w:val="21"/>
              </w:rPr>
            </w:pPr>
            <w:r>
              <w:rPr>
                <w:rFonts w:hint="eastAsia" w:ascii="仿宋" w:hAnsi="仿宋" w:eastAsia="仿宋" w:cs="Times New Roman"/>
                <w:bCs/>
                <w:kern w:val="0"/>
                <w:sz w:val="20"/>
                <w:szCs w:val="21"/>
              </w:rPr>
              <w:t>项目预算金额：  人民币</w:t>
            </w:r>
            <w:r>
              <w:rPr>
                <w:rFonts w:hint="eastAsia" w:ascii="仿宋" w:hAnsi="仿宋" w:eastAsia="仿宋" w:cs="Times New Roman"/>
                <w:bCs/>
                <w:kern w:val="0"/>
                <w:sz w:val="20"/>
                <w:szCs w:val="21"/>
                <w:lang w:val="en-US" w:eastAsia="zh-CN"/>
              </w:rPr>
              <w:t>叁</w:t>
            </w:r>
            <w:r>
              <w:rPr>
                <w:rFonts w:hint="eastAsia" w:ascii="仿宋" w:hAnsi="仿宋" w:eastAsia="仿宋" w:cs="Times New Roman"/>
                <w:bCs/>
                <w:kern w:val="0"/>
                <w:sz w:val="20"/>
                <w:szCs w:val="21"/>
              </w:rPr>
              <w:t>仟</w:t>
            </w:r>
            <w:r>
              <w:rPr>
                <w:rFonts w:hint="eastAsia" w:ascii="仿宋" w:hAnsi="仿宋" w:eastAsia="仿宋" w:cs="Times New Roman"/>
                <w:bCs/>
                <w:kern w:val="0"/>
                <w:sz w:val="20"/>
                <w:szCs w:val="21"/>
                <w:lang w:val="en-US" w:eastAsia="zh-CN"/>
              </w:rPr>
              <w:t>叁</w:t>
            </w:r>
            <w:r>
              <w:rPr>
                <w:rFonts w:hint="eastAsia" w:ascii="仿宋" w:hAnsi="仿宋" w:eastAsia="仿宋" w:cs="Times New Roman"/>
                <w:bCs/>
                <w:kern w:val="0"/>
                <w:sz w:val="20"/>
                <w:szCs w:val="21"/>
              </w:rPr>
              <w:t>佰</w:t>
            </w:r>
            <w:r>
              <w:rPr>
                <w:rFonts w:hint="eastAsia" w:ascii="仿宋" w:hAnsi="仿宋" w:eastAsia="仿宋" w:cs="Times New Roman"/>
                <w:bCs/>
                <w:kern w:val="0"/>
                <w:sz w:val="20"/>
                <w:szCs w:val="21"/>
                <w:lang w:val="en-US" w:eastAsia="zh-CN"/>
              </w:rPr>
              <w:t>伍拾柒</w:t>
            </w:r>
            <w:r>
              <w:rPr>
                <w:rFonts w:hint="eastAsia" w:ascii="仿宋" w:hAnsi="仿宋" w:eastAsia="仿宋" w:cs="Times New Roman"/>
                <w:bCs/>
                <w:kern w:val="0"/>
                <w:sz w:val="20"/>
                <w:szCs w:val="21"/>
              </w:rPr>
              <w:t>万元整（￥</w:t>
            </w:r>
            <w:r>
              <w:rPr>
                <w:rFonts w:hint="eastAsia" w:ascii="仿宋" w:hAnsi="仿宋" w:eastAsia="仿宋" w:cs="Times New Roman"/>
                <w:bCs/>
                <w:kern w:val="0"/>
                <w:sz w:val="20"/>
                <w:szCs w:val="21"/>
                <w:lang w:val="en-US" w:eastAsia="zh-CN"/>
              </w:rPr>
              <w:t>33</w:t>
            </w:r>
            <w:r>
              <w:rPr>
                <w:rFonts w:hint="eastAsia" w:ascii="仿宋" w:hAnsi="仿宋" w:eastAsia="仿宋" w:cs="Times New Roman"/>
                <w:bCs/>
                <w:kern w:val="0"/>
                <w:sz w:val="20"/>
                <w:szCs w:val="21"/>
              </w:rPr>
              <w:t>,</w:t>
            </w:r>
            <w:r>
              <w:rPr>
                <w:rFonts w:hint="eastAsia" w:ascii="仿宋" w:hAnsi="仿宋" w:eastAsia="仿宋" w:cs="Times New Roman"/>
                <w:bCs/>
                <w:kern w:val="0"/>
                <w:sz w:val="20"/>
                <w:szCs w:val="21"/>
                <w:lang w:val="en-US" w:eastAsia="zh-CN"/>
              </w:rPr>
              <w:t>57</w:t>
            </w:r>
            <w:r>
              <w:rPr>
                <w:rFonts w:hint="eastAsia" w:ascii="仿宋" w:hAnsi="仿宋" w:eastAsia="仿宋" w:cs="Times New Roman"/>
                <w:bCs/>
                <w:kern w:val="0"/>
                <w:sz w:val="20"/>
                <w:szCs w:val="21"/>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cs="Times New Roman"/>
                <w:bCs/>
                <w:kern w:val="0"/>
                <w:sz w:val="20"/>
                <w:szCs w:val="21"/>
              </w:rPr>
            </w:pPr>
            <w:r>
              <w:rPr>
                <w:rFonts w:hint="eastAsia" w:ascii="仿宋" w:hAnsi="仿宋" w:eastAsia="仿宋" w:cs="Times New Roman"/>
                <w:bCs/>
                <w:kern w:val="0"/>
                <w:sz w:val="20"/>
                <w:szCs w:val="21"/>
              </w:rPr>
              <w:t>采购项目描述：(内容、用途、数量、简要技术需求等)</w:t>
            </w:r>
          </w:p>
          <w:p>
            <w:pPr>
              <w:numPr>
                <w:ilvl w:val="0"/>
                <w:numId w:val="0"/>
              </w:numPr>
              <w:snapToGrid w:val="0"/>
              <w:spacing w:line="355" w:lineRule="auto"/>
              <w:rPr>
                <w:rFonts w:ascii="仿宋" w:hAnsi="仿宋" w:eastAsia="仿宋" w:cs="Times New Roman"/>
                <w:b/>
                <w:kern w:val="0"/>
                <w:sz w:val="20"/>
                <w:szCs w:val="21"/>
              </w:rPr>
            </w:pPr>
            <w:r>
              <w:rPr>
                <w:rFonts w:hint="eastAsia" w:ascii="仿宋" w:hAnsi="仿宋" w:eastAsia="仿宋" w:cs="Times New Roman"/>
                <w:b/>
                <w:kern w:val="0"/>
                <w:sz w:val="20"/>
                <w:szCs w:val="21"/>
                <w:lang w:val="en-US" w:eastAsia="zh-CN"/>
              </w:rPr>
              <w:t>一、</w:t>
            </w:r>
            <w:r>
              <w:rPr>
                <w:rFonts w:hint="eastAsia" w:ascii="仿宋" w:hAnsi="仿宋" w:eastAsia="仿宋" w:cs="Times New Roman"/>
                <w:b/>
                <w:kern w:val="0"/>
                <w:sz w:val="20"/>
                <w:szCs w:val="21"/>
              </w:rPr>
              <w:t>项目内容</w:t>
            </w:r>
          </w:p>
          <w:p>
            <w:pPr>
              <w:pStyle w:val="10"/>
              <w:numPr>
                <w:ilvl w:val="0"/>
                <w:numId w:val="1"/>
              </w:numPr>
              <w:spacing w:line="276" w:lineRule="auto"/>
              <w:ind w:firstLineChars="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全类型自然资源资产清查</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（1）土地资源资产清查</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以收集到的土地资源资产数据为基础，提取其类型、权属、数量、质量、分布范围、用途等信息，整合形成土地资源资产实物属性数据和底图数据。通过对数据加工并套合底图，生成土地资源资产价值属性的清查图斑数据，形成土地资源资产台账。最终，建立土地资源资产清查成果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（2）森林资源资产清查</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以收集到的森林资源资产数据为基础，清查森林优势树种、蓄积量、生物量、土壤类型、坡度、坡位、保护等级、森林类别、森林起源、郁闭度、平均胸径、龄组、每公顷株数、管理类型、权属等信息，并重点清查我市古树名木信息。再与国土三调和林业二调数据/森林一张图融合，形成森林资源资产台账。最终，建立森林资源资产清查成果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（3）矿产资源资产清查</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以收集到的矿产资源资产数据为基础，清查其分布、储量、埋深、价格、成本、收益及权属等信息，通过将属性数据和价格数据与空间数据进行关联、整合，形成矿产资源资产台账，并建立矿产资源资产清查成果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（4）水资源资产清查</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以收集到的水资源资产数据为基础，通过将其属性数据和价格数据与空间数据进行关联、整合，形成水资源资产台账，明晰水资源的分布、数量、质量、权属、利用情况及相关成本、收益、价格信息等。最终，建立水资源资产清查成果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（5）湿地资源资产清查</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以收集到的湿地资源资产数据为基础，清查其分布、数量、质量、受威胁情况、受保护情况及社会、经济和价格信息，并与湿地空间数据进行关联、整合，形成湿地资源台账，并最终建立湿地资源资产清查成果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（6）海洋资源资产清查</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深圳市（不含深汕合作区）海洋资源资产清查范围为海域和无居民海岛，以收集到的海洋自然资源资产数据为基础，清查内容包含权属、分布、形态、数量、质量、用途和收益等情况及社会、生态和经济等信息，并与海洋空间数据进行关联、整合，形成海洋自然资源台账，建立海洋自然资源资产清查成果数据库。</w:t>
            </w:r>
          </w:p>
          <w:p>
            <w:pPr>
              <w:pStyle w:val="10"/>
              <w:numPr>
                <w:ilvl w:val="0"/>
                <w:numId w:val="1"/>
              </w:numPr>
              <w:spacing w:line="276" w:lineRule="auto"/>
              <w:ind w:firstLineChars="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全类型自然资源资产统计</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（1）土地资源资产统计</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建立土地资源统计指标体系及指标计算方法，以土地资源资产清查成果为基础，开展土地资源资产统计工作，形成土地资源资产的权属、数量、质量、分布、用途等统计信息，从不同的区域范围和土地资源类型多维度展示土地资源的基本状况，摸清我市土地资源资产实物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（2）森林资源资产统计</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建立森林资源统计指标体系及指标计算方法，以森林资源清查成果为基础，开展森林资源资产统计工作，形成森林资源资产的权属、数量、储量、质量、分布及古树名木等统计信息，从不同的区域范围和森林资源类型多维度展示森林资源的基本状况，摸清我市森林资源资产实物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（3）矿产资源资产统计</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建立矿产资源统计指标体系及指标计算方法，以矿产资源清查成果为基础，开展矿产资源资产统计工作，形成矿产资源资产的权属、数量、储量、质量、分布、价格等统计信息，从不同的区域范围和矿产资源类型多维度展示矿产资源的基本状况，摸清我市矿产资源资产实物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（4）水资源资产统计</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建立水资源统计指标体系及指标计算方法，以水资源清查成果为基础，开展水资源资产统计工作，形成水资源资产的权属、数量、储量、质量、分布等统计信息，从不同的区域范围和表现形式（地表水或地下水）多维度展示水资源的基本状况，摸清我市水资源资产实物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（5）湿地资源资产统计</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建立湿地资源统计指标体系及指标计算方法，以湿地资源清查成果为基础，开展湿地资源资产统计工作，形成湿地资源资产的数量、质量、分布、生态保护等统计信息，从不同的区域范围和湿地类型多维度展示湿地资源的基本状况，摸清我市湿地资源资产实物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（6）海洋资源资产统计</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建立海洋自然资源资产统计指标体系及指标计算方法，以海洋自然资源资产清查成果为基础，开展海洋自然资源资产统计工作，形成各类海洋自然资源资产的权属、数量、质量、分布、形态、用途和收益等统计信息，从不同的区域范围和海洋自然资源资产类型多维度展示海洋自然资源资产的基本状况，摸清我市海洋自然资源资产实物量家底。</w:t>
            </w:r>
          </w:p>
          <w:p>
            <w:pPr>
              <w:pStyle w:val="10"/>
              <w:numPr>
                <w:ilvl w:val="0"/>
                <w:numId w:val="1"/>
              </w:numPr>
              <w:spacing w:line="276" w:lineRule="auto"/>
              <w:ind w:firstLineChars="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全类型自然资源资产评估核算数据采集</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（1）森林资源资产评估核算数据采集</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森林资源资产清查统计内容与评估核算要求，重点采集森林生态系统服务遥感反演数据、植被样方调查数据、实验室测定数据、市场调查数据：其中遥感反演获取的数据包含森林的净生产力、森林蒸散量、森林叶面积植被指数等；植被样方调查获取的数据包括降雨量、森林蒸散量、森林表径流量、森林土壤侵蚀模数、裸地土壤侵蚀模数等；实验室测定获取的数据包括单位面积森林土壤固碳量、森林土壤容重、森林土壤含量、森林植物含量、林分单位面积叶片滞尘量、林木重金属含量、单位面积林分年吸收量等；实验室测试范围包含植被样方样地主要植被种类及土壤；市场调查数据包括相关树种木材价格、林果价格与产量、水库单位库容造价、挖取和运输单位土壤所需费用、有机质价格、降尘清理费用、社会及生态价值参数等价格数据。最终，建立我市森林资源资产评估核算参数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（2）湿地资源资产评估核算数据采集</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湿地资源清查统计内容与评估核算要求，以现有国土三调、湿地调查数据库为基础，对全市范围内的湿地资源的空间数据、属性数据和权益数据进行采集、关联与整合。由于湿地数据基础较差，且获取难度较大，计划在现有基础上开展数据补充调查调查，重点采集湿地的植被类型、优势树种、受威胁因子、受威胁情况、退化面积、积水状况等清查基础数据，以及蒸散量、净初级生产力NPP、降雨量、湿地植被重金属含量、单位面积湿地植被滞尘量、湿地植被物种丰度等湿地资源资产生态价值评估核算数据。最终，建立我市湿地资源资产评估核算参数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（3）海洋资源资产评估核算数据采集</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海洋自然资源资产清查统计内容与评估核算要求，在充分利用全国海域海岛地名普查成果数据及相关数据资料的基础上，对全市范围内海洋自然资源资产的空间数据、属性数据和权益数据进行收集与整合。由于海洋数据基础较差，且获取难度较大，计划开展相应的专题数据调查，如海洋生物资源的种类（浮游植物、浮游动物、底栖生物、游泳生物和鱼卵和仔稚鱼）、分布特征、分布洄游、特色与保护水生生物的濒危程度，以及海洋空间资源资产（海域、海岛、海岸线、沙滩等）分布状况、开发利用状态、岸线修复等核算参数数据。最终，建立我市海洋自然资源资产评估核算参数数据库。</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（4）矿产资源资产评估核算数据采集</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矿产资源资产清查统计内容与评估核算要求，在充分利用矿产资源调查成果数据及相关数据资料的基础上，对全市范围内矿产资源资产的空间数据、属性数据和权益数据进行收集与整合。由于矿产成本收益等价格信息不足，计划开展相应的标准矿价格及质量调查，最终建立我市矿产资源资产评估核算参数数据库。</w:t>
            </w:r>
          </w:p>
          <w:p>
            <w:pPr>
              <w:pStyle w:val="10"/>
              <w:numPr>
                <w:ilvl w:val="0"/>
                <w:numId w:val="1"/>
              </w:numPr>
              <w:spacing w:line="276" w:lineRule="auto"/>
              <w:ind w:firstLineChars="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全类型自然资源资产评估核算实施</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（1）土地资源资产评估核算</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土地资源的评估核算技术方法体系，利用采集的相关数据及评估参数数据，应用公示地价成果对全市范围内的土地资源资产进行价值批量评估核算，明确不同区域、不同用途的土地资源资产单价及价值总量，研判土地资源资产价值分布特点，建立土地资源资产价值评估核算数据库，摸清我市土地资源资产价值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（2）森林资源资产评估核算</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土地资源的评估核算技术方法体系，基于森林生态系统服务功能评估规范、自然资源（森林）资产评价技术规范等森林资源评估核算技术方法体系，利用采集的相关数据，对全市范围内的森林资源进行价值批量评估核算，明确不同区域、不同树种森林资源资产的价值量及价值空间分布特征，评价包含经济价值（林木价值、林果价值）、生态价值（固碳释氧、保育土壤、水源涵养、大气净化等）和社会价值（森林游憩等），建立土地资源资产价值评估核算数据库，摸清我市森林资源资产价值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（3）矿产资源资产评估核算</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矿产资源的评估核算技术方法体系，利用采集的相关数据及评估参数数据，对全市范围内的矿产资源资产进行价值批量评估核算，明确不同区域、不同种类的矿产资源单价及价值总量，建立矿产资源资产价值评估核算数据库，摸清我市矿产资源资产价值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（4）水资源资产评估核算</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水资源的评估核算技术方法体系，利用采集的相关数据及评估参数数据，对全市范围内的水资源资产进行价值批量评估核算，明确不同区域、不同表现形式（河流、水库和地下水）的水资源资产单价，核算我市水资源资产的经济价值量，建立水资源资产价值评估核算数据库，摸清我市水资源资产价值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（5）湿地资源资产评估核算</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湿地资源的评估核算技术方法体系，利用采集的相关数据及评估参数数据，对全市范围内的湿地资源资产进行价值批量评估核算，明确不同区域、不同类型的湿地资源资产生态价值和社会价值。此项工作主要侧重于湿地资源资产的生态价值核算，如调洪价值、净化水质、休闲游憩、固碳释氧等生态指标。最终，建立湿地资源资产价值评估核算数据库，摸清我市湿地资源资产价值量家底。</w:t>
            </w:r>
          </w:p>
          <w:p>
            <w:pPr>
              <w:spacing w:line="276" w:lineRule="auto"/>
              <w:ind w:firstLine="200" w:firstLineChars="1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（6）海洋资源资产评估核算</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海洋资源的评估核算技术方法体系，利用采集的相关数据及评估参数数据，对全市海洋资源资产进行批量评估核算，明确海洋自然资源资产的价值量，包括经济价值（渔业养殖、捕捞等）、生态价值（固碳释氧、气候调节、废弃物处理等）和社会价值（休闲娱乐、科研服务、文化用途等），摸清我市海洋资源资产价值量家底。</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5．全类型自然资源资产负债表/平衡表编制</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完善并建立我市全类型自然资源资产负债表/平衡表框架体系，明晰自然资源资产实物量、价值量及权属情况以及变化情况。基于清查统计与评估核算成果，根据自然资源资产负债表/平衡表框架体系，分别编制完成全市及十个行政区的自然资源资产负债表/平衡表。</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6．自然资源资产清查统计、评估核算以及负债表/平衡表成果应用研究</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结合其他省市的先进经验，根据我市自然资源资产管理需求，探索并建立自然资源资产清查统计与评估核算成果以及资产负债表/平衡表成果在自然资源统计和调查监测、领导干部自然资源资产离任审计、自然资源资产管理、规划和保护、生态补偿、生态产品价值实现、国土空间管制以及自然资源管理信息平台建设等方面的应用模式。</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7．海洋自然资源资产评估核算技术方法专题研究</w:t>
            </w:r>
          </w:p>
          <w:p>
            <w:pPr>
              <w:spacing w:line="276" w:lineRule="auto"/>
              <w:ind w:firstLine="400" w:firstLineChars="200"/>
              <w:rPr>
                <w:rFonts w:hint="eastAsia" w:ascii="仿宋" w:hAnsi="仿宋" w:eastAsia="仿宋" w:cs="Times New Roman"/>
                <w:bCs/>
                <w:kern w:val="0"/>
                <w:sz w:val="20"/>
                <w:szCs w:val="21"/>
                <w:lang w:val="en-US" w:eastAsia="zh-CN" w:bidi="ar-SA"/>
              </w:rPr>
            </w:pPr>
            <w:r>
              <w:rPr>
                <w:rFonts w:hint="eastAsia" w:ascii="仿宋" w:hAnsi="仿宋" w:eastAsia="仿宋" w:cs="Times New Roman"/>
                <w:bCs/>
                <w:kern w:val="0"/>
                <w:sz w:val="20"/>
                <w:szCs w:val="21"/>
                <w:lang w:val="en-US" w:eastAsia="zh-CN" w:bidi="ar-SA"/>
              </w:rPr>
              <w:t>根据海洋自然资源类别，综合资源和资产双重属性，对海洋自然资源进行合理分类,并进一步探索研究适合深圳的海洋自然资源资产核算框架，初步构建海洋自然资源资产核算指标体系和价值核算体系。</w:t>
            </w:r>
            <w:bookmarkStart w:id="0" w:name="_GoBack"/>
            <w:bookmarkEnd w:id="0"/>
          </w:p>
          <w:p>
            <w:pPr>
              <w:snapToGrid w:val="0"/>
              <w:spacing w:line="355" w:lineRule="auto"/>
              <w:ind w:firstLine="402" w:firstLineChars="200"/>
              <w:rPr>
                <w:rFonts w:ascii="仿宋" w:hAnsi="仿宋" w:eastAsia="仿宋" w:cs="Times New Roman"/>
                <w:b/>
                <w:kern w:val="0"/>
                <w:sz w:val="20"/>
                <w:szCs w:val="21"/>
              </w:rPr>
            </w:pPr>
            <w:r>
              <w:rPr>
                <w:rFonts w:hint="eastAsia" w:ascii="仿宋" w:hAnsi="仿宋" w:eastAsia="仿宋" w:cs="Times New Roman"/>
                <w:b/>
                <w:kern w:val="0"/>
                <w:sz w:val="20"/>
                <w:szCs w:val="21"/>
                <w:lang w:val="en-US" w:eastAsia="zh-CN"/>
              </w:rPr>
              <w:t>二</w:t>
            </w:r>
            <w:r>
              <w:rPr>
                <w:rFonts w:hint="eastAsia" w:ascii="仿宋" w:hAnsi="仿宋" w:eastAsia="仿宋" w:cs="Times New Roman"/>
                <w:b/>
                <w:kern w:val="0"/>
                <w:sz w:val="20"/>
                <w:szCs w:val="21"/>
              </w:rPr>
              <w:t>、项目用途</w:t>
            </w:r>
          </w:p>
          <w:p>
            <w:pPr>
              <w:snapToGrid w:val="0"/>
              <w:spacing w:line="355"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以中共中央、国务院、自然资源部、市委、市政府设定的相关目标为工作方向, 协助推进我局自然资源资产清查统计、评估核算与</w:t>
            </w:r>
            <w:r>
              <w:rPr>
                <w:rFonts w:hint="eastAsia" w:ascii="仿宋" w:hAnsi="仿宋" w:eastAsia="仿宋" w:cs="Times New Roman"/>
                <w:kern w:val="0"/>
                <w:sz w:val="20"/>
                <w:szCs w:val="21"/>
                <w:lang w:val="en-US" w:eastAsia="zh-CN"/>
              </w:rPr>
              <w:t>平衡表</w:t>
            </w:r>
            <w:r>
              <w:rPr>
                <w:rFonts w:hint="eastAsia" w:ascii="仿宋" w:hAnsi="仿宋" w:eastAsia="仿宋" w:cs="Times New Roman"/>
                <w:kern w:val="0"/>
                <w:sz w:val="20"/>
                <w:szCs w:val="21"/>
              </w:rPr>
              <w:t>编制</w:t>
            </w:r>
            <w:r>
              <w:rPr>
                <w:rFonts w:hint="eastAsia" w:ascii="仿宋" w:hAnsi="仿宋" w:eastAsia="仿宋" w:cs="Times New Roman"/>
                <w:kern w:val="0"/>
                <w:sz w:val="20"/>
                <w:szCs w:val="21"/>
                <w:lang w:eastAsia="zh-CN"/>
              </w:rPr>
              <w:t>、</w:t>
            </w:r>
            <w:r>
              <w:rPr>
                <w:rFonts w:hint="eastAsia" w:ascii="仿宋" w:hAnsi="仿宋" w:eastAsia="仿宋" w:cs="Times New Roman"/>
                <w:kern w:val="0"/>
                <w:sz w:val="20"/>
                <w:szCs w:val="21"/>
                <w:lang w:val="en-US" w:eastAsia="zh-CN"/>
              </w:rPr>
              <w:t>自然资源评价考核以及生态产品价值实现</w:t>
            </w:r>
            <w:r>
              <w:rPr>
                <w:rFonts w:hint="eastAsia" w:ascii="仿宋" w:hAnsi="仿宋" w:eastAsia="仿宋" w:cs="Times New Roman"/>
                <w:kern w:val="0"/>
                <w:sz w:val="20"/>
                <w:szCs w:val="21"/>
              </w:rPr>
              <w:t>等工作。</w:t>
            </w:r>
          </w:p>
          <w:p>
            <w:pPr>
              <w:snapToGrid w:val="0"/>
              <w:spacing w:line="355" w:lineRule="auto"/>
              <w:ind w:firstLine="402" w:firstLineChars="200"/>
              <w:rPr>
                <w:rFonts w:ascii="仿宋" w:hAnsi="仿宋" w:eastAsia="仿宋" w:cs="Times New Roman"/>
                <w:b/>
                <w:kern w:val="0"/>
                <w:sz w:val="20"/>
                <w:szCs w:val="21"/>
              </w:rPr>
            </w:pPr>
            <w:r>
              <w:rPr>
                <w:rFonts w:hint="eastAsia" w:ascii="仿宋" w:hAnsi="仿宋" w:eastAsia="仿宋" w:cs="Times New Roman"/>
                <w:b/>
                <w:kern w:val="0"/>
                <w:sz w:val="20"/>
                <w:szCs w:val="21"/>
                <w:lang w:val="en-US" w:eastAsia="zh-CN"/>
              </w:rPr>
              <w:t>三</w:t>
            </w:r>
            <w:r>
              <w:rPr>
                <w:rFonts w:hint="eastAsia" w:ascii="仿宋" w:hAnsi="仿宋" w:eastAsia="仿宋" w:cs="Times New Roman"/>
                <w:b/>
                <w:kern w:val="0"/>
                <w:sz w:val="20"/>
                <w:szCs w:val="21"/>
              </w:rPr>
              <w:t>、项目成果数量</w:t>
            </w:r>
          </w:p>
          <w:p>
            <w:pPr>
              <w:snapToGrid w:val="0"/>
              <w:spacing w:line="355"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预期成果包含但不限于以下内容：</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1.全类型自然资源数据采集成果（包括六类自然资源数据采集报表和数据库）</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2.全类型自然资源清查统计表格及图件成果</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3.全类型自然资源评估核算表格及图件成果</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4.《全类型自然资源资产清查统计与评估核算研究报告》（包括总报告和六类自然资源分项报告）</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5.《自然资源资产清查统计、评估核算以及负债表/平衡表成果应用研究报告》</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6．《海洋自然资源资产评估核算技术方法专题研究报告》</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7.全类型自然资源资产负债表/平衡表编制成果（包括全市及十个行政区的自然资源资产负债表/平衡表）</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8.全类型自然资源资产台账与数据库成果（包括各类型自然资源资产台账图表、矢量空间数据库及属性数据库）</w:t>
            </w:r>
          </w:p>
          <w:p>
            <w:pPr>
              <w:snapToGrid w:val="0"/>
              <w:spacing w:line="355"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报告类成果为纸质材料，并附电子文件。数据库成果为电子文件。</w:t>
            </w:r>
          </w:p>
          <w:p>
            <w:pPr>
              <w:pStyle w:val="10"/>
              <w:numPr>
                <w:ilvl w:val="0"/>
                <w:numId w:val="0"/>
              </w:numPr>
              <w:snapToGrid w:val="0"/>
              <w:spacing w:line="355" w:lineRule="auto"/>
              <w:ind w:left="402" w:leftChars="0"/>
              <w:rPr>
                <w:rFonts w:ascii="仿宋" w:hAnsi="仿宋" w:eastAsia="仿宋" w:cs="Times New Roman"/>
                <w:b/>
                <w:kern w:val="0"/>
                <w:sz w:val="20"/>
                <w:szCs w:val="21"/>
              </w:rPr>
            </w:pPr>
            <w:r>
              <w:rPr>
                <w:rFonts w:hint="eastAsia" w:ascii="仿宋" w:hAnsi="仿宋" w:eastAsia="仿宋" w:cs="Times New Roman"/>
                <w:b/>
                <w:kern w:val="0"/>
                <w:sz w:val="20"/>
                <w:szCs w:val="21"/>
                <w:lang w:val="en-US" w:eastAsia="zh-CN"/>
              </w:rPr>
              <w:t>四、</w:t>
            </w:r>
            <w:r>
              <w:rPr>
                <w:rFonts w:hint="eastAsia" w:ascii="仿宋" w:hAnsi="仿宋" w:eastAsia="仿宋" w:cs="Times New Roman"/>
                <w:b/>
                <w:kern w:val="0"/>
                <w:sz w:val="20"/>
                <w:szCs w:val="21"/>
              </w:rPr>
              <w:t>简要技术需求</w:t>
            </w:r>
          </w:p>
          <w:p>
            <w:pPr>
              <w:snapToGrid w:val="0"/>
              <w:spacing w:line="355"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 xml:space="preserve">研究中主要采用调研与专家咨询、植被样方调查、实验室测定、遥感反演等方法开展工作，具体如下： </w:t>
            </w:r>
          </w:p>
          <w:p>
            <w:pPr>
              <w:snapToGrid w:val="0"/>
              <w:spacing w:line="355"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1）调研与专家咨询：充分调研国内外其他自然资源资产清查统计与评估核算先进地区，结合深圳实际，充分采纳国内外顶尖专家建议，建立一套适宜于深圳市全面、客观、可操作性强的自然资源资产评估核算和自然资源资产负债表体系。</w:t>
            </w:r>
          </w:p>
          <w:p>
            <w:pPr>
              <w:snapToGrid w:val="0"/>
              <w:spacing w:line="355"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（2）植被样方调查：利用植被样方调查方法收集自然资源资产评估核算所需地表径流量、林地土壤侵蚀量、林分滞尘量等数据。</w:t>
            </w:r>
          </w:p>
          <w:p>
            <w:pPr>
              <w:snapToGrid w:val="0"/>
              <w:spacing w:line="355"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（3）实验室测定：利用实验室测定方法收集自然资源资产评估核算所需土壤容重、土壤有机质含量等自然资源资产评估核算所需数据。</w:t>
            </w:r>
          </w:p>
          <w:p>
            <w:pPr>
              <w:snapToGrid w:val="0"/>
              <w:spacing w:line="355" w:lineRule="auto"/>
              <w:ind w:firstLine="400" w:firstLineChars="200"/>
              <w:rPr>
                <w:rFonts w:hint="eastAsia" w:ascii="仿宋" w:hAnsi="仿宋" w:eastAsia="仿宋" w:cs="Times New Roman"/>
                <w:kern w:val="0"/>
                <w:sz w:val="20"/>
                <w:szCs w:val="21"/>
              </w:rPr>
            </w:pPr>
            <w:r>
              <w:rPr>
                <w:rFonts w:hint="eastAsia" w:ascii="仿宋" w:hAnsi="仿宋" w:eastAsia="仿宋" w:cs="Times New Roman"/>
                <w:kern w:val="0"/>
                <w:sz w:val="20"/>
                <w:szCs w:val="21"/>
              </w:rPr>
              <w:t>（4）遥感反演：利用遥感反演方法收集自然资源资产评估核算所需林分净生产力（N</w:t>
            </w:r>
            <w:r>
              <w:rPr>
                <w:rFonts w:ascii="仿宋" w:hAnsi="仿宋" w:eastAsia="仿宋" w:cs="Times New Roman"/>
                <w:kern w:val="0"/>
                <w:sz w:val="20"/>
                <w:szCs w:val="21"/>
              </w:rPr>
              <w:t>PP</w:t>
            </w:r>
            <w:r>
              <w:rPr>
                <w:rFonts w:hint="eastAsia" w:ascii="仿宋" w:hAnsi="仿宋" w:eastAsia="仿宋" w:cs="Times New Roman"/>
                <w:kern w:val="0"/>
                <w:sz w:val="20"/>
                <w:szCs w:val="21"/>
              </w:rPr>
              <w:t>）、叶面积植被指数（L</w:t>
            </w:r>
            <w:r>
              <w:rPr>
                <w:rFonts w:ascii="仿宋" w:hAnsi="仿宋" w:eastAsia="仿宋" w:cs="Times New Roman"/>
                <w:kern w:val="0"/>
                <w:sz w:val="20"/>
                <w:szCs w:val="21"/>
              </w:rPr>
              <w:t>AI</w:t>
            </w:r>
            <w:r>
              <w:rPr>
                <w:rFonts w:hint="eastAsia" w:ascii="仿宋" w:hAnsi="仿宋" w:eastAsia="仿宋" w:cs="Times New Roman"/>
                <w:kern w:val="0"/>
                <w:sz w:val="20"/>
                <w:szCs w:val="21"/>
              </w:rPr>
              <w:t>）等数据。</w:t>
            </w:r>
          </w:p>
          <w:p>
            <w:pPr>
              <w:snapToGrid w:val="0"/>
              <w:spacing w:line="355" w:lineRule="auto"/>
              <w:ind w:firstLine="400" w:firstLineChars="200"/>
              <w:rPr>
                <w:rFonts w:hint="default" w:ascii="仿宋" w:hAnsi="仿宋" w:eastAsia="仿宋" w:cs="Times New Roman"/>
                <w:kern w:val="0"/>
                <w:sz w:val="20"/>
                <w:szCs w:val="21"/>
                <w:lang w:val="en-US" w:eastAsia="zh-CN"/>
              </w:rPr>
            </w:pPr>
            <w:r>
              <w:rPr>
                <w:rFonts w:hint="eastAsia" w:ascii="仿宋" w:hAnsi="仿宋" w:eastAsia="仿宋" w:cs="Times New Roman"/>
                <w:kern w:val="0"/>
                <w:sz w:val="20"/>
                <w:szCs w:val="21"/>
                <w:lang w:eastAsia="zh-CN"/>
              </w:rPr>
              <w:t>（</w:t>
            </w:r>
            <w:r>
              <w:rPr>
                <w:rFonts w:hint="eastAsia" w:ascii="仿宋" w:hAnsi="仿宋" w:eastAsia="仿宋" w:cs="Times New Roman"/>
                <w:kern w:val="0"/>
                <w:sz w:val="20"/>
                <w:szCs w:val="21"/>
                <w:lang w:val="en-US" w:eastAsia="zh-CN"/>
              </w:rPr>
              <w:t>5）围隔培养与实验室分析：开展现场围隔培养实验，利用分析测试仪器收集海洋自然资源资产评估所需要的浮游植物、典型优势藻类、主要贝类的种类、代谢速率等海洋自然资源资产评估核算所需要的数据。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cs="Times New Roman"/>
                <w:bCs/>
                <w:kern w:val="0"/>
                <w:sz w:val="20"/>
                <w:szCs w:val="21"/>
              </w:rPr>
            </w:pPr>
            <w:r>
              <w:rPr>
                <w:rFonts w:hint="eastAsia" w:ascii="仿宋" w:hAnsi="仿宋" w:eastAsia="仿宋" w:cs="Times New Roman"/>
                <w:bCs/>
                <w:kern w:val="0"/>
                <w:sz w:val="20"/>
                <w:szCs w:val="21"/>
              </w:rPr>
              <w:t>拟定供应商名单：深圳市不动产评估中心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cs="Times New Roman"/>
                <w:bCs/>
                <w:kern w:val="0"/>
                <w:sz w:val="20"/>
                <w:szCs w:val="21"/>
              </w:rPr>
            </w:pPr>
            <w:r>
              <w:rPr>
                <w:rFonts w:hint="eastAsia" w:ascii="仿宋" w:hAnsi="仿宋" w:eastAsia="仿宋" w:cs="Times New Roman"/>
                <w:bCs/>
                <w:kern w:val="0"/>
                <w:sz w:val="20"/>
                <w:szCs w:val="21"/>
              </w:rPr>
              <w:t>申请理由及相关说明：</w:t>
            </w:r>
          </w:p>
          <w:p>
            <w:pPr>
              <w:snapToGrid w:val="0"/>
              <w:spacing w:line="360" w:lineRule="auto"/>
              <w:ind w:firstLine="400" w:firstLineChars="200"/>
              <w:rPr>
                <w:rFonts w:hint="eastAsia" w:ascii="仿宋" w:hAnsi="仿宋" w:eastAsia="仿宋" w:cs="Times New Roman"/>
                <w:bCs/>
                <w:kern w:val="0"/>
                <w:sz w:val="20"/>
                <w:szCs w:val="21"/>
              </w:rPr>
            </w:pPr>
            <w:r>
              <w:rPr>
                <w:rFonts w:hint="eastAsia" w:ascii="仿宋" w:hAnsi="仿宋" w:eastAsia="仿宋" w:cs="Times New Roman"/>
                <w:bCs/>
                <w:kern w:val="0"/>
                <w:sz w:val="20"/>
                <w:szCs w:val="21"/>
              </w:rPr>
              <w:t>（</w:t>
            </w:r>
            <w:r>
              <w:rPr>
                <w:rFonts w:ascii="仿宋" w:hAnsi="仿宋" w:eastAsia="仿宋" w:cs="Times New Roman"/>
                <w:bCs/>
                <w:kern w:val="0"/>
                <w:sz w:val="20"/>
                <w:szCs w:val="21"/>
              </w:rPr>
              <w:t>1）项目工作内容需涉及</w:t>
            </w:r>
            <w:r>
              <w:rPr>
                <w:rFonts w:hint="eastAsia" w:ascii="仿宋" w:hAnsi="仿宋" w:eastAsia="仿宋" w:cs="Times New Roman"/>
                <w:bCs/>
                <w:kern w:val="0"/>
                <w:sz w:val="20"/>
                <w:szCs w:val="21"/>
                <w:lang w:val="en-US" w:eastAsia="zh-CN"/>
              </w:rPr>
              <w:t>我市</w:t>
            </w:r>
            <w:r>
              <w:rPr>
                <w:rFonts w:ascii="仿宋" w:hAnsi="仿宋" w:eastAsia="仿宋" w:cs="Times New Roman"/>
                <w:bCs/>
                <w:kern w:val="0"/>
                <w:sz w:val="20"/>
                <w:szCs w:val="21"/>
              </w:rPr>
              <w:t>第三次全国土地调查、</w:t>
            </w:r>
            <w:r>
              <w:rPr>
                <w:rFonts w:hint="eastAsia" w:ascii="仿宋" w:hAnsi="仿宋" w:eastAsia="仿宋" w:cs="Times New Roman"/>
                <w:bCs/>
                <w:kern w:val="0"/>
                <w:sz w:val="20"/>
                <w:szCs w:val="21"/>
              </w:rPr>
              <w:t>林业变更调查、水资源调查、湿地调查等</w:t>
            </w:r>
            <w:r>
              <w:rPr>
                <w:rFonts w:ascii="仿宋" w:hAnsi="仿宋" w:eastAsia="仿宋" w:cs="Times New Roman"/>
                <w:bCs/>
                <w:kern w:val="0"/>
                <w:sz w:val="20"/>
                <w:szCs w:val="21"/>
              </w:rPr>
              <w:t>秘密级基础数据，市场单位难以获得完整数据</w:t>
            </w:r>
            <w:r>
              <w:rPr>
                <w:rFonts w:hint="eastAsia" w:ascii="仿宋" w:hAnsi="仿宋" w:eastAsia="仿宋" w:cs="Times New Roman"/>
                <w:bCs/>
                <w:kern w:val="0"/>
                <w:sz w:val="20"/>
                <w:szCs w:val="21"/>
              </w:rPr>
              <w:t>，其中部分事项涉及较为敏感信息，保密要求极高，不适合以公开招标的方式采购。</w:t>
            </w:r>
          </w:p>
          <w:p>
            <w:pPr>
              <w:snapToGrid w:val="0"/>
              <w:spacing w:line="360" w:lineRule="auto"/>
              <w:ind w:firstLine="400" w:firstLineChars="200"/>
              <w:rPr>
                <w:rFonts w:hint="eastAsia" w:ascii="仿宋" w:hAnsi="仿宋" w:eastAsia="仿宋" w:cs="Times New Roman"/>
                <w:bCs/>
                <w:kern w:val="0"/>
                <w:sz w:val="20"/>
                <w:szCs w:val="21"/>
              </w:rPr>
            </w:pPr>
            <w:r>
              <w:rPr>
                <w:rFonts w:hint="eastAsia" w:ascii="仿宋" w:hAnsi="仿宋" w:eastAsia="仿宋" w:cs="Times New Roman"/>
                <w:bCs/>
                <w:kern w:val="0"/>
                <w:sz w:val="20"/>
                <w:szCs w:val="21"/>
              </w:rPr>
              <w:t>（</w:t>
            </w:r>
            <w:r>
              <w:rPr>
                <w:rFonts w:ascii="仿宋" w:hAnsi="仿宋" w:eastAsia="仿宋" w:cs="Times New Roman"/>
                <w:bCs/>
                <w:kern w:val="0"/>
                <w:sz w:val="20"/>
                <w:szCs w:val="21"/>
              </w:rPr>
              <w:t>2）项目需对</w:t>
            </w:r>
            <w:r>
              <w:rPr>
                <w:rFonts w:hint="eastAsia" w:ascii="仿宋" w:hAnsi="仿宋" w:eastAsia="仿宋" w:cs="Times New Roman"/>
                <w:bCs/>
                <w:kern w:val="0"/>
                <w:sz w:val="20"/>
                <w:szCs w:val="21"/>
              </w:rPr>
              <w:t>各类自然资源评估核算， 该项工作在国家、部、省层面仍在研究，尚未出台相关规范，研究涉及面广、专业性强，需要具有多年评估核算经验的机构进行研究。</w:t>
            </w:r>
          </w:p>
          <w:p>
            <w:pPr>
              <w:snapToGrid w:val="0"/>
              <w:spacing w:line="360" w:lineRule="auto"/>
              <w:ind w:firstLine="400" w:firstLineChars="200"/>
              <w:rPr>
                <w:rFonts w:hint="eastAsia" w:ascii="仿宋" w:hAnsi="仿宋" w:eastAsia="仿宋" w:cs="Times New Roman"/>
                <w:bCs/>
                <w:kern w:val="0"/>
                <w:sz w:val="20"/>
                <w:szCs w:val="21"/>
                <w:lang w:val="en-US" w:eastAsia="zh-CN"/>
              </w:rPr>
            </w:pPr>
            <w:r>
              <w:rPr>
                <w:rFonts w:hint="eastAsia" w:ascii="仿宋" w:hAnsi="仿宋" w:eastAsia="仿宋" w:cs="Times New Roman"/>
                <w:bCs/>
                <w:kern w:val="0"/>
                <w:sz w:val="20"/>
                <w:szCs w:val="21"/>
              </w:rPr>
              <w:t>（3）根据《深圳经济特区政府采购条例》第二十一条第（三）款情形：“为保证与原有政府采购项目的一致性或者服务配套的要求，需要向原供应商添购的”。投标方2020年</w:t>
            </w:r>
            <w:r>
              <w:rPr>
                <w:rFonts w:hint="eastAsia" w:ascii="仿宋" w:hAnsi="仿宋" w:eastAsia="仿宋" w:cs="Times New Roman"/>
                <w:bCs/>
                <w:kern w:val="0"/>
                <w:sz w:val="20"/>
                <w:szCs w:val="21"/>
                <w:lang w:val="en-US" w:eastAsia="zh-CN"/>
              </w:rPr>
              <w:t>开展了</w:t>
            </w:r>
            <w:r>
              <w:rPr>
                <w:rFonts w:hint="eastAsia" w:ascii="仿宋" w:hAnsi="仿宋" w:eastAsia="仿宋" w:cs="Times New Roman"/>
                <w:bCs/>
                <w:kern w:val="0"/>
                <w:sz w:val="20"/>
                <w:szCs w:val="21"/>
              </w:rPr>
              <w:t>《深圳市土地、森林和水资源资产清查统计与评估核算——以龙岗区为试点》</w:t>
            </w:r>
            <w:r>
              <w:rPr>
                <w:rFonts w:hint="eastAsia" w:ascii="仿宋" w:hAnsi="仿宋" w:eastAsia="仿宋" w:cs="Times New Roman"/>
                <w:bCs/>
                <w:kern w:val="0"/>
                <w:sz w:val="20"/>
                <w:szCs w:val="21"/>
                <w:lang w:val="en-US" w:eastAsia="zh-CN"/>
              </w:rPr>
              <w:t>项目，上述项目是本项目的基础。</w:t>
            </w:r>
          </w:p>
          <w:p>
            <w:pPr>
              <w:snapToGrid w:val="0"/>
              <w:spacing w:line="360" w:lineRule="auto"/>
              <w:ind w:firstLine="400" w:firstLineChars="200"/>
              <w:rPr>
                <w:rFonts w:hint="eastAsia" w:ascii="仿宋" w:hAnsi="仿宋" w:eastAsia="仿宋" w:cs="Times New Roman"/>
                <w:bCs/>
                <w:kern w:val="0"/>
                <w:sz w:val="20"/>
                <w:szCs w:val="21"/>
              </w:rPr>
            </w:pPr>
            <w:r>
              <w:rPr>
                <w:rFonts w:hint="eastAsia" w:ascii="仿宋" w:hAnsi="仿宋" w:eastAsia="仿宋" w:cs="Times New Roman"/>
                <w:bCs/>
                <w:kern w:val="0"/>
                <w:sz w:val="20"/>
                <w:szCs w:val="21"/>
              </w:rPr>
              <w:t>考虑到本项目具有很强的延续性、专业性、保密性，</w:t>
            </w:r>
            <w:r>
              <w:rPr>
                <w:rFonts w:hint="eastAsia" w:ascii="仿宋" w:hAnsi="仿宋" w:eastAsia="仿宋" w:cs="Times New Roman"/>
                <w:bCs/>
                <w:kern w:val="0"/>
                <w:sz w:val="20"/>
                <w:szCs w:val="21"/>
                <w:lang w:val="en-US" w:eastAsia="zh-CN"/>
              </w:rPr>
              <w:t>为</w:t>
            </w:r>
            <w:r>
              <w:rPr>
                <w:rFonts w:hint="eastAsia" w:ascii="仿宋" w:hAnsi="仿宋" w:eastAsia="仿宋" w:cs="Times New Roman"/>
                <w:bCs/>
                <w:kern w:val="0"/>
                <w:sz w:val="20"/>
                <w:szCs w:val="21"/>
              </w:rPr>
              <w:t>保证所有自然资源数据统计口径、核算方法的一致，满足清查统计、评估核算的整体性、“一致性”的工作要求，保证与原有政府采购项目的一致性和相关服务配套的要求，保障项目质量和工作进度，故此采用单一来源方式向原供应商深圳市不动产评估中心采购。</w:t>
            </w:r>
          </w:p>
          <w:p>
            <w:pPr>
              <w:snapToGrid w:val="0"/>
              <w:spacing w:line="360" w:lineRule="auto"/>
              <w:ind w:firstLine="400" w:firstLineChars="200"/>
              <w:rPr>
                <w:rFonts w:ascii="仿宋" w:hAnsi="仿宋" w:eastAsia="仿宋" w:cs="Times New Roman"/>
                <w:bCs/>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cs="Times New Roman"/>
                <w:bCs/>
                <w:kern w:val="0"/>
                <w:sz w:val="20"/>
                <w:szCs w:val="21"/>
              </w:rPr>
            </w:pPr>
            <w:r>
              <w:rPr>
                <w:rFonts w:hint="eastAsia" w:ascii="仿宋" w:hAnsi="仿宋" w:eastAsia="仿宋" w:cs="Times New Roman"/>
                <w:bCs/>
                <w:kern w:val="0"/>
                <w:sz w:val="20"/>
                <w:szCs w:val="21"/>
              </w:rPr>
              <w:t>征求意见期限：</w:t>
            </w:r>
          </w:p>
          <w:p>
            <w:pPr>
              <w:spacing w:before="62" w:beforeLines="20" w:after="62" w:afterLines="20" w:line="360" w:lineRule="auto"/>
              <w:ind w:firstLine="400" w:firstLineChars="200"/>
              <w:rPr>
                <w:rFonts w:ascii="仿宋" w:hAnsi="仿宋" w:eastAsia="仿宋" w:cs="Times New Roman"/>
                <w:kern w:val="0"/>
                <w:sz w:val="20"/>
                <w:szCs w:val="21"/>
              </w:rPr>
            </w:pPr>
            <w:r>
              <w:rPr>
                <w:rFonts w:hint="eastAsia" w:ascii="仿宋" w:hAnsi="仿宋" w:eastAsia="仿宋" w:cs="Times New Roman"/>
                <w:kern w:val="0"/>
                <w:sz w:val="20"/>
                <w:szCs w:val="21"/>
              </w:rPr>
              <w:t>从20</w:t>
            </w:r>
            <w:r>
              <w:rPr>
                <w:rFonts w:ascii="仿宋" w:hAnsi="仿宋" w:eastAsia="仿宋" w:cs="Times New Roman"/>
                <w:kern w:val="0"/>
                <w:sz w:val="20"/>
                <w:szCs w:val="21"/>
              </w:rPr>
              <w:t>2</w:t>
            </w:r>
            <w:r>
              <w:rPr>
                <w:rFonts w:hint="eastAsia" w:ascii="仿宋" w:hAnsi="仿宋" w:eastAsia="仿宋" w:cs="Times New Roman"/>
                <w:kern w:val="0"/>
                <w:sz w:val="20"/>
                <w:szCs w:val="21"/>
                <w:lang w:val="en-US" w:eastAsia="zh-CN"/>
              </w:rPr>
              <w:t>1</w:t>
            </w:r>
            <w:r>
              <w:rPr>
                <w:rFonts w:hint="eastAsia" w:ascii="仿宋" w:hAnsi="仿宋" w:eastAsia="仿宋" w:cs="Times New Roman"/>
                <w:kern w:val="0"/>
                <w:sz w:val="20"/>
                <w:szCs w:val="21"/>
              </w:rPr>
              <w:t>年  月  日起至 20</w:t>
            </w:r>
            <w:r>
              <w:rPr>
                <w:rFonts w:ascii="仿宋" w:hAnsi="仿宋" w:eastAsia="仿宋" w:cs="Times New Roman"/>
                <w:kern w:val="0"/>
                <w:sz w:val="20"/>
                <w:szCs w:val="21"/>
              </w:rPr>
              <w:t>2</w:t>
            </w:r>
            <w:r>
              <w:rPr>
                <w:rFonts w:hint="eastAsia" w:ascii="仿宋" w:hAnsi="仿宋" w:eastAsia="仿宋" w:cs="Times New Roman"/>
                <w:kern w:val="0"/>
                <w:sz w:val="20"/>
                <w:szCs w:val="21"/>
                <w:lang w:val="en-US" w:eastAsia="zh-CN"/>
              </w:rPr>
              <w:t>1</w:t>
            </w:r>
            <w:r>
              <w:rPr>
                <w:rFonts w:hint="eastAsia" w:ascii="仿宋" w:hAnsi="仿宋" w:eastAsia="仿宋" w:cs="Times New Roman"/>
                <w:kern w:val="0"/>
                <w:sz w:val="20"/>
                <w:szCs w:val="21"/>
              </w:rPr>
              <w:t>年  月  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widowControl/>
              <w:snapToGrid w:val="0"/>
              <w:spacing w:before="100" w:beforeAutospacing="1" w:after="100" w:afterAutospacing="1" w:line="360" w:lineRule="auto"/>
              <w:jc w:val="left"/>
              <w:rPr>
                <w:rFonts w:ascii="仿宋" w:hAnsi="仿宋" w:eastAsia="仿宋" w:cs="宋体"/>
                <w:kern w:val="0"/>
                <w:sz w:val="20"/>
                <w:szCs w:val="21"/>
              </w:rPr>
            </w:pPr>
            <w:r>
              <w:rPr>
                <w:rFonts w:hint="eastAsia" w:ascii="仿宋" w:hAnsi="仿宋" w:eastAsia="仿宋" w:cs="宋体"/>
                <w:bCs/>
                <w:kern w:val="0"/>
                <w:sz w:val="20"/>
                <w:szCs w:val="21"/>
              </w:rPr>
              <w:t>联系方式：</w:t>
            </w:r>
          </w:p>
          <w:p>
            <w:pPr>
              <w:widowControl/>
              <w:snapToGrid w:val="0"/>
              <w:spacing w:before="100" w:beforeAutospacing="1" w:after="100" w:afterAutospacing="1" w:line="360" w:lineRule="auto"/>
              <w:ind w:firstLine="480"/>
              <w:jc w:val="left"/>
              <w:rPr>
                <w:rFonts w:ascii="仿宋" w:hAnsi="仿宋" w:eastAsia="仿宋" w:cs="宋体"/>
                <w:kern w:val="0"/>
                <w:sz w:val="20"/>
                <w:szCs w:val="21"/>
              </w:rPr>
            </w:pPr>
            <w:r>
              <w:rPr>
                <w:rFonts w:hint="eastAsia" w:ascii="仿宋" w:hAnsi="仿宋" w:eastAsia="仿宋" w:cs="宋体"/>
                <w:kern w:val="0"/>
                <w:sz w:val="20"/>
                <w:szCs w:val="21"/>
              </w:rPr>
              <w:t>采购人:深圳市规划和自然资源局</w:t>
            </w:r>
          </w:p>
          <w:p>
            <w:pPr>
              <w:widowControl/>
              <w:snapToGrid w:val="0"/>
              <w:spacing w:before="100" w:beforeAutospacing="1" w:after="100" w:afterAutospacing="1" w:line="360" w:lineRule="auto"/>
              <w:ind w:firstLine="480"/>
              <w:jc w:val="left"/>
              <w:rPr>
                <w:rFonts w:ascii="仿宋" w:hAnsi="仿宋" w:eastAsia="仿宋" w:cs="宋体"/>
                <w:kern w:val="0"/>
                <w:sz w:val="20"/>
                <w:szCs w:val="21"/>
              </w:rPr>
            </w:pPr>
            <w:r>
              <w:rPr>
                <w:rFonts w:hint="eastAsia" w:ascii="仿宋" w:hAnsi="仿宋" w:eastAsia="仿宋" w:cs="宋体"/>
                <w:kern w:val="0"/>
                <w:sz w:val="20"/>
                <w:szCs w:val="21"/>
              </w:rPr>
              <w:t>联系人：赵秋月</w:t>
            </w:r>
            <w:r>
              <w:rPr>
                <w:rFonts w:hint="eastAsia" w:ascii="Times New Roman" w:hAnsi="Times New Roman" w:eastAsia="仿宋" w:cs="Times New Roman"/>
                <w:kern w:val="0"/>
                <w:sz w:val="20"/>
                <w:szCs w:val="20"/>
              </w:rPr>
              <w:t xml:space="preserve"> </w:t>
            </w:r>
            <w:r>
              <w:rPr>
                <w:rFonts w:ascii="仿宋" w:hAnsi="仿宋" w:eastAsia="仿宋" w:cs="宋体"/>
                <w:kern w:val="0"/>
                <w:sz w:val="20"/>
                <w:szCs w:val="21"/>
              </w:rPr>
              <w:t xml:space="preserve"> </w:t>
            </w:r>
          </w:p>
          <w:p>
            <w:pPr>
              <w:widowControl/>
              <w:snapToGrid w:val="0"/>
              <w:spacing w:before="100" w:beforeAutospacing="1" w:after="100" w:afterAutospacing="1" w:line="360" w:lineRule="auto"/>
              <w:ind w:firstLine="480"/>
              <w:jc w:val="left"/>
              <w:rPr>
                <w:rFonts w:ascii="仿宋" w:hAnsi="仿宋" w:eastAsia="仿宋" w:cs="宋体"/>
                <w:kern w:val="0"/>
                <w:sz w:val="20"/>
                <w:szCs w:val="21"/>
              </w:rPr>
            </w:pPr>
            <w:r>
              <w:rPr>
                <w:rFonts w:hint="eastAsia" w:ascii="仿宋" w:hAnsi="仿宋" w:eastAsia="仿宋" w:cs="宋体"/>
                <w:kern w:val="0"/>
                <w:sz w:val="20"/>
                <w:szCs w:val="21"/>
              </w:rPr>
              <w:t>地址：深圳市红荔西路8009号规划大厦</w:t>
            </w:r>
          </w:p>
          <w:p>
            <w:pPr>
              <w:widowControl/>
              <w:snapToGrid w:val="0"/>
              <w:spacing w:before="100" w:beforeAutospacing="1" w:after="100" w:afterAutospacing="1" w:line="360" w:lineRule="auto"/>
              <w:ind w:firstLine="480"/>
              <w:jc w:val="left"/>
              <w:rPr>
                <w:rFonts w:ascii="仿宋" w:hAnsi="仿宋" w:eastAsia="仿宋" w:cs="宋体"/>
                <w:kern w:val="0"/>
                <w:sz w:val="20"/>
                <w:szCs w:val="21"/>
              </w:rPr>
            </w:pPr>
            <w:r>
              <w:rPr>
                <w:rFonts w:hint="eastAsia" w:ascii="仿宋" w:hAnsi="仿宋" w:eastAsia="仿宋" w:cs="宋体"/>
                <w:kern w:val="0"/>
                <w:sz w:val="20"/>
                <w:szCs w:val="21"/>
              </w:rPr>
              <w:t>联系电话：0755-83530709 　</w:t>
            </w:r>
            <w:r>
              <w:rPr>
                <w:rFonts w:hint="eastAsia" w:ascii="宋体" w:hAnsi="宋体" w:eastAsia="宋体" w:cs="宋体"/>
                <w:kern w:val="0"/>
                <w:sz w:val="2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2" w:type="dxa"/>
          </w:tcPr>
          <w:p>
            <w:pPr>
              <w:spacing w:line="360" w:lineRule="auto"/>
              <w:rPr>
                <w:rFonts w:ascii="仿宋" w:hAnsi="仿宋" w:eastAsia="仿宋" w:cs="Times New Roman"/>
                <w:kern w:val="0"/>
                <w:sz w:val="20"/>
                <w:szCs w:val="21"/>
              </w:rPr>
            </w:pPr>
            <w:r>
              <w:rPr>
                <w:rFonts w:hint="eastAsia" w:ascii="仿宋" w:hAnsi="仿宋" w:eastAsia="仿宋" w:cs="Times New Roman"/>
                <w:bCs/>
                <w:kern w:val="0"/>
                <w:sz w:val="20"/>
                <w:szCs w:val="21"/>
              </w:rPr>
              <w:t>备注：</w:t>
            </w:r>
            <w:r>
              <w:rPr>
                <w:rFonts w:hint="eastAsia" w:ascii="仿宋" w:hAnsi="仿宋" w:eastAsia="仿宋" w:cs="Times New Roman"/>
                <w:kern w:val="0"/>
                <w:sz w:val="20"/>
                <w:szCs w:val="21"/>
              </w:rPr>
              <w:t>潜在政府采购供应商对公示内容有异议的，请于</w:t>
            </w:r>
            <w:r>
              <w:rPr>
                <w:rFonts w:hint="eastAsia" w:ascii="仿宋" w:hAnsi="仿宋" w:eastAsia="仿宋" w:cs="Times New Roman"/>
                <w:bCs/>
                <w:kern w:val="0"/>
                <w:sz w:val="20"/>
                <w:szCs w:val="21"/>
              </w:rPr>
              <w:t>公示之日起至期满后两个工作日内</w:t>
            </w:r>
            <w:r>
              <w:rPr>
                <w:rFonts w:hint="eastAsia" w:ascii="仿宋" w:hAnsi="仿宋" w:eastAsia="仿宋" w:cs="Times New Roman"/>
                <w:kern w:val="0"/>
                <w:sz w:val="20"/>
                <w:szCs w:val="21"/>
              </w:rPr>
              <w:t>以实名书面（包括联系人、地址、联系电话）形式将意见反馈至</w:t>
            </w:r>
            <w:r>
              <w:rPr>
                <w:rFonts w:hint="eastAsia" w:ascii="仿宋" w:hAnsi="仿宋" w:eastAsia="仿宋" w:cs="宋体"/>
                <w:kern w:val="0"/>
                <w:sz w:val="20"/>
                <w:szCs w:val="21"/>
              </w:rPr>
              <w:t>深圳市规划和自然资源局。</w:t>
            </w:r>
          </w:p>
        </w:tc>
      </w:tr>
    </w:tbl>
    <w:p>
      <w:pPr>
        <w:spacing w:line="360" w:lineRule="auto"/>
        <w:rPr>
          <w:rFonts w:ascii="仿宋" w:hAnsi="仿宋" w:eastAsia="仿宋"/>
          <w:szCs w:val="21"/>
        </w:rPr>
      </w:pPr>
      <w:r>
        <w:rPr>
          <w:rFonts w:hint="eastAsia" w:ascii="仿宋" w:hAnsi="仿宋" w:eastAsia="仿宋"/>
          <w:szCs w:val="21"/>
        </w:rPr>
        <w:t>上述内容需包括：</w:t>
      </w:r>
    </w:p>
    <w:p>
      <w:pPr>
        <w:widowControl/>
        <w:spacing w:line="360" w:lineRule="auto"/>
        <w:jc w:val="left"/>
        <w:rPr>
          <w:rFonts w:ascii="仿宋" w:hAnsi="仿宋" w:eastAsia="仿宋" w:cs="宋体"/>
          <w:kern w:val="0"/>
          <w:szCs w:val="21"/>
        </w:rPr>
      </w:pPr>
      <w:r>
        <w:rPr>
          <w:rFonts w:hint="eastAsia" w:ascii="仿宋" w:hAnsi="仿宋" w:eastAsia="仿宋" w:cs="宋体"/>
          <w:kern w:val="0"/>
          <w:szCs w:val="21"/>
        </w:rPr>
        <w:t>（一）采购人名称、项目名称、采购计划、项目规模及资金来源情况；</w:t>
      </w:r>
    </w:p>
    <w:p>
      <w:pPr>
        <w:widowControl/>
        <w:spacing w:line="360" w:lineRule="auto"/>
        <w:jc w:val="left"/>
        <w:rPr>
          <w:rFonts w:ascii="仿宋" w:hAnsi="仿宋" w:eastAsia="仿宋" w:cs="宋体"/>
          <w:kern w:val="0"/>
          <w:szCs w:val="21"/>
        </w:rPr>
      </w:pPr>
      <w:r>
        <w:rPr>
          <w:rFonts w:hint="eastAsia" w:ascii="仿宋" w:hAnsi="仿宋" w:eastAsia="仿宋" w:cs="宋体"/>
          <w:kern w:val="0"/>
          <w:szCs w:val="21"/>
        </w:rPr>
        <w:t>（二）项目技术需求和标准；</w:t>
      </w:r>
    </w:p>
    <w:p>
      <w:pPr>
        <w:widowControl/>
        <w:spacing w:line="360" w:lineRule="auto"/>
        <w:jc w:val="left"/>
        <w:rPr>
          <w:rFonts w:ascii="仿宋" w:hAnsi="仿宋" w:eastAsia="仿宋" w:cs="宋体"/>
          <w:kern w:val="0"/>
          <w:szCs w:val="21"/>
        </w:rPr>
      </w:pPr>
      <w:r>
        <w:rPr>
          <w:rFonts w:hint="eastAsia" w:ascii="仿宋" w:hAnsi="仿宋" w:eastAsia="仿宋" w:cs="宋体"/>
          <w:kern w:val="0"/>
          <w:szCs w:val="21"/>
        </w:rPr>
        <w:t>（三）申请非公开招标的采购方式、理由及证明材料；</w:t>
      </w:r>
    </w:p>
    <w:p>
      <w:pPr>
        <w:widowControl/>
        <w:spacing w:line="360" w:lineRule="auto"/>
        <w:jc w:val="left"/>
        <w:rPr>
          <w:rFonts w:ascii="仿宋" w:hAnsi="仿宋" w:eastAsia="仿宋" w:cs="宋体"/>
          <w:kern w:val="0"/>
          <w:szCs w:val="21"/>
        </w:rPr>
      </w:pPr>
      <w:r>
        <w:rPr>
          <w:rFonts w:hint="eastAsia" w:ascii="仿宋" w:hAnsi="仿宋" w:eastAsia="仿宋" w:cs="宋体"/>
          <w:kern w:val="0"/>
          <w:szCs w:val="21"/>
        </w:rPr>
        <w:t>（四）相关行业及潜在供应商情况；</w:t>
      </w:r>
    </w:p>
    <w:p>
      <w:pPr>
        <w:widowControl/>
        <w:spacing w:line="360" w:lineRule="auto"/>
        <w:jc w:val="left"/>
        <w:rPr>
          <w:rFonts w:ascii="仿宋" w:hAnsi="仿宋" w:eastAsia="仿宋" w:cs="宋体"/>
          <w:kern w:val="0"/>
          <w:szCs w:val="21"/>
        </w:rPr>
      </w:pPr>
      <w:r>
        <w:rPr>
          <w:rFonts w:hint="eastAsia" w:ascii="仿宋" w:hAnsi="仿宋" w:eastAsia="仿宋" w:cs="宋体"/>
          <w:kern w:val="0"/>
          <w:szCs w:val="21"/>
        </w:rPr>
        <w:t>（五）参与非公开招标的供应商的产生方式和理由；</w:t>
      </w:r>
    </w:p>
    <w:p>
      <w:pPr>
        <w:spacing w:line="360" w:lineRule="auto"/>
        <w:rPr>
          <w:rFonts w:ascii="仿宋" w:hAnsi="仿宋" w:eastAsia="仿宋"/>
          <w:szCs w:val="21"/>
        </w:rPr>
      </w:pPr>
      <w:r>
        <w:rPr>
          <w:rFonts w:hint="eastAsia" w:ascii="仿宋" w:hAnsi="仿宋" w:eastAsia="仿宋" w:cs="宋体"/>
          <w:kern w:val="0"/>
          <w:szCs w:val="21"/>
        </w:rPr>
        <w:t>（六）涉密、应急项目的认定材料。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 Yb 2gj">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86D11"/>
    <w:multiLevelType w:val="multilevel"/>
    <w:tmpl w:val="2FA86D1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E95"/>
    <w:rsid w:val="00060C3D"/>
    <w:rsid w:val="00117BF7"/>
    <w:rsid w:val="00212548"/>
    <w:rsid w:val="00255343"/>
    <w:rsid w:val="0026643F"/>
    <w:rsid w:val="00273D01"/>
    <w:rsid w:val="00296A01"/>
    <w:rsid w:val="002E28A1"/>
    <w:rsid w:val="002F2C47"/>
    <w:rsid w:val="003A5214"/>
    <w:rsid w:val="00457F9F"/>
    <w:rsid w:val="004E7B16"/>
    <w:rsid w:val="00570FDB"/>
    <w:rsid w:val="00583184"/>
    <w:rsid w:val="006669B9"/>
    <w:rsid w:val="00687F4B"/>
    <w:rsid w:val="00696281"/>
    <w:rsid w:val="00745950"/>
    <w:rsid w:val="00795D55"/>
    <w:rsid w:val="008306A8"/>
    <w:rsid w:val="00890DB0"/>
    <w:rsid w:val="008B6080"/>
    <w:rsid w:val="008B73C1"/>
    <w:rsid w:val="00966345"/>
    <w:rsid w:val="009C66F9"/>
    <w:rsid w:val="00A35C09"/>
    <w:rsid w:val="00A867D4"/>
    <w:rsid w:val="00B2628A"/>
    <w:rsid w:val="00B27576"/>
    <w:rsid w:val="00BF28BB"/>
    <w:rsid w:val="00C20883"/>
    <w:rsid w:val="00D41687"/>
    <w:rsid w:val="00D756E7"/>
    <w:rsid w:val="00E776EC"/>
    <w:rsid w:val="00EC0E95"/>
    <w:rsid w:val="00EE4C19"/>
    <w:rsid w:val="00F94383"/>
    <w:rsid w:val="00F958E2"/>
    <w:rsid w:val="43CD05A1"/>
    <w:rsid w:val="55137C8A"/>
    <w:rsid w:val="5D605DC4"/>
    <w:rsid w:val="6E4B3D0E"/>
    <w:rsid w:val="6F9750A7"/>
    <w:rsid w:val="7D492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H Yb 2gj" w:hAnsi="Calibri" w:eastAsia="H Yb 2gj" w:cs="H Yb 2gj"/>
      <w:color w:val="000000"/>
      <w:sz w:val="24"/>
      <w:szCs w:val="24"/>
      <w:lang w:val="en-US" w:eastAsia="zh-CN" w:bidi="ar-SA"/>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页眉 Char"/>
    <w:basedOn w:val="7"/>
    <w:link w:val="4"/>
    <w:uiPriority w:val="99"/>
    <w:rPr>
      <w:sz w:val="18"/>
      <w:szCs w:val="18"/>
    </w:rPr>
  </w:style>
  <w:style w:type="character" w:customStyle="1" w:styleId="9">
    <w:name w:val="页脚 Char"/>
    <w:basedOn w:val="7"/>
    <w:link w:val="3"/>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508</Words>
  <Characters>2898</Characters>
  <Lines>24</Lines>
  <Paragraphs>6</Paragraphs>
  <TotalTime>7</TotalTime>
  <ScaleCrop>false</ScaleCrop>
  <LinksUpToDate>false</LinksUpToDate>
  <CharactersWithSpaces>3400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2020-03-05T07:52:00Z</dcterms:created>
  <dc:creator>杨 微石</dc:creator>
  <cp:lastModifiedBy>null</cp:lastModifiedBy>
  <dcterms:modified xsi:type="dcterms:W3CDTF">2021-02-09T03:04:23Z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