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宋体" w:eastAsia="黑体"/>
          <w:sz w:val="32"/>
          <w:szCs w:val="32"/>
        </w:rPr>
      </w:pPr>
      <w:bookmarkStart w:id="0" w:name="_Hlk62636033"/>
      <w:r>
        <w:rPr>
          <w:rFonts w:hint="eastAsia" w:ascii="黑体" w:hAnsi="宋体" w:eastAsia="黑体"/>
          <w:sz w:val="32"/>
          <w:szCs w:val="32"/>
        </w:rPr>
        <w:t>深圳市全类型自然资源资产清查统计与评估核算</w:t>
      </w:r>
    </w:p>
    <w:p>
      <w:pPr>
        <w:jc w:val="center"/>
        <w:rPr>
          <w:rFonts w:ascii="黑体" w:hAnsi="宋体" w:eastAsia="黑体"/>
          <w:sz w:val="18"/>
          <w:szCs w:val="18"/>
        </w:rPr>
      </w:pPr>
      <w:r>
        <w:rPr>
          <w:rFonts w:hint="eastAsia" w:ascii="黑体" w:hAnsi="宋体" w:eastAsia="黑体"/>
          <w:sz w:val="32"/>
          <w:szCs w:val="32"/>
        </w:rPr>
        <w:t>（不含深汕合作区）</w:t>
      </w:r>
      <w:bookmarkEnd w:id="0"/>
      <w:r>
        <w:rPr>
          <w:rFonts w:hint="eastAsia" w:ascii="黑体" w:hAnsi="宋体" w:eastAsia="黑体"/>
          <w:sz w:val="32"/>
          <w:szCs w:val="32"/>
        </w:rPr>
        <w:t>采购需求文件</w:t>
      </w:r>
    </w:p>
    <w:tbl>
      <w:tblPr>
        <w:tblStyle w:val="5"/>
        <w:tblW w:w="1001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
        <w:gridCol w:w="1700"/>
        <w:gridCol w:w="3844"/>
        <w:gridCol w:w="1640"/>
        <w:gridCol w:w="2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28" w:type="dxa"/>
            <w:gridSpan w:val="2"/>
            <w:shd w:val="clear" w:color="auto" w:fill="auto"/>
            <w:vAlign w:val="center"/>
          </w:tcPr>
          <w:p>
            <w:pPr>
              <w:jc w:val="center"/>
            </w:pPr>
            <w:r>
              <w:rPr>
                <w:rFonts w:hint="eastAsia"/>
              </w:rPr>
              <w:t>项目名称</w:t>
            </w:r>
          </w:p>
        </w:tc>
        <w:tc>
          <w:tcPr>
            <w:tcW w:w="3844" w:type="dxa"/>
            <w:shd w:val="clear" w:color="auto" w:fill="auto"/>
            <w:vAlign w:val="center"/>
          </w:tcPr>
          <w:p>
            <w:pPr>
              <w:jc w:val="center"/>
            </w:pPr>
            <w:r>
              <w:rPr>
                <w:rFonts w:hint="eastAsia"/>
              </w:rPr>
              <w:t>深圳市全类型自然资源资产清查统计与评估核算（不含深汕合作区）</w:t>
            </w:r>
          </w:p>
        </w:tc>
        <w:tc>
          <w:tcPr>
            <w:tcW w:w="1640" w:type="dxa"/>
            <w:shd w:val="clear" w:color="auto" w:fill="auto"/>
            <w:vAlign w:val="center"/>
          </w:tcPr>
          <w:p>
            <w:pPr>
              <w:jc w:val="center"/>
            </w:pPr>
            <w:r>
              <w:t>采购类型</w:t>
            </w:r>
          </w:p>
        </w:tc>
        <w:tc>
          <w:tcPr>
            <w:tcW w:w="2398" w:type="dxa"/>
            <w:shd w:val="clear" w:color="auto" w:fill="auto"/>
            <w:vAlign w:val="center"/>
          </w:tcPr>
          <w:p>
            <w:pPr>
              <w:jc w:val="center"/>
            </w:pPr>
            <w:r>
              <w:rPr>
                <w:rFonts w:hint="eastAsia"/>
              </w:rPr>
              <w:t>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28" w:type="dxa"/>
            <w:gridSpan w:val="2"/>
            <w:shd w:val="clear" w:color="auto" w:fill="auto"/>
            <w:vAlign w:val="center"/>
          </w:tcPr>
          <w:p>
            <w:pPr>
              <w:jc w:val="center"/>
            </w:pPr>
            <w:r>
              <w:rPr>
                <w:rFonts w:hint="eastAsia"/>
              </w:rPr>
              <w:t>采购人名称</w:t>
            </w:r>
          </w:p>
        </w:tc>
        <w:tc>
          <w:tcPr>
            <w:tcW w:w="3844" w:type="dxa"/>
            <w:shd w:val="clear" w:color="auto" w:fill="auto"/>
            <w:vAlign w:val="center"/>
          </w:tcPr>
          <w:p>
            <w:pPr>
              <w:jc w:val="center"/>
            </w:pPr>
            <w:r>
              <w:rPr>
                <w:rFonts w:hint="eastAsia"/>
              </w:rPr>
              <w:t>深圳市规划和自然资源局</w:t>
            </w:r>
          </w:p>
        </w:tc>
        <w:tc>
          <w:tcPr>
            <w:tcW w:w="1640" w:type="dxa"/>
            <w:shd w:val="clear" w:color="auto" w:fill="auto"/>
            <w:vAlign w:val="center"/>
          </w:tcPr>
          <w:p>
            <w:pPr>
              <w:jc w:val="center"/>
            </w:pPr>
            <w:r>
              <w:t>采购方式</w:t>
            </w:r>
          </w:p>
        </w:tc>
        <w:tc>
          <w:tcPr>
            <w:tcW w:w="2398" w:type="dxa"/>
            <w:shd w:val="clear" w:color="auto" w:fill="auto"/>
            <w:vAlign w:val="center"/>
          </w:tcPr>
          <w:p>
            <w:pPr>
              <w:jc w:val="center"/>
            </w:pPr>
            <w:r>
              <w:rPr>
                <w:rFonts w:hint="eastAsia"/>
              </w:rPr>
              <w:t>单一来源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28" w:type="dxa"/>
            <w:gridSpan w:val="2"/>
            <w:shd w:val="clear" w:color="auto" w:fill="auto"/>
            <w:vAlign w:val="center"/>
          </w:tcPr>
          <w:p>
            <w:pPr>
              <w:jc w:val="center"/>
            </w:pPr>
            <w:r>
              <w:rPr>
                <w:rFonts w:hint="eastAsia"/>
              </w:rPr>
              <w:t>财政预算限额（元）</w:t>
            </w:r>
          </w:p>
        </w:tc>
        <w:tc>
          <w:tcPr>
            <w:tcW w:w="7882" w:type="dxa"/>
            <w:gridSpan w:val="3"/>
            <w:shd w:val="clear" w:color="auto" w:fill="auto"/>
            <w:vAlign w:val="center"/>
          </w:tcPr>
          <w:p>
            <w:pPr>
              <w:jc w:val="center"/>
              <w:rPr>
                <w:rFonts w:hint="eastAsia" w:eastAsia="宋体"/>
                <w:lang w:val="en-US" w:eastAsia="zh-CN"/>
              </w:rPr>
            </w:pPr>
            <w:r>
              <w:rPr>
                <w:rFonts w:hint="default"/>
                <w:lang w:val="en-US" w:eastAsia="zh-CN"/>
              </w:rPr>
              <w:t>3357</w:t>
            </w:r>
            <w:r>
              <w:rPr>
                <w:rFonts w:hint="default"/>
              </w:rPr>
              <w:t>万</w:t>
            </w:r>
            <w:r>
              <w:rPr>
                <w:rFonts w:hint="default"/>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8" w:hRule="atLeast"/>
        </w:trPr>
        <w:tc>
          <w:tcPr>
            <w:tcW w:w="2128" w:type="dxa"/>
            <w:gridSpan w:val="2"/>
            <w:shd w:val="clear" w:color="auto" w:fill="auto"/>
            <w:vAlign w:val="center"/>
          </w:tcPr>
          <w:p>
            <w:pPr>
              <w:jc w:val="center"/>
            </w:pPr>
            <w:r>
              <w:rPr>
                <w:rFonts w:hint="eastAsia"/>
              </w:rPr>
              <w:t>项目背景</w:t>
            </w:r>
          </w:p>
        </w:tc>
        <w:tc>
          <w:tcPr>
            <w:tcW w:w="7882" w:type="dxa"/>
            <w:gridSpan w:val="3"/>
            <w:shd w:val="clear" w:color="auto" w:fill="auto"/>
          </w:tcPr>
          <w:p>
            <w:pPr>
              <w:ind w:firstLine="482"/>
            </w:pPr>
            <w:r>
              <w:rPr>
                <w:rFonts w:hint="eastAsia"/>
              </w:rPr>
              <w:t>1．国家自然资源资产产权制度改革需要</w:t>
            </w:r>
          </w:p>
          <w:p>
            <w:pPr>
              <w:ind w:firstLine="420" w:firstLineChars="200"/>
            </w:pPr>
            <w:r>
              <w:t>为加快健全自然资源资产产权制度，进一步推动生态文明建设</w:t>
            </w:r>
            <w:r>
              <w:rPr>
                <w:rFonts w:hint="eastAsia"/>
              </w:rPr>
              <w:t>，中共中央办公厅、国务院办公厅于2019年4月14日印发了《关于统筹推进自然资源资产产权制度改革的指导意见》，要求“</w:t>
            </w:r>
            <w:r>
              <w:t>研究建立自然资源资产核算评价制度，开展实物量统计，探索价值量核算</w:t>
            </w:r>
            <w:r>
              <w:rPr>
                <w:rFonts w:hint="eastAsia"/>
              </w:rPr>
              <w:t>”，并提出完善自然资源资产分等定级价格评估制度，促进自然资源资产集约开发利用，同时将编制自然资源资产负债表/平衡表作为需要深入开展的重大问题。2019年8月，中</w:t>
            </w:r>
            <w:r>
              <w:t>共中央国务院印发</w:t>
            </w:r>
            <w:r>
              <w:rPr>
                <w:rFonts w:hint="eastAsia"/>
              </w:rPr>
              <w:t>《关于支持深圳建设中国特色社会主义先行示范区的意见》，提出“支持深圳加快建设全球海洋中心城市；构建以绿色发展为导向的生态文明评价考核体系，探索实施生态系统服务价值核算制度”，对我市海洋资源的综合利用与评价考核提出了更高要求。实现上述目标的前提条件都需要首先摸清自然资源资产家底，掌握自然资源资产的数量、质量和价值量等信息，需要自然资源资产清查统计与评估核算技术的全方位支撑。</w:t>
            </w:r>
          </w:p>
          <w:p>
            <w:pPr>
              <w:ind w:firstLine="482"/>
            </w:pPr>
            <w:r>
              <w:rPr>
                <w:rFonts w:hint="eastAsia"/>
              </w:rPr>
              <w:t>2．自然资源部所有者权益司管理工作需要</w:t>
            </w:r>
          </w:p>
          <w:p>
            <w:pPr>
              <w:ind w:firstLine="447" w:firstLineChars="213"/>
            </w:pPr>
            <w:r>
              <w:rPr>
                <w:rFonts w:hint="eastAsia"/>
              </w:rPr>
              <w:t>根据《自然资源部自然资源所有者权益司关于印发&lt;自然资源所有者权益司2019年度工作安排&gt;的函》（自然资权益函[2019]13号）中明确提出“建立全民所有自然资源资产清查统计制度，摸清自然资源资产家底；建立健全全民所有自然资源资产管理平台和信息系统，研究制定自然资源资产负债表/平衡表试点工作方案。编制全民所有自然资源资产清单，研究建立全民所有自然资源资产评价考核体系”。该工作安排对未来几年的权益工作重点内容作出了明确指示。同时，在时间进度方面，该工作安排明确指出到2022年，基本摸清全民所有自然资源资产家底，进一步实现全民所有自然资源资产的经济价值、生态价值和社会价值。因此，我市有必要在2022年之前开展全市全类型自然资源资产清查统计与评估核算工作，摸清我市自然资源资产家底。</w:t>
            </w:r>
          </w:p>
          <w:p>
            <w:pPr>
              <w:ind w:firstLine="482"/>
            </w:pPr>
            <w:r>
              <w:rPr>
                <w:rFonts w:hint="eastAsia"/>
              </w:rPr>
              <w:t>3．省自然资源厅工作安排和部署的需要</w:t>
            </w:r>
          </w:p>
          <w:p>
            <w:pPr>
              <w:ind w:firstLine="420" w:firstLineChars="200"/>
            </w:pPr>
            <w:r>
              <w:rPr>
                <w:rFonts w:hint="eastAsia"/>
              </w:rPr>
              <w:t>为落实自然资源部工作要求，省厅于2020年2月下发了《广东省自然资源厅办公室关于印发2020年自然资源所有者权益工作要点的通知》（粤自然资办函[2020]24号）。《通知》提出“开展全民所有自然资源资产权益管理专题研究”，重点包括自然资源资产核算、全民所有自然资源资产负债表/平衡表编制和全民所有自然资源考核评价指标体系等内容。《通知》还提出“</w:t>
            </w:r>
            <w:r>
              <w:t>探索开展生态产品价值实现机制研究</w:t>
            </w:r>
            <w:r>
              <w:rPr>
                <w:rFonts w:hint="eastAsia"/>
              </w:rPr>
              <w:t>”，强调了生态价值核算的重要性。因此，为贯彻落实《通知》要求，我市非常有必要开展全市全类型自然资源资产清查统计与评估核算工作。</w:t>
            </w:r>
          </w:p>
          <w:p>
            <w:pPr>
              <w:ind w:firstLine="420" w:firstLineChars="200"/>
            </w:pPr>
            <w:r>
              <w:rPr>
                <w:rFonts w:hint="eastAsia"/>
              </w:rPr>
              <w:t>为更好的完成《通知》要求，根据省厅统一安排，我市在2020年相继参与了自然资源部和省厅“国有土地资源资产中观核算”和“龙岗区全民所有自然资源资产清查试点”两个前期探索性研究项目，落实“探索形成可复制、可推广的全民所有自然资源资产清查技术路线和工作方法”的试点工作目标，为今后全市全面开展自然资源资产清查奠定工作基础。</w:t>
            </w:r>
          </w:p>
          <w:p>
            <w:pPr>
              <w:ind w:firstLine="482"/>
            </w:pPr>
            <w:r>
              <w:rPr>
                <w:rFonts w:hint="eastAsia"/>
              </w:rPr>
              <w:t>4．深圳市推进粤港澳大湾区建设发展需要</w:t>
            </w:r>
          </w:p>
          <w:p>
            <w:pPr>
              <w:ind w:firstLine="420" w:firstLineChars="200"/>
            </w:pPr>
            <w:r>
              <w:rPr>
                <w:rFonts w:hint="eastAsia"/>
              </w:rPr>
              <w:t>粤港澳大湾区建设是习近平总书记亲自谋划、亲自部署、亲自推动的国家战略，是新时代推动形成全面开放新格局的新尝试，更新深圳新时期最重要的发展机遇。为全面贯彻落实《粤港澳大湾区发展规划纲要》，推动重点建设任务落地见效，按照中央和省的部署，深圳举全市之力推进粤港澳大湾区建设，制定了《深圳市贯彻落实</w:t>
            </w:r>
            <w:r>
              <w:t>&lt;</w:t>
            </w:r>
            <w:r>
              <w:rPr>
                <w:rFonts w:hint="eastAsia"/>
              </w:rPr>
              <w:t>粤港澳大湾区规划纲要</w:t>
            </w:r>
            <w:r>
              <w:t>&gt;</w:t>
            </w:r>
            <w:r>
              <w:rPr>
                <w:rFonts w:hint="eastAsia"/>
              </w:rPr>
              <w:t>三年行动方案（</w:t>
            </w:r>
            <w:r>
              <w:t>2018</w:t>
            </w:r>
            <w:r>
              <w:rPr>
                <w:rFonts w:hint="eastAsia"/>
              </w:rPr>
              <w:t>—</w:t>
            </w:r>
            <w:r>
              <w:t xml:space="preserve">2020 </w:t>
            </w:r>
            <w:r>
              <w:rPr>
                <w:rFonts w:hint="eastAsia"/>
              </w:rPr>
              <w:t>年）》，该方案也明确提出“建立自然资源开发使用成本评估机制，将资源所有者权益和生态环境损害等纳入价格形成机制。率先在全市范围推广自然资源资产负债表/平衡表，探索全市自然资源资产数据采集，建立自然资源资产核算体系，定期评估自然资源资产变化状况”。2019年12月，深圳市第六届人民代表大会常务委员会第三十七次会议通过《深圳经济特区海域使用管理条例》，《条例》第四条提出“建立海洋资源调查、监测和评估制度，对海洋资源和生态状况进行综合评价”。此外，“建立全民所有自然资源资产统计制度，承担自然资源资产价值评估和资产核算工作，组织编制全民所有自然资源资产负债表/平衡表”也是我局的法定职能。综上所述，当前非常有必要开展深圳市全类型自然资源资产清查统计与评估核算工作，摸清全市自然资源资产家底，为推进我市大湾区建设作出积极贡献。</w:t>
            </w:r>
          </w:p>
          <w:p>
            <w:pPr>
              <w:ind w:firstLine="422" w:firstLineChars="200"/>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68" w:hRule="atLeast"/>
        </w:trPr>
        <w:tc>
          <w:tcPr>
            <w:tcW w:w="428" w:type="dxa"/>
            <w:shd w:val="clear" w:color="auto" w:fill="auto"/>
            <w:vAlign w:val="center"/>
          </w:tcPr>
          <w:p>
            <w:pPr>
              <w:jc w:val="center"/>
            </w:pPr>
            <w:r>
              <w:rPr>
                <w:rFonts w:hint="eastAsia" w:ascii="宋体" w:hAnsi="宋体" w:cs="宋体"/>
                <w:kern w:val="0"/>
                <w:szCs w:val="21"/>
              </w:rPr>
              <w:t>投标人资质要求</w:t>
            </w:r>
          </w:p>
        </w:tc>
        <w:tc>
          <w:tcPr>
            <w:tcW w:w="9582" w:type="dxa"/>
            <w:gridSpan w:val="4"/>
            <w:shd w:val="clear" w:color="auto" w:fill="auto"/>
          </w:tcPr>
          <w:p>
            <w:pPr>
              <w:ind w:firstLine="420" w:firstLineChars="200"/>
              <w:rPr>
                <w:kern w:val="0"/>
                <w:szCs w:val="21"/>
              </w:rPr>
            </w:pPr>
            <w:r>
              <w:rPr>
                <w:rFonts w:hint="eastAsia"/>
                <w:kern w:val="0"/>
                <w:szCs w:val="21"/>
              </w:rPr>
              <w:t xml:space="preserve">1. </w:t>
            </w:r>
            <w:r>
              <w:rPr>
                <w:kern w:val="0"/>
                <w:szCs w:val="21"/>
              </w:rPr>
              <w:t>投标人须为具有合法经营资格的独立法人或非法人组织；非深圳市注册的投标人需在深圳市具有合法登记的分支机构及固定的场所和服务人员。</w:t>
            </w:r>
          </w:p>
          <w:p>
            <w:pPr>
              <w:ind w:firstLine="420" w:firstLineChars="200"/>
              <w:rPr>
                <w:kern w:val="0"/>
                <w:szCs w:val="21"/>
              </w:rPr>
            </w:pPr>
            <w:r>
              <w:rPr>
                <w:rFonts w:hint="eastAsia"/>
                <w:kern w:val="0"/>
                <w:szCs w:val="21"/>
              </w:rPr>
              <w:t xml:space="preserve">2. </w:t>
            </w:r>
            <w:r>
              <w:rPr>
                <w:kern w:val="0"/>
                <w:szCs w:val="21"/>
              </w:rPr>
              <w:t>投标人必须具有深圳市政府采购注册供应商资格，并提供深圳市政府采购供应商注册卡复印件。</w:t>
            </w:r>
          </w:p>
          <w:p>
            <w:pPr>
              <w:ind w:firstLine="420" w:firstLineChars="200"/>
              <w:rPr>
                <w:kern w:val="0"/>
                <w:szCs w:val="21"/>
              </w:rPr>
            </w:pPr>
            <w:r>
              <w:rPr>
                <w:rFonts w:hint="eastAsia"/>
                <w:kern w:val="0"/>
                <w:szCs w:val="21"/>
              </w:rPr>
              <w:t xml:space="preserve">3. </w:t>
            </w:r>
            <w:r>
              <w:rPr>
                <w:kern w:val="0"/>
                <w:szCs w:val="21"/>
              </w:rPr>
              <w:t>具有独立承担民事责任的能力。</w:t>
            </w:r>
          </w:p>
          <w:p>
            <w:pPr>
              <w:ind w:firstLine="420" w:firstLineChars="200"/>
              <w:rPr>
                <w:rFonts w:hint="eastAsia" w:ascii="宋体" w:hAnsi="宋体" w:cs="宋体"/>
                <w:kern w:val="0"/>
                <w:szCs w:val="21"/>
              </w:rPr>
            </w:pPr>
            <w:r>
              <w:rPr>
                <w:rFonts w:hint="eastAsia"/>
                <w:kern w:val="0"/>
                <w:szCs w:val="21"/>
              </w:rPr>
              <w:t xml:space="preserve">4. </w:t>
            </w:r>
            <w:r>
              <w:rPr>
                <w:rFonts w:hint="eastAsia" w:ascii="宋体" w:hAnsi="宋体" w:cs="宋体"/>
                <w:kern w:val="0"/>
                <w:szCs w:val="21"/>
              </w:rPr>
              <w:t>近三年内无行贿犯罪记录（由采购中心定期向市人民检察院申请对政府采购供应商库中注册有效的供应商进行集中查询，投标文件中无需提供证明材料）。</w:t>
            </w:r>
          </w:p>
          <w:p>
            <w:pPr>
              <w:ind w:firstLine="400" w:firstLineChars="200"/>
              <w:rPr>
                <w:rFonts w:ascii="宋体" w:hAnsi="宋体" w:cs="宋体"/>
                <w:kern w:val="0"/>
                <w:szCs w:val="21"/>
              </w:rPr>
            </w:pPr>
            <w:r>
              <w:rPr>
                <w:rFonts w:hint="eastAsia"/>
                <w:kern w:val="0"/>
                <w:sz w:val="20"/>
                <w:szCs w:val="18"/>
              </w:rPr>
              <w:t xml:space="preserve">5. </w:t>
            </w:r>
            <w:r>
              <w:rPr>
                <w:kern w:val="0"/>
                <w:szCs w:val="21"/>
              </w:rPr>
              <w:t>投标文件中必须签署《政府采购投标及履约承诺函》。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trPr>
        <w:tc>
          <w:tcPr>
            <w:tcW w:w="428" w:type="dxa"/>
            <w:shd w:val="clear" w:color="auto" w:fill="auto"/>
          </w:tcPr>
          <w:p>
            <w:pPr>
              <w:jc w:val="center"/>
              <w:rPr>
                <w:rFonts w:ascii="宋体" w:hAnsi="宋体" w:cs="宋体"/>
                <w:kern w:val="0"/>
                <w:szCs w:val="21"/>
              </w:rPr>
            </w:pPr>
            <w:r>
              <w:rPr>
                <w:rFonts w:hint="eastAsia" w:ascii="宋体" w:hAnsi="宋体" w:cs="宋体"/>
                <w:kern w:val="0"/>
                <w:szCs w:val="21"/>
              </w:rPr>
              <w:t>需求内容</w:t>
            </w:r>
          </w:p>
        </w:tc>
        <w:tc>
          <w:tcPr>
            <w:tcW w:w="9582" w:type="dxa"/>
            <w:gridSpan w:val="4"/>
            <w:shd w:val="clear" w:color="auto" w:fill="auto"/>
          </w:tcPr>
          <w:tbl>
            <w:tblPr>
              <w:tblStyle w:val="5"/>
              <w:tblW w:w="9080" w:type="dxa"/>
              <w:jc w:val="center"/>
              <w:tblInd w:w="0" w:type="dxa"/>
              <w:tblLayout w:type="fixed"/>
              <w:tblCellMar>
                <w:top w:w="0" w:type="dxa"/>
                <w:left w:w="108" w:type="dxa"/>
                <w:bottom w:w="0" w:type="dxa"/>
                <w:right w:w="108" w:type="dxa"/>
              </w:tblCellMar>
            </w:tblPr>
            <w:tblGrid>
              <w:gridCol w:w="1080"/>
              <w:gridCol w:w="880"/>
              <w:gridCol w:w="2537"/>
              <w:gridCol w:w="851"/>
              <w:gridCol w:w="708"/>
              <w:gridCol w:w="993"/>
              <w:gridCol w:w="2031"/>
            </w:tblGrid>
            <w:tr>
              <w:tblPrEx>
                <w:tblLayout w:type="fixed"/>
                <w:tblCellMar>
                  <w:top w:w="0" w:type="dxa"/>
                  <w:left w:w="108" w:type="dxa"/>
                  <w:bottom w:w="0" w:type="dxa"/>
                  <w:right w:w="108" w:type="dxa"/>
                </w:tblCellMar>
              </w:tblPrEx>
              <w:trPr>
                <w:trHeight w:val="51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序号</w:t>
                  </w:r>
                </w:p>
              </w:tc>
              <w:tc>
                <w:tcPr>
                  <w:tcW w:w="8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采购计划编号</w:t>
                  </w:r>
                </w:p>
              </w:tc>
              <w:tc>
                <w:tcPr>
                  <w:tcW w:w="253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需求内容</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数量</w:t>
                  </w: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单位</w:t>
                  </w:r>
                </w:p>
              </w:tc>
              <w:tc>
                <w:tcPr>
                  <w:tcW w:w="9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备注</w:t>
                  </w:r>
                </w:p>
              </w:tc>
              <w:tc>
                <w:tcPr>
                  <w:tcW w:w="203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财政预算限额（元）</w:t>
                  </w:r>
                </w:p>
              </w:tc>
            </w:tr>
            <w:tr>
              <w:tblPrEx>
                <w:tblLayout w:type="fixed"/>
                <w:tblCellMar>
                  <w:top w:w="0" w:type="dxa"/>
                  <w:left w:w="108" w:type="dxa"/>
                  <w:bottom w:w="0" w:type="dxa"/>
                  <w:right w:w="108" w:type="dxa"/>
                </w:tblCellMar>
              </w:tblPrEx>
              <w:trPr>
                <w:trHeight w:val="510" w:hRule="atLeast"/>
                <w:jc w:val="center"/>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color w:val="000000"/>
                      <w:kern w:val="0"/>
                      <w:szCs w:val="21"/>
                    </w:rPr>
                  </w:pPr>
                  <w:r>
                    <w:rPr>
                      <w:color w:val="000000"/>
                      <w:kern w:val="0"/>
                      <w:szCs w:val="21"/>
                    </w:rPr>
                    <w:t>1</w:t>
                  </w:r>
                </w:p>
              </w:tc>
              <w:tc>
                <w:tcPr>
                  <w:tcW w:w="880" w:type="dxa"/>
                  <w:tcBorders>
                    <w:top w:val="nil"/>
                    <w:left w:val="single" w:color="auto" w:sz="4" w:space="0"/>
                    <w:bottom w:val="single" w:color="auto" w:sz="4" w:space="0"/>
                    <w:right w:val="single" w:color="auto" w:sz="4" w:space="0"/>
                  </w:tcBorders>
                  <w:shd w:val="clear" w:color="auto" w:fill="auto"/>
                  <w:vAlign w:val="center"/>
                </w:tcPr>
                <w:p>
                  <w:pPr>
                    <w:widowControl/>
                    <w:jc w:val="center"/>
                    <w:rPr>
                      <w:color w:val="000000"/>
                      <w:kern w:val="0"/>
                      <w:szCs w:val="21"/>
                    </w:rPr>
                  </w:pPr>
                </w:p>
              </w:tc>
              <w:tc>
                <w:tcPr>
                  <w:tcW w:w="2537" w:type="dxa"/>
                  <w:tcBorders>
                    <w:top w:val="nil"/>
                    <w:left w:val="nil"/>
                    <w:bottom w:val="single" w:color="auto" w:sz="4" w:space="0"/>
                    <w:right w:val="single" w:color="auto" w:sz="4" w:space="0"/>
                  </w:tcBorders>
                  <w:shd w:val="clear" w:color="auto" w:fill="auto"/>
                  <w:vAlign w:val="center"/>
                </w:tcPr>
                <w:p>
                  <w:pPr>
                    <w:widowControl/>
                    <w:jc w:val="center"/>
                    <w:rPr>
                      <w:color w:val="000000"/>
                      <w:kern w:val="0"/>
                      <w:szCs w:val="21"/>
                    </w:rPr>
                  </w:pPr>
                  <w:r>
                    <w:t>深圳市</w:t>
                  </w:r>
                  <w:r>
                    <w:rPr>
                      <w:rFonts w:hint="eastAsia"/>
                    </w:rPr>
                    <w:t>全类型自然资源资产清查统计与评估核算（不含深汕合作区）</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color w:val="000000"/>
                      <w:kern w:val="0"/>
                      <w:szCs w:val="21"/>
                    </w:rPr>
                  </w:pPr>
                  <w:r>
                    <w:rPr>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color w:val="000000"/>
                      <w:kern w:val="0"/>
                      <w:szCs w:val="21"/>
                    </w:rPr>
                  </w:pPr>
                  <w:r>
                    <w:rPr>
                      <w:color w:val="000000"/>
                      <w:kern w:val="0"/>
                      <w:szCs w:val="21"/>
                    </w:rPr>
                    <w:t>项</w:t>
                  </w:r>
                </w:p>
              </w:tc>
              <w:tc>
                <w:tcPr>
                  <w:tcW w:w="993" w:type="dxa"/>
                  <w:tcBorders>
                    <w:top w:val="nil"/>
                    <w:left w:val="nil"/>
                    <w:bottom w:val="single" w:color="auto" w:sz="4" w:space="0"/>
                    <w:right w:val="single" w:color="auto" w:sz="4" w:space="0"/>
                  </w:tcBorders>
                  <w:shd w:val="clear" w:color="auto" w:fill="auto"/>
                  <w:vAlign w:val="center"/>
                </w:tcPr>
                <w:p>
                  <w:pPr>
                    <w:widowControl/>
                    <w:jc w:val="center"/>
                    <w:rPr>
                      <w:color w:val="000000"/>
                      <w:kern w:val="0"/>
                      <w:szCs w:val="21"/>
                    </w:rPr>
                  </w:pPr>
                </w:p>
              </w:tc>
              <w:tc>
                <w:tcPr>
                  <w:tcW w:w="2031" w:type="dxa"/>
                  <w:tcBorders>
                    <w:top w:val="nil"/>
                    <w:left w:val="single" w:color="auto" w:sz="4" w:space="0"/>
                    <w:bottom w:val="single" w:color="auto" w:sz="4" w:space="0"/>
                    <w:right w:val="single" w:color="auto" w:sz="4" w:space="0"/>
                  </w:tcBorders>
                  <w:shd w:val="clear" w:color="auto" w:fill="auto"/>
                  <w:vAlign w:val="center"/>
                </w:tcPr>
                <w:p>
                  <w:pPr>
                    <w:widowControl/>
                    <w:jc w:val="center"/>
                    <w:rPr>
                      <w:color w:val="000000"/>
                      <w:kern w:val="0"/>
                      <w:szCs w:val="21"/>
                    </w:rPr>
                  </w:pPr>
                  <w:r>
                    <w:rPr>
                      <w:rFonts w:hint="default"/>
                      <w:lang w:val="en-US" w:eastAsia="zh-CN"/>
                    </w:rPr>
                    <w:t>3357</w:t>
                  </w:r>
                  <w:r>
                    <w:rPr>
                      <w:rFonts w:hint="default"/>
                    </w:rPr>
                    <w:t>万</w:t>
                  </w:r>
                </w:p>
              </w:tc>
            </w:tr>
          </w:tb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4" w:hRule="atLeast"/>
        </w:trPr>
        <w:tc>
          <w:tcPr>
            <w:tcW w:w="428" w:type="dxa"/>
            <w:shd w:val="clear" w:color="auto" w:fill="auto"/>
          </w:tcPr>
          <w:p>
            <w:pPr>
              <w:jc w:val="center"/>
              <w:rPr>
                <w:rFonts w:ascii="宋体" w:hAnsi="宋体" w:cs="宋体"/>
                <w:kern w:val="0"/>
                <w:szCs w:val="21"/>
              </w:rPr>
            </w:pPr>
            <w:bookmarkStart w:id="1" w:name="_Hlk62635951"/>
            <w:r>
              <w:rPr>
                <w:rFonts w:hint="eastAsia" w:ascii="宋体" w:hAnsi="宋体" w:cs="宋体"/>
                <w:kern w:val="0"/>
                <w:szCs w:val="21"/>
              </w:rPr>
              <w:t>具体技术要求</w:t>
            </w:r>
          </w:p>
        </w:tc>
        <w:tc>
          <w:tcPr>
            <w:tcW w:w="9582" w:type="dxa"/>
            <w:gridSpan w:val="4"/>
            <w:shd w:val="clear" w:color="auto" w:fill="auto"/>
          </w:tcPr>
          <w:p>
            <w:pPr>
              <w:spacing w:line="276" w:lineRule="auto"/>
              <w:ind w:firstLine="420" w:firstLineChars="200"/>
            </w:pPr>
            <w:r>
              <w:rPr>
                <w:rFonts w:hint="eastAsia"/>
              </w:rPr>
              <w:t>注意：提供服务总体要求、服务标的（如人员、车辆、检测对象、管理对象）数量情况、详细具体的服务需求内容及工作量情况（以能给供应商准确的报价依据，使不同供应商的项目报价不至于差距过大作为判断需求“详细具体”的标准）</w:t>
            </w:r>
          </w:p>
          <w:p>
            <w:pPr>
              <w:spacing w:line="276" w:lineRule="auto"/>
              <w:ind w:firstLine="422" w:firstLineChars="200"/>
              <w:rPr>
                <w:rFonts w:ascii="宋体" w:hAnsi="宋体"/>
                <w:b/>
                <w:szCs w:val="21"/>
              </w:rPr>
            </w:pPr>
            <w:r>
              <w:rPr>
                <w:rFonts w:hint="eastAsia" w:ascii="宋体" w:hAnsi="宋体"/>
                <w:b/>
                <w:szCs w:val="21"/>
              </w:rPr>
              <w:t>一、总体要求</w:t>
            </w:r>
          </w:p>
          <w:p>
            <w:pPr>
              <w:spacing w:line="276" w:lineRule="auto"/>
              <w:ind w:firstLine="420" w:firstLineChars="200"/>
            </w:pPr>
            <w:r>
              <w:rPr>
                <w:rFonts w:hint="eastAsia"/>
              </w:rPr>
              <w:t xml:space="preserve">1. </w:t>
            </w:r>
            <w:r>
              <w:rPr>
                <w:rFonts w:hint="eastAsia" w:ascii="宋体" w:hAnsi="宋体"/>
                <w:bCs/>
              </w:rPr>
              <w:t>以中共中央、国务院、自然资源部、市委、市政府、设定的相关目标为工作方向；</w:t>
            </w:r>
          </w:p>
          <w:p>
            <w:pPr>
              <w:ind w:firstLine="420" w:firstLineChars="200"/>
            </w:pPr>
            <w:r>
              <w:rPr>
                <w:rFonts w:hint="eastAsia"/>
              </w:rPr>
              <w:t>2. 项目成果要严格依照国家颁布的有关法律、法规及政策要求，符合相关的技术规范和标准；</w:t>
            </w:r>
          </w:p>
          <w:p>
            <w:pPr>
              <w:ind w:firstLine="420" w:firstLineChars="200"/>
            </w:pPr>
            <w:r>
              <w:rPr>
                <w:rFonts w:hint="eastAsia"/>
              </w:rPr>
              <w:t>3. 项目成果应做到规则制定科学合理，符合深圳实际情况，便于理解且具有可操作性。</w:t>
            </w:r>
          </w:p>
          <w:p>
            <w:pPr>
              <w:ind w:firstLine="420" w:firstLineChars="200"/>
              <w:rPr>
                <w:color w:val="000000"/>
              </w:rPr>
            </w:pPr>
            <w:r>
              <w:rPr>
                <w:rFonts w:hint="eastAsia"/>
              </w:rPr>
              <w:t>4. 通过本项目的实施，基本摸清市域范围内全民所有土地、森林、湿地、矿产、水和海洋自然资源资产家底，为推动生态文明建设提供有力支撑；建立完善的全民所有自然资源资产负债表/平衡表体系，为自然资源资产科学管理与评价考核标准制定提供有力支撑；建立自然资源资产价值评估核算系统，为提高评估核算效率、保障核算结果质量提供有力支撑；拓展评估核算及负债表/平衡表等成果的应用途径，为推动“两山转化”的深圳实践提供有力支撑。</w:t>
            </w:r>
          </w:p>
          <w:p>
            <w:pPr>
              <w:spacing w:line="276" w:lineRule="auto"/>
              <w:ind w:firstLine="422" w:firstLineChars="200"/>
              <w:rPr>
                <w:b/>
              </w:rPr>
            </w:pPr>
            <w:r>
              <w:rPr>
                <w:rFonts w:hint="eastAsia"/>
                <w:b/>
              </w:rPr>
              <w:t>二、同类项目经验要求</w:t>
            </w:r>
          </w:p>
          <w:p>
            <w:pPr>
              <w:spacing w:line="276" w:lineRule="auto"/>
              <w:ind w:firstLine="420" w:firstLineChars="200"/>
              <w:rPr>
                <w:bCs/>
              </w:rPr>
            </w:pPr>
            <w:r>
              <w:rPr>
                <w:rFonts w:hint="eastAsia"/>
                <w:bCs/>
              </w:rPr>
              <w:t>根据《深圳经济特区政府采购条例》，符合第二十一条第（三）款情形的可以适用单一来源方式采购。第二十一条第（三）款情形：“为保证与原有政府采购项目的一致性或者服务配套的要求，需要向原供应商添购的”。因此本项目适用单一来源方式采购，要求投标方有过同类政府采购项目经验，开展实施过深圳市自然资源资产清查统计和评估核算工作，能够和我局2</w:t>
            </w:r>
            <w:r>
              <w:rPr>
                <w:bCs/>
              </w:rPr>
              <w:t>020</w:t>
            </w:r>
            <w:r>
              <w:rPr>
                <w:rFonts w:hint="eastAsia"/>
                <w:bCs/>
              </w:rPr>
              <w:t>年项目《深圳市土地、森林和水资源资产清查统计与评估核算——以龙岗区为试点》有效衔接，保证所有自然资源数据统计口径、核算方法的一致，满足清查统计、评估核算的整体性、“一致性”的工作要求。</w:t>
            </w:r>
          </w:p>
          <w:p>
            <w:pPr>
              <w:spacing w:line="276" w:lineRule="auto"/>
              <w:ind w:firstLine="422" w:firstLineChars="200"/>
              <w:rPr>
                <w:b/>
              </w:rPr>
            </w:pPr>
            <w:r>
              <w:rPr>
                <w:rFonts w:hint="eastAsia"/>
                <w:b/>
              </w:rPr>
              <w:t>三、人员要求</w:t>
            </w:r>
          </w:p>
          <w:p>
            <w:pPr>
              <w:ind w:firstLine="420" w:firstLineChars="200"/>
              <w:rPr>
                <w:color w:val="000000"/>
              </w:rPr>
            </w:pPr>
            <w:r>
              <w:rPr>
                <w:rFonts w:hint="eastAsia" w:ascii="宋体" w:hAnsi="宋体"/>
                <w:bCs/>
              </w:rPr>
              <w:t>投标方投入本项目的项目组成员应熟悉我局自然资源资产等相关情况，项目团队成员不少于</w:t>
            </w:r>
            <w:r>
              <w:rPr>
                <w:rFonts w:ascii="宋体" w:hAnsi="宋体"/>
                <w:bCs/>
              </w:rPr>
              <w:t>15</w:t>
            </w:r>
            <w:r>
              <w:rPr>
                <w:rFonts w:hint="eastAsia" w:ascii="宋体" w:hAnsi="宋体"/>
                <w:bCs/>
              </w:rPr>
              <w:t>人（包括项目负责人），其中博士或高级工程师不少于</w:t>
            </w:r>
            <w:r>
              <w:rPr>
                <w:rFonts w:ascii="宋体" w:hAnsi="宋体"/>
                <w:bCs/>
              </w:rPr>
              <w:t>8</w:t>
            </w:r>
            <w:r>
              <w:rPr>
                <w:rFonts w:hint="eastAsia" w:ascii="宋体" w:hAnsi="宋体"/>
                <w:bCs/>
              </w:rPr>
              <w:t>人，主要成员应当具备自然地理学、生态学、土地资源管理、地理信息系统、遥感学、经济学、海洋等专业背景。合同执行过程中，供应商不得随意更换项目负责人和项目组成员，如需更换，须经采购人同意。</w:t>
            </w:r>
          </w:p>
          <w:p>
            <w:pPr>
              <w:spacing w:line="276" w:lineRule="auto"/>
              <w:ind w:firstLine="422" w:firstLineChars="200"/>
              <w:rPr>
                <w:rFonts w:ascii="宋体" w:hAnsi="宋体"/>
                <w:szCs w:val="21"/>
              </w:rPr>
            </w:pPr>
            <w:r>
              <w:rPr>
                <w:rFonts w:hint="eastAsia" w:ascii="宋体" w:hAnsi="宋体"/>
                <w:b/>
                <w:szCs w:val="21"/>
              </w:rPr>
              <w:t>四、工作内容</w:t>
            </w:r>
          </w:p>
          <w:p>
            <w:pPr>
              <w:spacing w:line="276" w:lineRule="auto"/>
              <w:ind w:firstLine="420" w:firstLineChars="200"/>
            </w:pPr>
            <w:r>
              <w:rPr>
                <w:rFonts w:hint="eastAsia"/>
              </w:rPr>
              <w:t>主要工作内容如下：</w:t>
            </w:r>
          </w:p>
          <w:p>
            <w:pPr>
              <w:pStyle w:val="10"/>
              <w:numPr>
                <w:ilvl w:val="0"/>
                <w:numId w:val="1"/>
              </w:numPr>
              <w:spacing w:line="276" w:lineRule="auto"/>
              <w:ind w:firstLineChars="0"/>
              <w:rPr>
                <w:szCs w:val="21"/>
              </w:rPr>
            </w:pPr>
            <w:r>
              <w:rPr>
                <w:rFonts w:hint="eastAsia"/>
                <w:szCs w:val="21"/>
              </w:rPr>
              <w:t>全类型自然资源资产清查</w:t>
            </w:r>
          </w:p>
          <w:p>
            <w:pPr>
              <w:spacing w:line="276" w:lineRule="auto"/>
              <w:ind w:firstLine="210" w:firstLineChars="100"/>
            </w:pPr>
            <w:r>
              <w:rPr>
                <w:rFonts w:hint="eastAsia"/>
              </w:rPr>
              <w:t>（1）土地资源资产清查</w:t>
            </w:r>
          </w:p>
          <w:p>
            <w:pPr>
              <w:spacing w:line="276" w:lineRule="auto"/>
              <w:ind w:firstLine="420" w:firstLineChars="200"/>
            </w:pPr>
            <w:r>
              <w:rPr>
                <w:rFonts w:hint="eastAsia"/>
              </w:rPr>
              <w:t>以收集到的土地资源资产数据为基础，提取其类型、权属、数量、质量、分布范围、用途等信息，整合形成土地资源资产实物属性数据和底图数据。通过对数据加工并套合底图，生成土地资源资产价值属性的清查图斑数据，形成土地资源资产台账。最终，建立土地资源资产清查成果数据库。</w:t>
            </w:r>
          </w:p>
          <w:p>
            <w:pPr>
              <w:spacing w:line="276" w:lineRule="auto"/>
              <w:ind w:firstLine="210" w:firstLineChars="100"/>
            </w:pPr>
            <w:r>
              <w:rPr>
                <w:rFonts w:hint="eastAsia"/>
              </w:rPr>
              <w:t>（2）森林资源资产清查</w:t>
            </w:r>
          </w:p>
          <w:p>
            <w:pPr>
              <w:spacing w:line="276" w:lineRule="auto"/>
              <w:ind w:firstLine="420" w:firstLineChars="200"/>
            </w:pPr>
            <w:r>
              <w:rPr>
                <w:rFonts w:hint="eastAsia"/>
              </w:rPr>
              <w:t>以收集到的森林资源资产数据为基础，清查森林优势树种、蓄积量、生物量、土壤类型、坡度、坡位、保护等级、森林类别、森林起源、郁闭度、平均胸径、龄组、每公顷株数、管理类型、权属等信息，并重点清查我市古树名木信息。再与国土三调和林业二调数据/森林一张图融合，形成森林资源资产台账。最终，建立森林资源资产清查成果数据库。</w:t>
            </w:r>
          </w:p>
          <w:p>
            <w:pPr>
              <w:spacing w:line="276" w:lineRule="auto"/>
              <w:ind w:firstLine="210" w:firstLineChars="100"/>
            </w:pPr>
            <w:r>
              <w:rPr>
                <w:rFonts w:hint="eastAsia"/>
              </w:rPr>
              <w:t>（3）矿产资源资产清查</w:t>
            </w:r>
          </w:p>
          <w:p>
            <w:pPr>
              <w:spacing w:line="276" w:lineRule="auto"/>
              <w:ind w:firstLine="420" w:firstLineChars="200"/>
            </w:pPr>
            <w:r>
              <w:rPr>
                <w:rFonts w:hint="eastAsia"/>
              </w:rPr>
              <w:t>以收集到的矿产资源资产数据为基础，清查其分布、储量、埋深、价格、成本、收益及权属等信息，通过将属性数据和价格数据与空间数据进行关联、整合，形成矿产资源资产台账，并建立矿产资源资产清查成果数据库。</w:t>
            </w:r>
          </w:p>
          <w:p>
            <w:pPr>
              <w:spacing w:line="276" w:lineRule="auto"/>
              <w:ind w:firstLine="210" w:firstLineChars="100"/>
            </w:pPr>
            <w:r>
              <w:rPr>
                <w:rFonts w:hint="eastAsia"/>
              </w:rPr>
              <w:t>（4）水资源资产清查</w:t>
            </w:r>
          </w:p>
          <w:p>
            <w:pPr>
              <w:spacing w:line="276" w:lineRule="auto"/>
              <w:ind w:firstLine="420" w:firstLineChars="200"/>
            </w:pPr>
            <w:r>
              <w:rPr>
                <w:rFonts w:hint="eastAsia"/>
              </w:rPr>
              <w:t>以收集到的水资源资产数据为基础，通过将其属性数据和价格数据与空间数据进行关联、整合，形成水资源资产台账，明晰水资源的分布、数量、质量、权属、利用情况及相关成本、收益、价格信息等。最终，建立水资源资产清查成果数据库。</w:t>
            </w:r>
          </w:p>
          <w:p>
            <w:pPr>
              <w:spacing w:line="276" w:lineRule="auto"/>
              <w:ind w:firstLine="210" w:firstLineChars="100"/>
            </w:pPr>
            <w:r>
              <w:rPr>
                <w:rFonts w:hint="eastAsia"/>
              </w:rPr>
              <w:t>（5）湿地资源资产清查</w:t>
            </w:r>
          </w:p>
          <w:p>
            <w:pPr>
              <w:spacing w:line="276" w:lineRule="auto"/>
              <w:ind w:firstLine="420" w:firstLineChars="200"/>
            </w:pPr>
            <w:r>
              <w:rPr>
                <w:rFonts w:hint="eastAsia"/>
              </w:rPr>
              <w:t>以收集到的湿地资源资产数据为基础，清查其分布、数量、质量、受威胁情况、受保护情况及社会、经济和价格信息，并与湿地空间数据进行关联、整合，形成湿地资源台账，并最终建立湿地资源资产清查成果数据库。</w:t>
            </w:r>
          </w:p>
          <w:p>
            <w:pPr>
              <w:spacing w:line="276" w:lineRule="auto"/>
              <w:ind w:firstLine="210" w:firstLineChars="100"/>
            </w:pPr>
            <w:r>
              <w:rPr>
                <w:rFonts w:hint="eastAsia"/>
              </w:rPr>
              <w:t>（6）海洋资源资产清查</w:t>
            </w:r>
          </w:p>
          <w:p>
            <w:pPr>
              <w:spacing w:line="276" w:lineRule="auto"/>
              <w:ind w:firstLine="420" w:firstLineChars="200"/>
            </w:pPr>
            <w:r>
              <w:rPr>
                <w:rFonts w:hint="eastAsia"/>
              </w:rPr>
              <w:t>深圳市（不含深汕合作区）海洋资源资产清查范围为海域和无居民海岛，以收集到的海洋自然资源资产数据为基础，清查内容包含权属、分布、形态、数量、质量、用途和收益等情况及社会、生态和经济等信息，并与海洋空间数据进行关联、整合，形成海洋自然资源台账，建立海洋自然资源资产清查成果数据库。</w:t>
            </w:r>
          </w:p>
          <w:p>
            <w:pPr>
              <w:pStyle w:val="10"/>
              <w:numPr>
                <w:ilvl w:val="0"/>
                <w:numId w:val="1"/>
              </w:numPr>
              <w:spacing w:line="276" w:lineRule="auto"/>
              <w:ind w:firstLineChars="0"/>
              <w:rPr>
                <w:szCs w:val="21"/>
              </w:rPr>
            </w:pPr>
            <w:r>
              <w:rPr>
                <w:rFonts w:hint="eastAsia"/>
                <w:szCs w:val="21"/>
              </w:rPr>
              <w:t>全类型自然资源资产统计</w:t>
            </w:r>
          </w:p>
          <w:p>
            <w:pPr>
              <w:spacing w:line="276" w:lineRule="auto"/>
              <w:ind w:firstLine="210" w:firstLineChars="100"/>
            </w:pPr>
            <w:r>
              <w:rPr>
                <w:rFonts w:hint="eastAsia"/>
              </w:rPr>
              <w:t>（1）土地资源资产统计</w:t>
            </w:r>
          </w:p>
          <w:p>
            <w:pPr>
              <w:spacing w:line="276" w:lineRule="auto"/>
              <w:ind w:firstLine="420" w:firstLineChars="200"/>
            </w:pPr>
            <w:r>
              <w:rPr>
                <w:rFonts w:hint="eastAsia"/>
              </w:rPr>
              <w:t>建立土地资源统计指标体系及指标计算方法，以土地资源资产清查成果为基础，开展土地资源资产统计工作，形成土地资源资产的权属、数量、质量、分布、用途等统计信息，从不同的区域范围和土地资源类型多维度展示土地资源的基本状况，摸清我市土地资源资产实物量家底。</w:t>
            </w:r>
          </w:p>
          <w:p>
            <w:pPr>
              <w:spacing w:line="276" w:lineRule="auto"/>
              <w:ind w:firstLine="210" w:firstLineChars="100"/>
            </w:pPr>
            <w:r>
              <w:rPr>
                <w:rFonts w:hint="eastAsia"/>
              </w:rPr>
              <w:t>（2）森林资源资产统计</w:t>
            </w:r>
          </w:p>
          <w:p>
            <w:pPr>
              <w:spacing w:line="276" w:lineRule="auto"/>
              <w:ind w:firstLine="420" w:firstLineChars="200"/>
            </w:pPr>
            <w:r>
              <w:rPr>
                <w:rFonts w:hint="eastAsia"/>
              </w:rPr>
              <w:t>建立森林资源统计指标体系及指标计算方法，以森林资源清查成果为基础，开展森林资源资产统计工作，形成森林资源资产的权属、数量、储量、质量、分布及古树名木等统计信息，从不同的区域范围和森林资源类型多维度展示森林资源的基本状况，摸清我市森林资源资产实物量家底。</w:t>
            </w:r>
          </w:p>
          <w:p>
            <w:pPr>
              <w:spacing w:line="276" w:lineRule="auto"/>
              <w:ind w:firstLine="210" w:firstLineChars="100"/>
            </w:pPr>
            <w:r>
              <w:rPr>
                <w:rFonts w:hint="eastAsia"/>
              </w:rPr>
              <w:t>（3）矿产资源资产统计</w:t>
            </w:r>
          </w:p>
          <w:p>
            <w:pPr>
              <w:spacing w:line="276" w:lineRule="auto"/>
              <w:ind w:firstLine="420" w:firstLineChars="200"/>
            </w:pPr>
            <w:r>
              <w:rPr>
                <w:rFonts w:hint="eastAsia"/>
              </w:rPr>
              <w:t>建立矿产资源统计指标体系及指标计算方法，以矿产资源清查成果为基础，开展矿产资源资产统计工作，形成矿产资源资产的权属、数量、储量、质量、分布、价格等统计信息，从不同的区域范围和矿产资源类型多维度展示矿产资源的基本状况，摸清我市矿产资源资产实物量家底。</w:t>
            </w:r>
          </w:p>
          <w:p>
            <w:pPr>
              <w:spacing w:line="276" w:lineRule="auto"/>
              <w:ind w:firstLine="210" w:firstLineChars="100"/>
            </w:pPr>
            <w:r>
              <w:rPr>
                <w:rFonts w:hint="eastAsia"/>
              </w:rPr>
              <w:t>（4）水资源资产统计</w:t>
            </w:r>
          </w:p>
          <w:p>
            <w:pPr>
              <w:spacing w:line="276" w:lineRule="auto"/>
              <w:ind w:firstLine="420" w:firstLineChars="200"/>
            </w:pPr>
            <w:r>
              <w:rPr>
                <w:rFonts w:hint="eastAsia"/>
              </w:rPr>
              <w:t>建立水资源统计指标体系及指标计算方法，以水资源清查成果为基础，开展水资源资产统计工作，形成水资源资产的权属、数量、储量、质量、分布等统计信息，从不同的区域范围和表现形式（地表水或地下水）多维度展示水资源的基本状况，摸清我市水资源资产实物量家底。</w:t>
            </w:r>
          </w:p>
          <w:p>
            <w:pPr>
              <w:spacing w:line="276" w:lineRule="auto"/>
              <w:ind w:firstLine="210" w:firstLineChars="100"/>
            </w:pPr>
            <w:r>
              <w:rPr>
                <w:rFonts w:hint="eastAsia"/>
              </w:rPr>
              <w:t>（5）湿地资源资产统计</w:t>
            </w:r>
          </w:p>
          <w:p>
            <w:pPr>
              <w:spacing w:line="276" w:lineRule="auto"/>
              <w:ind w:firstLine="420" w:firstLineChars="200"/>
            </w:pPr>
            <w:r>
              <w:rPr>
                <w:rFonts w:hint="eastAsia"/>
              </w:rPr>
              <w:t>建立湿地资源统计指标体系及指标计算方法，以湿地资源清查成果为基础，开展湿地资源资产统计工作，形成湿地资源资产的数量、质量、分布、生态保护等统计信息，从不同的区域范围和湿地类型多维度展示湿地资源的基本状况，摸清我市湿地资源资产实物量家底。</w:t>
            </w:r>
          </w:p>
          <w:p>
            <w:pPr>
              <w:spacing w:line="276" w:lineRule="auto"/>
              <w:ind w:firstLine="210" w:firstLineChars="100"/>
            </w:pPr>
            <w:r>
              <w:rPr>
                <w:rFonts w:hint="eastAsia"/>
              </w:rPr>
              <w:t>（6）海洋资源资产统计</w:t>
            </w:r>
          </w:p>
          <w:p>
            <w:pPr>
              <w:spacing w:line="276" w:lineRule="auto"/>
              <w:ind w:firstLine="420" w:firstLineChars="200"/>
            </w:pPr>
            <w:r>
              <w:rPr>
                <w:rFonts w:hint="eastAsia"/>
              </w:rPr>
              <w:t>建立海洋自然资源资产统计指标体系及指标计算方法，以海洋自然资源资产清查成果为基础，开展海洋自然资源资产统计工作，形成各类海洋自然资源资产的权属、数量、质量、分布、形态、用途和收益等统计信息，从不同的区域范围和海洋自然资源资产类型多维度展示海洋自然资源资产的基本状况，摸清我市海洋自然资源资产实物量家底。</w:t>
            </w:r>
          </w:p>
          <w:p>
            <w:pPr>
              <w:pStyle w:val="10"/>
              <w:numPr>
                <w:ilvl w:val="0"/>
                <w:numId w:val="1"/>
              </w:numPr>
              <w:spacing w:line="276" w:lineRule="auto"/>
              <w:ind w:firstLineChars="0"/>
              <w:rPr>
                <w:szCs w:val="21"/>
              </w:rPr>
            </w:pPr>
            <w:r>
              <w:rPr>
                <w:rFonts w:hint="eastAsia"/>
                <w:szCs w:val="21"/>
              </w:rPr>
              <w:t>全类型自然资源资产评估核算数据采集</w:t>
            </w:r>
          </w:p>
          <w:p>
            <w:pPr>
              <w:spacing w:line="276" w:lineRule="auto"/>
              <w:ind w:firstLine="210" w:firstLineChars="100"/>
            </w:pPr>
            <w:r>
              <w:rPr>
                <w:rFonts w:hint="eastAsia"/>
              </w:rPr>
              <w:t>（1）森林资源资产评估核算数据采集</w:t>
            </w:r>
          </w:p>
          <w:p>
            <w:pPr>
              <w:spacing w:line="276" w:lineRule="auto"/>
              <w:ind w:firstLine="420" w:firstLineChars="200"/>
            </w:pPr>
            <w:r>
              <w:rPr>
                <w:rFonts w:hint="eastAsia"/>
              </w:rPr>
              <w:t>根据森林资源资产清查统计内容与评估核算要求，重点采集森林生态系统服务遥感反演数据、植被样方调查数据、实验室测定数据、市场调查数据：其中遥感反演获取的数据包含森林的净生产力、森林蒸散量、森林叶面积植被指数等；植被样方调查获取的数据包括降雨量、森林蒸散量、森林表径流量、森林土壤侵蚀模数、裸地土壤侵蚀模数等；实验室测定获取的数据包括单位面积森林土壤固碳量、森林土壤容重、森林土壤含量、森林植物含量、林分单位面积叶片滞尘量、林木重金属含量、单位面积林分年吸收量等；实验室测试范围包含植被样方样地主要植被种类及土壤；市场调查数据包括相关树种木材价格、林果价格与产量、水库单位库容造价、挖取和运输单位土壤所需费用、有机质价格、降尘清理费用、社会及生态价值参数等价格数据。最终，建立我市森林资源资产评估核算参数数据库。</w:t>
            </w:r>
          </w:p>
          <w:p>
            <w:pPr>
              <w:spacing w:line="276" w:lineRule="auto"/>
              <w:ind w:firstLine="210" w:firstLineChars="100"/>
            </w:pPr>
            <w:r>
              <w:rPr>
                <w:rFonts w:hint="eastAsia"/>
              </w:rPr>
              <w:t>（2）湿地资源资产评估核算数据采集</w:t>
            </w:r>
          </w:p>
          <w:p>
            <w:pPr>
              <w:spacing w:line="276" w:lineRule="auto"/>
              <w:ind w:firstLine="420" w:firstLineChars="200"/>
            </w:pPr>
            <w:r>
              <w:rPr>
                <w:rFonts w:hint="eastAsia"/>
              </w:rPr>
              <w:t>根据湿地资源清查统计内容与评估核算要求，以现有国土三调、湿地调查数据库为基础，对全市范围内的湿地资源的空间数据、属性数据和权益数据进行采集、关联与整合。由于湿地数据基础较差，且获取难度较大，计划在现有基础上开展数据补充调查调查，重点采集湿地的植被类型、优势树种、受威胁因子、受威胁情况、退化面积、积水状况等清查基础数据，以及蒸散量、净初级生产力</w:t>
            </w:r>
            <w:r>
              <w:t>NPP、降雨量、湿地植被重金属含量、单位面积湿地植被滞尘量、湿地植被物种丰度</w:t>
            </w:r>
            <w:r>
              <w:rPr>
                <w:rFonts w:hint="eastAsia"/>
              </w:rPr>
              <w:t>等湿地资源资产生态价值评估核算数据。最终，建立我市湿地资源资产评估核算参数数据库。</w:t>
            </w:r>
          </w:p>
          <w:p>
            <w:pPr>
              <w:spacing w:line="276" w:lineRule="auto"/>
              <w:ind w:firstLine="210" w:firstLineChars="100"/>
            </w:pPr>
            <w:r>
              <w:rPr>
                <w:rFonts w:hint="eastAsia"/>
              </w:rPr>
              <w:t>（3）海洋资源资产评估核算数据采集</w:t>
            </w:r>
          </w:p>
          <w:p>
            <w:pPr>
              <w:spacing w:line="276" w:lineRule="auto"/>
              <w:ind w:firstLine="420" w:firstLineChars="200"/>
            </w:pPr>
            <w:r>
              <w:rPr>
                <w:rFonts w:hint="eastAsia"/>
              </w:rPr>
              <w:t>根据海洋自然资源资产清查统计内容与评估核算要求，在充分利用全国海域海岛地名普查成果数据及相关数据资料的基础上，对全市范围内海洋自然资源资产的空间数据、属性数据和权益数据进行收集与整合。由于海洋数据基础较差，且获取难度较大，计划开展相应的专题数据调查，如海洋生物资源的种类（</w:t>
            </w:r>
            <w:r>
              <w:t>浮游植物</w:t>
            </w:r>
            <w:r>
              <w:rPr>
                <w:rFonts w:hint="eastAsia"/>
              </w:rPr>
              <w:t>、</w:t>
            </w:r>
            <w:r>
              <w:t>浮游动物</w:t>
            </w:r>
            <w:r>
              <w:rPr>
                <w:rFonts w:hint="eastAsia"/>
              </w:rPr>
              <w:t>、底栖生物、游泳生物和</w:t>
            </w:r>
            <w:r>
              <w:rPr>
                <w:rFonts w:hint="eastAsia"/>
                <w:bCs/>
              </w:rPr>
              <w:t>鱼卵和仔稚鱼</w:t>
            </w:r>
            <w:r>
              <w:rPr>
                <w:rFonts w:hint="eastAsia"/>
              </w:rPr>
              <w:t>）、分布特征、分布洄游、特色与保护水生生物的濒危程度，以及海洋空间资源资产（海域、海岛、海岸线、沙滩等）分布状况、开发利用状态、岸线修复等核算参数数据。最终，建立我市海洋自然资源资产评估核算参数数据库。</w:t>
            </w:r>
          </w:p>
          <w:p>
            <w:pPr>
              <w:spacing w:line="276" w:lineRule="auto"/>
              <w:ind w:firstLine="210" w:firstLineChars="100"/>
            </w:pPr>
            <w:r>
              <w:rPr>
                <w:rFonts w:hint="eastAsia"/>
              </w:rPr>
              <w:t>（4）矿产资源资产评估核算数据采集</w:t>
            </w:r>
          </w:p>
          <w:p>
            <w:pPr>
              <w:spacing w:line="276" w:lineRule="auto"/>
              <w:ind w:firstLine="420" w:firstLineChars="200"/>
            </w:pPr>
            <w:r>
              <w:rPr>
                <w:rFonts w:hint="eastAsia"/>
              </w:rPr>
              <w:t>根据矿产资源资产清查统计内容与评估核算要求，在充分利用矿产资源调查成果数据及相关数据资料的基础上，对全市范围内矿产资源资产的空间数据、属性数据和权益数据进行收集与整合。由于矿产成本收益等价格信息不足，计划开展相应的标准矿价格及质量调查，最终建立我市矿产资源资产评估核算参数数据库。</w:t>
            </w:r>
          </w:p>
          <w:p>
            <w:pPr>
              <w:pStyle w:val="10"/>
              <w:numPr>
                <w:ilvl w:val="0"/>
                <w:numId w:val="1"/>
              </w:numPr>
              <w:spacing w:line="276" w:lineRule="auto"/>
              <w:ind w:firstLineChars="0"/>
              <w:rPr>
                <w:szCs w:val="21"/>
              </w:rPr>
            </w:pPr>
            <w:r>
              <w:rPr>
                <w:rFonts w:hint="eastAsia"/>
                <w:szCs w:val="21"/>
              </w:rPr>
              <w:t>全类型自然资源资产评估核算实施</w:t>
            </w:r>
          </w:p>
          <w:p>
            <w:pPr>
              <w:spacing w:line="276" w:lineRule="auto"/>
              <w:ind w:firstLine="210" w:firstLineChars="100"/>
            </w:pPr>
            <w:r>
              <w:rPr>
                <w:rFonts w:hint="eastAsia"/>
              </w:rPr>
              <w:t>（1）土地资源资产评估核算</w:t>
            </w:r>
          </w:p>
          <w:p>
            <w:pPr>
              <w:spacing w:line="276" w:lineRule="auto"/>
              <w:ind w:firstLine="420" w:firstLineChars="200"/>
            </w:pPr>
            <w:r>
              <w:rPr>
                <w:rFonts w:hint="eastAsia"/>
              </w:rPr>
              <w:t>根据土地资源的评估核算技术方法体系，利用采集的相关数据及评估参数数据，应用公示地价成果对全市范围内的土地资源资产进行价值批量评估核算，明确不同区域、不同用途的土地资源资产单价及价值总量，研判土地资源资产价值分布特点，建立土地资源资产价值评估核算数据库，摸清我市土地资源资产价值量家底。</w:t>
            </w:r>
          </w:p>
          <w:p>
            <w:pPr>
              <w:spacing w:line="276" w:lineRule="auto"/>
              <w:ind w:firstLine="210" w:firstLineChars="100"/>
            </w:pPr>
            <w:r>
              <w:rPr>
                <w:rFonts w:hint="eastAsia"/>
              </w:rPr>
              <w:t>（2）森林资源资产评估核算</w:t>
            </w:r>
          </w:p>
          <w:p>
            <w:pPr>
              <w:spacing w:line="276" w:lineRule="auto"/>
              <w:ind w:firstLine="420" w:firstLineChars="200"/>
            </w:pPr>
            <w:r>
              <w:rPr>
                <w:rFonts w:hint="eastAsia"/>
              </w:rPr>
              <w:t>根据土地资源的评估核算技术方法体系，基于森林生态系统服务功能评估规范、自然资源（森林）资产评价技术规范等森林资源评估核算技术方法体系，利用采集的相关数据，对全市范围内的森林资源进行价值批量评估核算，明确不同区域、不同树种森林资源资产的价值量及价值空间分布特征，评价包含经济价值（林木价值、林果价值）、生态价值（固碳释氧、保育土壤、水源涵养、大气净化等）和社会价值（森林游憩等），建立土地资源资产价值评估核算数据库，摸清我市森林资源资产价值量家底。</w:t>
            </w:r>
          </w:p>
          <w:p>
            <w:pPr>
              <w:spacing w:line="276" w:lineRule="auto"/>
              <w:ind w:firstLine="210" w:firstLineChars="100"/>
            </w:pPr>
            <w:r>
              <w:rPr>
                <w:rFonts w:hint="eastAsia"/>
              </w:rPr>
              <w:t>（3）矿产资源资产评估核算</w:t>
            </w:r>
          </w:p>
          <w:p>
            <w:pPr>
              <w:spacing w:line="276" w:lineRule="auto"/>
              <w:ind w:firstLine="420" w:firstLineChars="200"/>
            </w:pPr>
            <w:r>
              <w:rPr>
                <w:rFonts w:hint="eastAsia"/>
              </w:rPr>
              <w:t>根据矿产资源的评估核算技术方法体系，利用采集的相关数据及评估参数数据，对全市范围内的矿产资源资产进行价值批量评估核算，明确不同区域、不同种类的矿产资源单价及价值总量，建立矿产资源资产价值评估核算数据库，摸清我市矿产资源资产价值量家底。</w:t>
            </w:r>
          </w:p>
          <w:p>
            <w:pPr>
              <w:spacing w:line="276" w:lineRule="auto"/>
              <w:ind w:firstLine="210" w:firstLineChars="100"/>
            </w:pPr>
            <w:r>
              <w:rPr>
                <w:rFonts w:hint="eastAsia"/>
              </w:rPr>
              <w:t>（4）水资源资产评估核算</w:t>
            </w:r>
          </w:p>
          <w:p>
            <w:pPr>
              <w:spacing w:line="276" w:lineRule="auto"/>
              <w:ind w:firstLine="420" w:firstLineChars="200"/>
            </w:pPr>
            <w:r>
              <w:rPr>
                <w:rFonts w:hint="eastAsia"/>
              </w:rPr>
              <w:t>根据水资源的评估核算技术方法体系，利用采集的相关数据及评估参数数据，对全市范围内的水资源资产进行价值批量评估核算，明确不同区域、不同表现形式（河流、水库和地下水）的水资源资产单价，核算我市水资源资产的经济价值量，建立水资源资产价值评估核算数据库，摸清我市水资源资产价值量家底。</w:t>
            </w:r>
          </w:p>
          <w:p>
            <w:pPr>
              <w:spacing w:line="276" w:lineRule="auto"/>
              <w:ind w:firstLine="210" w:firstLineChars="100"/>
            </w:pPr>
            <w:r>
              <w:rPr>
                <w:rFonts w:hint="eastAsia"/>
              </w:rPr>
              <w:t>（5）湿地资源资产评估核算</w:t>
            </w:r>
          </w:p>
          <w:p>
            <w:pPr>
              <w:spacing w:line="276" w:lineRule="auto"/>
              <w:ind w:firstLine="420" w:firstLineChars="200"/>
            </w:pPr>
            <w:r>
              <w:rPr>
                <w:rFonts w:hint="eastAsia"/>
              </w:rPr>
              <w:t>根据湿地资源的评估核算技术方法体系，利用采集的相关数据及评估参数数据，对全市范围内的湿地资源资产进行价值批量评估核算，明确不同区域、不同类型的湿地资源资产生态价值和社会价值。此项工作主要侧重于湿地资源资产的生态价值核算，如调洪价值、净化水质、休闲游憩、固碳释氧等生态指标。最终，建立湿地资源资产价值评估核算数据库，摸清我市湿地资源资产价值量家底。</w:t>
            </w:r>
          </w:p>
          <w:p>
            <w:pPr>
              <w:spacing w:line="276" w:lineRule="auto"/>
              <w:ind w:firstLine="210" w:firstLineChars="100"/>
            </w:pPr>
            <w:r>
              <w:rPr>
                <w:rFonts w:hint="eastAsia"/>
              </w:rPr>
              <w:t>（6）海洋资源资产评估核算</w:t>
            </w:r>
          </w:p>
          <w:p>
            <w:pPr>
              <w:spacing w:line="276" w:lineRule="auto"/>
              <w:ind w:firstLine="420" w:firstLineChars="200"/>
            </w:pPr>
            <w:r>
              <w:rPr>
                <w:rFonts w:hint="eastAsia"/>
              </w:rPr>
              <w:t>根据海洋资源的评估核算技术方法体系，利用采集的相关数据及评估参数数据，对全市海洋资源资产进行批量评估核算，明确海洋自然资源资产的价值量，包括经济价值（渔业养殖、捕捞等）、生态价值（固碳释氧、气候调节、废弃物处理等）和社会价值（休闲娱乐、科研服务、文化用途等），摸清我市海洋资源资产价值量家底。</w:t>
            </w:r>
          </w:p>
          <w:p>
            <w:pPr>
              <w:spacing w:line="276" w:lineRule="auto"/>
              <w:ind w:firstLine="420" w:firstLineChars="200"/>
              <w:rPr>
                <w:szCs w:val="21"/>
              </w:rPr>
            </w:pPr>
            <w:r>
              <w:rPr>
                <w:rFonts w:hint="eastAsia"/>
                <w:szCs w:val="21"/>
              </w:rPr>
              <w:t>5．全类型自然资源资产负债表/平衡表编制</w:t>
            </w:r>
          </w:p>
          <w:p>
            <w:pPr>
              <w:spacing w:line="276" w:lineRule="auto"/>
              <w:ind w:firstLine="420" w:firstLineChars="200"/>
            </w:pPr>
            <w:r>
              <w:rPr>
                <w:rFonts w:hint="eastAsia"/>
              </w:rPr>
              <w:t>完善并建立我市全类型自然资源资产负债表/平衡表框架体系，明晰自然资源资产实物量、价值量及权属情况以及变化情况。基于清查统计与评估核算成果，根据自然资源资产负债表/平衡表框架体系，分别编制完成全市及十个行政区的自然资源资产负债表/平衡表。</w:t>
            </w:r>
          </w:p>
          <w:p>
            <w:pPr>
              <w:spacing w:line="276" w:lineRule="auto"/>
              <w:ind w:firstLine="420" w:firstLineChars="200"/>
              <w:rPr>
                <w:szCs w:val="21"/>
              </w:rPr>
            </w:pPr>
            <w:r>
              <w:rPr>
                <w:rFonts w:hint="eastAsia"/>
                <w:szCs w:val="21"/>
              </w:rPr>
              <w:t>6．自然资源资产清查统计、评估核算以及负债表/平衡表成果应用研究</w:t>
            </w:r>
          </w:p>
          <w:p>
            <w:pPr>
              <w:spacing w:line="276" w:lineRule="auto"/>
              <w:ind w:firstLine="420" w:firstLineChars="200"/>
            </w:pPr>
            <w:r>
              <w:rPr>
                <w:rFonts w:hint="eastAsia"/>
              </w:rPr>
              <w:t>结合其他省市的先进经验，根据我市自然资源资产管理需求，探索并建立自然资源资产清查统计与评估核算成果以及资产负债表/平衡表成果在自然资源统计和调查监测、</w:t>
            </w:r>
            <w:r>
              <w:t>领导干部自然资源资产离任审计</w:t>
            </w:r>
            <w:r>
              <w:rPr>
                <w:rFonts w:hint="eastAsia"/>
              </w:rPr>
              <w:t>、</w:t>
            </w:r>
            <w:r>
              <w:t>自然资源资产管理</w:t>
            </w:r>
            <w:r>
              <w:rPr>
                <w:rFonts w:hint="eastAsia"/>
              </w:rPr>
              <w:t>、规划和保护、生态补偿、生态产品价值实现、国土空间管制以及自然</w:t>
            </w:r>
            <w:r>
              <w:t>资源管理信息平台建设</w:t>
            </w:r>
            <w:r>
              <w:rPr>
                <w:rFonts w:hint="eastAsia"/>
              </w:rPr>
              <w:t>等方面的应用模式。</w:t>
            </w:r>
          </w:p>
          <w:p>
            <w:pPr>
              <w:spacing w:line="276" w:lineRule="auto"/>
              <w:ind w:firstLine="420" w:firstLineChars="200"/>
              <w:rPr>
                <w:szCs w:val="21"/>
              </w:rPr>
            </w:pPr>
            <w:r>
              <w:rPr>
                <w:rFonts w:hint="eastAsia"/>
                <w:szCs w:val="21"/>
              </w:rPr>
              <w:t>7．海洋自然资源资产评估核算技术方法专题研究</w:t>
            </w:r>
          </w:p>
          <w:p>
            <w:pPr>
              <w:spacing w:line="276" w:lineRule="auto"/>
              <w:ind w:firstLine="420" w:firstLineChars="200"/>
            </w:pPr>
            <w:r>
              <w:rPr>
                <w:rFonts w:hint="eastAsia"/>
              </w:rPr>
              <w:t>根据海洋自然资源类别，综合资源和资产双重属性，</w:t>
            </w:r>
            <w:r>
              <w:rPr>
                <w:rFonts w:hint="eastAsia"/>
                <w:lang w:val="en-US" w:eastAsia="zh-CN"/>
              </w:rPr>
              <w:t>对</w:t>
            </w:r>
            <w:r>
              <w:rPr>
                <w:rFonts w:hint="eastAsia"/>
              </w:rPr>
              <w:t>海洋自然资源</w:t>
            </w:r>
            <w:r>
              <w:rPr>
                <w:rFonts w:hint="eastAsia"/>
                <w:lang w:val="en-US" w:eastAsia="zh-CN"/>
              </w:rPr>
              <w:t>合理分类</w:t>
            </w:r>
            <w:r>
              <w:rPr>
                <w:rFonts w:hint="eastAsia"/>
              </w:rPr>
              <w:t>,并进一步探索研究适合深圳的海洋自然资源资产核算框架，初步构建海洋自然资源资产核算指标体系和价值核算体系。</w:t>
            </w:r>
          </w:p>
          <w:p>
            <w:pPr>
              <w:spacing w:line="276" w:lineRule="auto"/>
              <w:ind w:firstLine="422" w:firstLineChars="200"/>
              <w:rPr>
                <w:rFonts w:ascii="宋体" w:hAnsi="宋体"/>
                <w:b/>
                <w:szCs w:val="21"/>
              </w:rPr>
            </w:pPr>
            <w:r>
              <w:rPr>
                <w:rFonts w:hint="eastAsia" w:ascii="宋体" w:hAnsi="宋体"/>
                <w:b/>
                <w:szCs w:val="21"/>
              </w:rPr>
              <w:t>五、提交成果</w:t>
            </w:r>
          </w:p>
          <w:p>
            <w:pPr>
              <w:spacing w:line="276" w:lineRule="auto"/>
              <w:ind w:firstLine="420" w:firstLineChars="200"/>
            </w:pPr>
            <w:r>
              <w:rPr>
                <w:rFonts w:hint="eastAsia"/>
              </w:rPr>
              <w:t>工作的正式成果主要包括：</w:t>
            </w:r>
          </w:p>
          <w:p>
            <w:pPr>
              <w:spacing w:line="276" w:lineRule="auto"/>
              <w:ind w:firstLine="420" w:firstLineChars="200"/>
            </w:pPr>
            <w:r>
              <w:rPr>
                <w:rFonts w:hint="eastAsia"/>
              </w:rPr>
              <w:t>1.全类型自然资源数据采集成果（包括六类自然资源数据采集报表和数据库）</w:t>
            </w:r>
          </w:p>
          <w:p>
            <w:pPr>
              <w:spacing w:line="276" w:lineRule="auto"/>
              <w:ind w:firstLine="420" w:firstLineChars="200"/>
            </w:pPr>
            <w:r>
              <w:rPr>
                <w:rFonts w:hint="eastAsia"/>
              </w:rPr>
              <w:t>2.全类型自然资源清查统计表格及图件成果</w:t>
            </w:r>
          </w:p>
          <w:p>
            <w:pPr>
              <w:spacing w:line="276" w:lineRule="auto"/>
              <w:ind w:firstLine="420" w:firstLineChars="200"/>
            </w:pPr>
            <w:r>
              <w:rPr>
                <w:rFonts w:hint="eastAsia"/>
              </w:rPr>
              <w:t>3.全类型自然资源评估核算表格及图件成果</w:t>
            </w:r>
          </w:p>
          <w:p>
            <w:pPr>
              <w:spacing w:line="276" w:lineRule="auto"/>
              <w:ind w:firstLine="420" w:firstLineChars="200"/>
            </w:pPr>
            <w:r>
              <w:rPr>
                <w:rFonts w:hint="eastAsia"/>
              </w:rPr>
              <w:t>4.《全类型自然资源资产清查统计与评估核算研究报告》（包括总报告和六类自然资源分项报告）</w:t>
            </w:r>
          </w:p>
          <w:p>
            <w:pPr>
              <w:spacing w:line="276" w:lineRule="auto"/>
              <w:ind w:firstLine="420" w:firstLineChars="200"/>
            </w:pPr>
            <w:r>
              <w:rPr>
                <w:rFonts w:hint="eastAsia"/>
              </w:rPr>
              <w:t>5.《自然资源资产清查统计、评估核算以及负债表/平衡表成果应用研究报告》</w:t>
            </w:r>
          </w:p>
          <w:p>
            <w:pPr>
              <w:spacing w:line="276" w:lineRule="auto"/>
              <w:ind w:firstLine="420" w:firstLineChars="200"/>
            </w:pPr>
            <w:r>
              <w:rPr>
                <w:rFonts w:hint="eastAsia"/>
              </w:rPr>
              <w:t>6．《海洋自然资源资产评估核算技术方法专题研究报告》</w:t>
            </w:r>
          </w:p>
          <w:p>
            <w:pPr>
              <w:spacing w:line="276" w:lineRule="auto"/>
              <w:ind w:firstLine="420" w:firstLineChars="200"/>
            </w:pPr>
            <w:r>
              <w:rPr>
                <w:rFonts w:hint="eastAsia"/>
              </w:rPr>
              <w:t>7.全类型自然资源资产负债表/平衡表编制成果（包括全市及十个行政区的自然资源资产负债表/平衡表）</w:t>
            </w:r>
          </w:p>
          <w:p>
            <w:pPr>
              <w:spacing w:line="276" w:lineRule="auto"/>
              <w:ind w:firstLine="420" w:firstLineChars="200"/>
            </w:pPr>
            <w:r>
              <w:rPr>
                <w:rFonts w:hint="eastAsia"/>
              </w:rPr>
              <w:t>8.全类型自然资源资产台账与数据库成果（包括各类型自然资源资产台账图表、矢量空间数据库及属性数据库）</w:t>
            </w:r>
          </w:p>
          <w:p>
            <w:pPr>
              <w:widowControl/>
              <w:ind w:firstLine="420" w:firstLineChars="200"/>
              <w:rPr>
                <w:rFonts w:ascii="宋体" w:hAnsi="宋体"/>
                <w:bCs/>
              </w:rPr>
            </w:pPr>
            <w:r>
              <w:rPr>
                <w:color w:val="000000"/>
                <w:szCs w:val="21"/>
              </w:rPr>
              <w:t>报告类成果为纸质材料，并附电子文件。数据库成果为电子文件。</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 w:hRule="atLeast"/>
        </w:trPr>
        <w:tc>
          <w:tcPr>
            <w:tcW w:w="428" w:type="dxa"/>
            <w:shd w:val="clear" w:color="auto" w:fill="auto"/>
          </w:tcPr>
          <w:p>
            <w:pPr>
              <w:jc w:val="center"/>
              <w:rPr>
                <w:rFonts w:ascii="宋体" w:hAnsi="宋体" w:cs="宋体"/>
                <w:kern w:val="0"/>
                <w:szCs w:val="21"/>
              </w:rPr>
            </w:pPr>
            <w:r>
              <w:rPr>
                <w:rFonts w:hint="eastAsia" w:ascii="宋体" w:hAnsi="宋体" w:cs="宋体"/>
                <w:kern w:val="0"/>
                <w:szCs w:val="21"/>
              </w:rPr>
              <w:t>商务需求</w:t>
            </w:r>
          </w:p>
        </w:tc>
        <w:tc>
          <w:tcPr>
            <w:tcW w:w="9582" w:type="dxa"/>
            <w:gridSpan w:val="4"/>
            <w:shd w:val="clear" w:color="auto" w:fill="auto"/>
          </w:tcPr>
          <w:p>
            <w:pPr>
              <w:spacing w:line="276" w:lineRule="auto"/>
              <w:ind w:firstLine="422" w:firstLineChars="200"/>
              <w:rPr>
                <w:b/>
              </w:rPr>
            </w:pPr>
            <w:bookmarkStart w:id="2" w:name="_Hlk62635969"/>
            <w:r>
              <w:rPr>
                <w:rFonts w:hint="eastAsia"/>
                <w:b/>
              </w:rPr>
              <w:t>一、服务期限</w:t>
            </w:r>
          </w:p>
          <w:p>
            <w:pPr>
              <w:spacing w:line="276" w:lineRule="auto"/>
              <w:ind w:firstLine="420" w:firstLineChars="200"/>
            </w:pPr>
            <w:r>
              <w:rPr>
                <w:rFonts w:hint="eastAsia"/>
              </w:rPr>
              <w:t>项目服务期限自合同签订之日起12个月以内。遇有特殊情况，经甲乙双方协商后服务期限可适当延长。</w:t>
            </w:r>
          </w:p>
          <w:bookmarkEnd w:id="2"/>
          <w:p>
            <w:pPr>
              <w:spacing w:line="276" w:lineRule="auto"/>
              <w:ind w:firstLine="422" w:firstLineChars="200"/>
              <w:rPr>
                <w:b/>
              </w:rPr>
            </w:pPr>
            <w:r>
              <w:rPr>
                <w:rFonts w:hint="eastAsia"/>
                <w:b/>
              </w:rPr>
              <w:t>二、项目进度安排</w:t>
            </w:r>
          </w:p>
          <w:p>
            <w:pPr>
              <w:spacing w:line="276" w:lineRule="auto"/>
              <w:ind w:firstLine="420" w:firstLineChars="200"/>
            </w:pPr>
            <w:r>
              <w:rPr>
                <w:rFonts w:hint="eastAsia"/>
              </w:rPr>
              <w:t>中标方应按质、按量推进项目工作（详见下表）。中标方项目组成员应按采购方的要求参加本项目审查和讨论的全部工作会议。</w:t>
            </w:r>
          </w:p>
          <w:p>
            <w:pPr>
              <w:spacing w:line="276" w:lineRule="auto"/>
              <w:ind w:firstLine="361" w:firstLineChars="200"/>
              <w:jc w:val="center"/>
              <w:rPr>
                <w:b/>
                <w:bCs/>
                <w:sz w:val="18"/>
                <w:szCs w:val="18"/>
              </w:rPr>
            </w:pPr>
            <w:r>
              <w:rPr>
                <w:rFonts w:hint="eastAsia"/>
                <w:b/>
                <w:bCs/>
                <w:sz w:val="18"/>
                <w:szCs w:val="18"/>
              </w:rPr>
              <w:t>项目进度具体安排表</w:t>
            </w:r>
          </w:p>
          <w:tbl>
            <w:tblPr>
              <w:tblStyle w:val="6"/>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214"/>
              <w:gridCol w:w="3643"/>
              <w:gridCol w:w="2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shd w:val="clear" w:color="auto" w:fill="BEBEBE" w:themeFill="background1" w:themeFillShade="BF"/>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序号</w:t>
                  </w:r>
                </w:p>
              </w:tc>
              <w:tc>
                <w:tcPr>
                  <w:tcW w:w="2214" w:type="dxa"/>
                  <w:shd w:val="clear" w:color="auto" w:fill="BEBEBE" w:themeFill="background1" w:themeFillShade="BF"/>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工作阶段</w:t>
                  </w:r>
                </w:p>
              </w:tc>
              <w:tc>
                <w:tcPr>
                  <w:tcW w:w="3643" w:type="dxa"/>
                  <w:shd w:val="clear" w:color="auto" w:fill="BEBEBE" w:themeFill="background1" w:themeFillShade="BF"/>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工作内容</w:t>
                  </w:r>
                </w:p>
              </w:tc>
              <w:tc>
                <w:tcPr>
                  <w:tcW w:w="2506" w:type="dxa"/>
                  <w:shd w:val="clear" w:color="auto" w:fill="BEBEBE" w:themeFill="background1" w:themeFillShade="BF"/>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时间进度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restart"/>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1</w:t>
                  </w:r>
                </w:p>
              </w:tc>
              <w:tc>
                <w:tcPr>
                  <w:tcW w:w="2214" w:type="dxa"/>
                  <w:vMerge w:val="restart"/>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前期准备</w:t>
                  </w: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国内外相关资料收集与分析</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三调等现有相关数据关联与整合</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restart"/>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2</w:t>
                  </w:r>
                </w:p>
              </w:tc>
              <w:tc>
                <w:tcPr>
                  <w:tcW w:w="2214" w:type="dxa"/>
                  <w:vMerge w:val="restart"/>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全类型自然资源资产清查</w:t>
                  </w: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森林资源资产清查</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合同签订第2-4月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水资源资产清查</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合同签订第2-4月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湿地资源资产清查</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合同签订第2-4月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矿产资源资产清查</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合同签订第2-4月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海洋资源资产清查</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合同签订第2-4月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自然资源资产数据库建设</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合同签订第2-4月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3</w:t>
                  </w:r>
                </w:p>
              </w:tc>
              <w:tc>
                <w:tcPr>
                  <w:tcW w:w="2214"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全类型自然资源资产统计</w:t>
                  </w: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根据土地、森林、湿地、矿产、海洋和水资源统计指标体系和报表体系，对全类型自然资源资产进行统计</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4</w:t>
                  </w:r>
                </w:p>
              </w:tc>
              <w:tc>
                <w:tcPr>
                  <w:tcW w:w="2214"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海洋资源评估核算技术方法专题研究</w:t>
                  </w: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开展“海洋资源评估核算技术方法专题研究”及报告撰写</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合同签订第1-4月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restart"/>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5</w:t>
                  </w:r>
                </w:p>
              </w:tc>
              <w:tc>
                <w:tcPr>
                  <w:tcW w:w="2214" w:type="dxa"/>
                  <w:vMerge w:val="restart"/>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全类型自然资源资产评估核算数据采集</w:t>
                  </w: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土地资源资产评估核算数据采集</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合同签订第5-7月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森林资源资产评估核算数据采集</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合同签订第5-7月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湿地资源资产评估核算数据采集</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合同签订第5-7月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矿产资源资产评估核算数据采集</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合同签订第5-7月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水资源资产评估核算数据采集</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合同签订第5-7月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海洋资源资产评估核算数据采集</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合同签订第5-7月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数据采集成果处理、整合</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合同签订第5-7月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restart"/>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6</w:t>
                  </w:r>
                </w:p>
              </w:tc>
              <w:tc>
                <w:tcPr>
                  <w:tcW w:w="2214" w:type="dxa"/>
                  <w:vMerge w:val="restart"/>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全类型自然资源资产评估与核算</w:t>
                  </w: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土地资源资产评估与核算</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合同签订第8-10月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森林资源资产评估与核算</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合同签订第8-10月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湿地资源资产评估与核算</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合同签订第8-10月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矿产资源资产评估与核算</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合同签订第8-10月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水资源资产评估与核算</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合同签订第8-10月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Merge w:val="continue"/>
                </w:tcPr>
                <w:p>
                  <w:pPr>
                    <w:widowControl/>
                    <w:jc w:val="left"/>
                    <w:rPr>
                      <w:rFonts w:ascii="宋体" w:hAnsi="宋体" w:cs="宋体"/>
                      <w:color w:val="000000"/>
                      <w:kern w:val="0"/>
                      <w:sz w:val="15"/>
                      <w:szCs w:val="15"/>
                    </w:rPr>
                  </w:pPr>
                </w:p>
              </w:tc>
              <w:tc>
                <w:tcPr>
                  <w:tcW w:w="2214" w:type="dxa"/>
                  <w:vMerge w:val="continue"/>
                </w:tcPr>
                <w:p>
                  <w:pPr>
                    <w:widowControl/>
                    <w:jc w:val="left"/>
                    <w:rPr>
                      <w:rFonts w:ascii="宋体" w:hAnsi="宋体" w:cs="宋体"/>
                      <w:color w:val="000000"/>
                      <w:kern w:val="0"/>
                      <w:sz w:val="15"/>
                      <w:szCs w:val="15"/>
                    </w:rPr>
                  </w:pP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海洋资源资产评估与核算</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合同签订第8-10月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7</w:t>
                  </w:r>
                </w:p>
              </w:tc>
              <w:tc>
                <w:tcPr>
                  <w:tcW w:w="2214"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全类型自然资源资产负债表/平衡表编制</w:t>
                  </w: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基于“主表+辅表+基础数据表”模式编制全类型自然资源资产负债表/平衡表</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合同签订第10-11月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8</w:t>
                  </w:r>
                </w:p>
              </w:tc>
              <w:tc>
                <w:tcPr>
                  <w:tcW w:w="2214"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研究报告撰写</w:t>
                  </w: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开展“评估核算报告”、“成果应用报告”撰写</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合同签订第10-11月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9</w:t>
                  </w:r>
                </w:p>
              </w:tc>
              <w:tc>
                <w:tcPr>
                  <w:tcW w:w="2214"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专家论证</w:t>
                  </w:r>
                </w:p>
              </w:tc>
              <w:tc>
                <w:tcPr>
                  <w:tcW w:w="3643" w:type="dxa"/>
                </w:tcPr>
                <w:p>
                  <w:pPr>
                    <w:widowControl/>
                    <w:jc w:val="left"/>
                    <w:rPr>
                      <w:rFonts w:hint="default" w:ascii="宋体" w:hAnsi="宋体" w:eastAsia="宋体" w:cs="宋体"/>
                      <w:color w:val="000000"/>
                      <w:kern w:val="0"/>
                      <w:sz w:val="15"/>
                      <w:szCs w:val="15"/>
                      <w:lang w:val="en-US" w:eastAsia="zh-CN"/>
                    </w:rPr>
                  </w:pPr>
                  <w:r>
                    <w:rPr>
                      <w:rFonts w:hint="eastAsia" w:ascii="宋体" w:hAnsi="宋体" w:cs="宋体"/>
                      <w:color w:val="000000"/>
                      <w:kern w:val="0"/>
                      <w:sz w:val="15"/>
                      <w:szCs w:val="15"/>
                    </w:rPr>
                    <w:t>组织专家对研究成果进行论证</w:t>
                  </w:r>
                  <w:r>
                    <w:rPr>
                      <w:rFonts w:hint="eastAsia" w:ascii="宋体" w:hAnsi="宋体" w:cs="宋体"/>
                      <w:color w:val="000000"/>
                      <w:kern w:val="0"/>
                      <w:sz w:val="15"/>
                      <w:szCs w:val="15"/>
                      <w:lang w:eastAsia="zh-CN"/>
                    </w:rPr>
                    <w:t>、</w:t>
                  </w:r>
                  <w:r>
                    <w:rPr>
                      <w:rFonts w:hint="eastAsia" w:ascii="宋体" w:hAnsi="宋体" w:cs="宋体"/>
                      <w:color w:val="000000"/>
                      <w:kern w:val="0"/>
                      <w:sz w:val="15"/>
                      <w:szCs w:val="15"/>
                      <w:lang w:val="en-US" w:eastAsia="zh-CN"/>
                    </w:rPr>
                    <w:t>验收</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合同签订第12个月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10</w:t>
                  </w:r>
                </w:p>
              </w:tc>
              <w:tc>
                <w:tcPr>
                  <w:tcW w:w="2214"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成果完善</w:t>
                  </w:r>
                </w:p>
              </w:tc>
              <w:tc>
                <w:tcPr>
                  <w:tcW w:w="3643"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完善项目成果</w:t>
                  </w:r>
                </w:p>
              </w:tc>
              <w:tc>
                <w:tcPr>
                  <w:tcW w:w="2506" w:type="dxa"/>
                </w:tcPr>
                <w:p>
                  <w:pPr>
                    <w:widowControl/>
                    <w:jc w:val="left"/>
                    <w:rPr>
                      <w:rFonts w:ascii="宋体" w:hAnsi="宋体" w:cs="宋体"/>
                      <w:color w:val="000000"/>
                      <w:kern w:val="0"/>
                      <w:sz w:val="15"/>
                      <w:szCs w:val="15"/>
                    </w:rPr>
                  </w:pPr>
                  <w:r>
                    <w:rPr>
                      <w:rFonts w:hint="eastAsia" w:ascii="宋体" w:hAnsi="宋体" w:cs="宋体"/>
                      <w:color w:val="000000"/>
                      <w:kern w:val="0"/>
                      <w:sz w:val="15"/>
                      <w:szCs w:val="15"/>
                    </w:rPr>
                    <w:t>合同签订第12个月</w:t>
                  </w:r>
                </w:p>
              </w:tc>
            </w:tr>
          </w:tbl>
          <w:p>
            <w:pPr>
              <w:spacing w:line="276" w:lineRule="auto"/>
            </w:pPr>
          </w:p>
          <w:p>
            <w:pPr>
              <w:spacing w:line="276" w:lineRule="auto"/>
              <w:ind w:firstLine="422" w:firstLineChars="200"/>
              <w:rPr>
                <w:b/>
              </w:rPr>
            </w:pPr>
            <w:r>
              <w:rPr>
                <w:rFonts w:hint="eastAsia"/>
                <w:b/>
              </w:rPr>
              <w:t>三、付款方式</w:t>
            </w:r>
          </w:p>
          <w:p>
            <w:pPr>
              <w:spacing w:line="276" w:lineRule="auto"/>
              <w:ind w:firstLine="420" w:firstLineChars="200"/>
            </w:pPr>
            <w:r>
              <w:rPr>
                <w:rFonts w:hint="eastAsia"/>
              </w:rPr>
              <w:t>合同签订后，支付项目</w:t>
            </w:r>
            <w:r>
              <w:rPr>
                <w:rFonts w:hint="eastAsia"/>
                <w:lang w:val="en-US" w:eastAsia="zh-CN"/>
              </w:rPr>
              <w:t>合同金额</w:t>
            </w:r>
            <w:r>
              <w:rPr>
                <w:rFonts w:hint="eastAsia"/>
              </w:rPr>
              <w:t>的10%；中标方</w:t>
            </w:r>
            <w:r>
              <w:rPr>
                <w:rFonts w:hint="eastAsia"/>
                <w:lang w:val="en-US" w:eastAsia="zh-CN"/>
              </w:rPr>
              <w:t>完成</w:t>
            </w:r>
            <w:r>
              <w:rPr>
                <w:rFonts w:hint="eastAsia"/>
              </w:rPr>
              <w:t>全类型自然资源资产清查</w:t>
            </w:r>
            <w:r>
              <w:rPr>
                <w:rFonts w:hint="eastAsia"/>
                <w:lang w:val="en-US" w:eastAsia="zh-CN"/>
              </w:rPr>
              <w:t>后，经采购人负责项目的处室认定后</w:t>
            </w:r>
            <w:r>
              <w:rPr>
                <w:rFonts w:hint="eastAsia"/>
              </w:rPr>
              <w:t>，支付项目</w:t>
            </w:r>
            <w:r>
              <w:rPr>
                <w:rFonts w:hint="eastAsia"/>
                <w:lang w:val="en-US" w:eastAsia="zh-CN"/>
              </w:rPr>
              <w:t>合同金额</w:t>
            </w:r>
            <w:r>
              <w:rPr>
                <w:rFonts w:hint="eastAsia"/>
              </w:rPr>
              <w:t>的</w:t>
            </w:r>
            <w:r>
              <w:rPr>
                <w:rFonts w:hint="eastAsia"/>
                <w:lang w:val="en-US" w:eastAsia="zh-CN"/>
              </w:rPr>
              <w:t>2</w:t>
            </w:r>
            <w:r>
              <w:rPr>
                <w:rFonts w:hint="eastAsia"/>
              </w:rPr>
              <w:t>0%；中标方提交</w:t>
            </w:r>
            <w:r>
              <w:rPr>
                <w:rFonts w:hint="eastAsia"/>
                <w:lang w:val="en-US" w:eastAsia="zh-CN"/>
              </w:rPr>
              <w:t>初步成果经专家论证后，支付合同金额的4</w:t>
            </w:r>
            <w:r>
              <w:rPr>
                <w:rFonts w:hint="eastAsia"/>
              </w:rPr>
              <w:t>0%；</w:t>
            </w:r>
            <w:r>
              <w:rPr>
                <w:rFonts w:hint="eastAsia"/>
                <w:lang w:val="en-US" w:eastAsia="zh-CN"/>
              </w:rPr>
              <w:t>完成</w:t>
            </w:r>
            <w:r>
              <w:rPr>
                <w:rFonts w:hint="eastAsia"/>
              </w:rPr>
              <w:t>全部项目成果并经验收通过后，支付余款。</w:t>
            </w:r>
          </w:p>
          <w:p>
            <w:pPr>
              <w:spacing w:line="276" w:lineRule="auto"/>
              <w:ind w:firstLine="422" w:firstLineChars="200"/>
              <w:rPr>
                <w:b/>
              </w:rPr>
            </w:pPr>
            <w:r>
              <w:rPr>
                <w:rFonts w:hint="eastAsia"/>
                <w:b/>
              </w:rPr>
              <w:t>四、成果验收</w:t>
            </w:r>
          </w:p>
          <w:p>
            <w:pPr>
              <w:ind w:firstLine="420" w:firstLineChars="200"/>
              <w:rPr>
                <w:rFonts w:ascii="仿宋_GB2312" w:eastAsia="仿宋_GB2312" w:cs="仿宋_GB2312"/>
                <w:kern w:val="0"/>
                <w:sz w:val="24"/>
                <w:lang w:val="zh-CN"/>
              </w:rPr>
            </w:pPr>
            <w:r>
              <w:rPr>
                <w:rFonts w:hint="eastAsia" w:ascii="宋体" w:hAnsi="宋体"/>
                <w:bCs/>
                <w:lang w:val="en-US" w:eastAsia="zh-CN"/>
              </w:rPr>
              <w:t>经</w:t>
            </w:r>
            <w:r>
              <w:rPr>
                <w:rFonts w:hint="eastAsia" w:ascii="宋体" w:hAnsi="宋体"/>
                <w:bCs/>
              </w:rPr>
              <w:t>专家论证</w:t>
            </w:r>
            <w:r>
              <w:rPr>
                <w:rFonts w:hint="eastAsia" w:ascii="宋体" w:hAnsi="宋体"/>
                <w:bCs/>
                <w:lang w:val="en-US" w:eastAsia="zh-CN"/>
              </w:rPr>
              <w:t>后，由市规划和自然资源局召开局业会</w:t>
            </w:r>
            <w:r>
              <w:rPr>
                <w:rFonts w:hint="eastAsia" w:ascii="宋体" w:hAnsi="宋体"/>
                <w:bCs/>
              </w:rPr>
              <w:t>对</w:t>
            </w:r>
            <w:bookmarkStart w:id="4" w:name="_GoBack"/>
            <w:bookmarkEnd w:id="4"/>
            <w:r>
              <w:rPr>
                <w:rFonts w:hint="eastAsia"/>
              </w:rPr>
              <w:t>项目成果进行验收，</w:t>
            </w:r>
            <w:r>
              <w:rPr>
                <w:rFonts w:hint="eastAsia" w:ascii="宋体" w:hAnsi="宋体"/>
                <w:bCs/>
              </w:rPr>
              <w:t>成果验收合格的标志为通过相应审查。</w:t>
            </w:r>
          </w:p>
          <w:p>
            <w:pPr>
              <w:spacing w:line="276" w:lineRule="auto"/>
              <w:ind w:firstLine="422" w:firstLineChars="200"/>
              <w:rPr>
                <w:b/>
              </w:rPr>
            </w:pPr>
            <w:r>
              <w:rPr>
                <w:rFonts w:hint="eastAsia"/>
                <w:b/>
              </w:rPr>
              <w:t>五、售后服务要求</w:t>
            </w:r>
          </w:p>
          <w:p>
            <w:pPr>
              <w:spacing w:line="276" w:lineRule="auto"/>
              <w:ind w:firstLine="420" w:firstLineChars="200"/>
            </w:pPr>
            <w:r>
              <w:rPr>
                <w:rFonts w:hint="eastAsia"/>
              </w:rPr>
              <w:t>1. 售后服务期限从最后成果提交采购人之日起一年；</w:t>
            </w:r>
          </w:p>
          <w:p>
            <w:pPr>
              <w:spacing w:line="276" w:lineRule="auto"/>
              <w:ind w:firstLine="420" w:firstLineChars="200"/>
              <w:rPr>
                <w:rFonts w:ascii="宋体" w:hAnsi="宋体"/>
                <w:szCs w:val="21"/>
              </w:rPr>
            </w:pPr>
            <w:r>
              <w:rPr>
                <w:rFonts w:hint="eastAsia"/>
              </w:rPr>
              <w:t xml:space="preserve">2. </w:t>
            </w:r>
            <w:r>
              <w:rPr>
                <w:rFonts w:hint="eastAsia" w:ascii="宋体" w:hAnsi="宋体"/>
                <w:szCs w:val="21"/>
              </w:rPr>
              <w:t>提交售后服务承诺书，并加盖供应商的单位公章；</w:t>
            </w:r>
          </w:p>
          <w:p>
            <w:pPr>
              <w:spacing w:line="276" w:lineRule="auto"/>
              <w:ind w:firstLine="420" w:firstLineChars="200"/>
            </w:pPr>
            <w:r>
              <w:rPr>
                <w:rFonts w:hint="eastAsia"/>
              </w:rPr>
              <w:t>3. 在</w:t>
            </w:r>
            <w:bookmarkStart w:id="3" w:name="_toc395540349"/>
            <w:r>
              <w:rPr>
                <w:rFonts w:hint="eastAsia"/>
              </w:rPr>
              <w:t>售后服务期限内提供相关咨询、协调、项目审查和报告更新等技术支持；</w:t>
            </w:r>
          </w:p>
          <w:p>
            <w:pPr>
              <w:spacing w:line="276" w:lineRule="auto"/>
              <w:ind w:firstLine="420" w:firstLineChars="200"/>
              <w:rPr>
                <w:rFonts w:ascii="宋体" w:hAnsi="宋体"/>
                <w:szCs w:val="21"/>
              </w:rPr>
            </w:pPr>
            <w:r>
              <w:rPr>
                <w:rFonts w:hint="eastAsia" w:ascii="宋体" w:hAnsi="宋体"/>
                <w:szCs w:val="21"/>
              </w:rPr>
              <w:t>4. 安排专人负责售后技术支持，并提供其联系手机、电话、传真、email；如人员需要调整应及时通知采购人。</w:t>
            </w:r>
            <w:bookmarkEnd w:id="3"/>
          </w:p>
          <w:p>
            <w:pPr>
              <w:ind w:firstLine="422" w:firstLineChars="200"/>
              <w:rPr>
                <w:rFonts w:ascii="宋体" w:hAnsi="宋体"/>
                <w:b/>
                <w:bCs/>
              </w:rPr>
            </w:pPr>
            <w:r>
              <w:rPr>
                <w:rFonts w:hint="eastAsia" w:ascii="宋体" w:hAnsi="宋体"/>
                <w:b/>
                <w:bCs/>
              </w:rPr>
              <w:t>六、其他要求</w:t>
            </w:r>
          </w:p>
          <w:p>
            <w:pPr>
              <w:ind w:firstLine="420" w:firstLineChars="200"/>
              <w:rPr>
                <w:rFonts w:ascii="宋体" w:hAnsi="宋体"/>
                <w:bCs/>
              </w:rPr>
            </w:pPr>
            <w:r>
              <w:rPr>
                <w:rFonts w:hint="eastAsia" w:ascii="宋体" w:hAnsi="宋体"/>
                <w:bCs/>
              </w:rPr>
              <w:t>1.供应商应确保投标文件中的人员信息及所提交资料的真实、有效。</w:t>
            </w:r>
          </w:p>
          <w:p>
            <w:pPr>
              <w:spacing w:line="276" w:lineRule="auto"/>
              <w:ind w:firstLine="420" w:firstLineChars="200"/>
            </w:pPr>
            <w:r>
              <w:rPr>
                <w:rFonts w:hint="eastAsia" w:ascii="宋体" w:hAnsi="宋体"/>
                <w:bCs/>
              </w:rPr>
              <w:t>2.供应商必须保守国家机密，不得泄漏采购方所提供的属国家秘密的信息和数据；未经采购方允许，未不得向第三方提供本项目的相关信息或数据。</w:t>
            </w:r>
          </w:p>
        </w:tc>
      </w:tr>
    </w:tbl>
    <w:p>
      <w:pPr>
        <w:spacing w:line="20" w:lineRule="exact"/>
        <w:rPr>
          <w:rFonts w:ascii="仿宋_GB2312" w:hAnsi="仿宋_GB2312" w:eastAsia="仿宋_GB2312"/>
          <w:sz w:val="28"/>
        </w:rPr>
      </w:pPr>
    </w:p>
    <w:p/>
    <w:sectPr>
      <w:pgSz w:w="11906" w:h="16838"/>
      <w:pgMar w:top="1440" w:right="1134"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 Yb 2gj">
    <w:altName w:val="黑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86D11"/>
    <w:multiLevelType w:val="multilevel"/>
    <w:tmpl w:val="2FA86D1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F74"/>
    <w:rsid w:val="00007F74"/>
    <w:rsid w:val="0002058C"/>
    <w:rsid w:val="000222CB"/>
    <w:rsid w:val="00037EDA"/>
    <w:rsid w:val="00076220"/>
    <w:rsid w:val="000A44FA"/>
    <w:rsid w:val="000A5CEF"/>
    <w:rsid w:val="000C43AE"/>
    <w:rsid w:val="001162B7"/>
    <w:rsid w:val="001754E8"/>
    <w:rsid w:val="00195048"/>
    <w:rsid w:val="001A1A52"/>
    <w:rsid w:val="001A4674"/>
    <w:rsid w:val="001B1D0C"/>
    <w:rsid w:val="001C53C2"/>
    <w:rsid w:val="0027254A"/>
    <w:rsid w:val="002B201A"/>
    <w:rsid w:val="002B368E"/>
    <w:rsid w:val="002E04F3"/>
    <w:rsid w:val="002F1A86"/>
    <w:rsid w:val="003060AE"/>
    <w:rsid w:val="00310B08"/>
    <w:rsid w:val="00346A19"/>
    <w:rsid w:val="003B2742"/>
    <w:rsid w:val="003D2FD4"/>
    <w:rsid w:val="003E010B"/>
    <w:rsid w:val="00407CE1"/>
    <w:rsid w:val="00473E66"/>
    <w:rsid w:val="00485FE2"/>
    <w:rsid w:val="004951FE"/>
    <w:rsid w:val="004B4031"/>
    <w:rsid w:val="004E786D"/>
    <w:rsid w:val="0054115A"/>
    <w:rsid w:val="00560BD2"/>
    <w:rsid w:val="005D5FEE"/>
    <w:rsid w:val="005F2047"/>
    <w:rsid w:val="00617562"/>
    <w:rsid w:val="006201F2"/>
    <w:rsid w:val="00626227"/>
    <w:rsid w:val="00642015"/>
    <w:rsid w:val="0064632A"/>
    <w:rsid w:val="006704FA"/>
    <w:rsid w:val="006A2A5C"/>
    <w:rsid w:val="006F5280"/>
    <w:rsid w:val="0071669C"/>
    <w:rsid w:val="00723C25"/>
    <w:rsid w:val="0072565F"/>
    <w:rsid w:val="007B0254"/>
    <w:rsid w:val="007B4A5B"/>
    <w:rsid w:val="007B71A5"/>
    <w:rsid w:val="008007AE"/>
    <w:rsid w:val="00805E38"/>
    <w:rsid w:val="008411F5"/>
    <w:rsid w:val="0085377E"/>
    <w:rsid w:val="0085705C"/>
    <w:rsid w:val="00886C85"/>
    <w:rsid w:val="008A7B65"/>
    <w:rsid w:val="008B3924"/>
    <w:rsid w:val="008B5192"/>
    <w:rsid w:val="008D4FF6"/>
    <w:rsid w:val="008D5B39"/>
    <w:rsid w:val="008E5971"/>
    <w:rsid w:val="008F452A"/>
    <w:rsid w:val="00924D7E"/>
    <w:rsid w:val="00926DE6"/>
    <w:rsid w:val="0097279A"/>
    <w:rsid w:val="00974314"/>
    <w:rsid w:val="00981854"/>
    <w:rsid w:val="009949F6"/>
    <w:rsid w:val="009B0364"/>
    <w:rsid w:val="009C566A"/>
    <w:rsid w:val="009F3B77"/>
    <w:rsid w:val="00A15D69"/>
    <w:rsid w:val="00A16F2F"/>
    <w:rsid w:val="00A4281B"/>
    <w:rsid w:val="00A7675D"/>
    <w:rsid w:val="00A85C70"/>
    <w:rsid w:val="00AA1435"/>
    <w:rsid w:val="00AA3214"/>
    <w:rsid w:val="00AB1CD8"/>
    <w:rsid w:val="00AE2C88"/>
    <w:rsid w:val="00AF4DA3"/>
    <w:rsid w:val="00B2201E"/>
    <w:rsid w:val="00B27C80"/>
    <w:rsid w:val="00B44CB8"/>
    <w:rsid w:val="00BB3895"/>
    <w:rsid w:val="00BB7C4B"/>
    <w:rsid w:val="00BE223B"/>
    <w:rsid w:val="00BE2F8D"/>
    <w:rsid w:val="00BE45D5"/>
    <w:rsid w:val="00BF3849"/>
    <w:rsid w:val="00BF5C64"/>
    <w:rsid w:val="00C23CEB"/>
    <w:rsid w:val="00C80C1C"/>
    <w:rsid w:val="00CD6C23"/>
    <w:rsid w:val="00CF05D2"/>
    <w:rsid w:val="00D117CB"/>
    <w:rsid w:val="00D259F3"/>
    <w:rsid w:val="00D53C4D"/>
    <w:rsid w:val="00DD7C22"/>
    <w:rsid w:val="00DE2112"/>
    <w:rsid w:val="00E145E4"/>
    <w:rsid w:val="00E67826"/>
    <w:rsid w:val="00E80EE9"/>
    <w:rsid w:val="00F12AD3"/>
    <w:rsid w:val="00F12B61"/>
    <w:rsid w:val="00F576C1"/>
    <w:rsid w:val="00F629C0"/>
    <w:rsid w:val="00F644A8"/>
    <w:rsid w:val="00F870B4"/>
    <w:rsid w:val="00FB4C36"/>
    <w:rsid w:val="00FC1C5D"/>
    <w:rsid w:val="00FC383F"/>
    <w:rsid w:val="00FC3921"/>
    <w:rsid w:val="00FC47A7"/>
    <w:rsid w:val="00FC600D"/>
    <w:rsid w:val="00FD0B8C"/>
    <w:rsid w:val="00FF003B"/>
    <w:rsid w:val="03662E69"/>
    <w:rsid w:val="0E284349"/>
    <w:rsid w:val="0E7638C7"/>
    <w:rsid w:val="465E27C4"/>
    <w:rsid w:val="4EDA06D6"/>
    <w:rsid w:val="52176F2E"/>
    <w:rsid w:val="58C01EB5"/>
    <w:rsid w:val="622D5126"/>
    <w:rsid w:val="69075313"/>
    <w:rsid w:val="691829D8"/>
    <w:rsid w:val="73671301"/>
    <w:rsid w:val="76B70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H Yb 2gj" w:hAnsi="Calibri" w:eastAsia="H Yb 2gj" w:cs="H Yb 2gj"/>
      <w:color w:val="000000"/>
      <w:sz w:val="24"/>
      <w:szCs w:val="24"/>
      <w:lang w:val="en-US" w:eastAsia="zh-CN" w:bidi="ar-SA"/>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8">
    <w:name w:val="页眉 字符"/>
    <w:basedOn w:val="7"/>
    <w:link w:val="4"/>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firstLine="420" w:firstLineChars="200"/>
    </w:pPr>
  </w:style>
  <w:style w:type="paragraph" w:customStyle="1" w:styleId="11">
    <w:name w:val="Char"/>
    <w:basedOn w:val="1"/>
    <w:qFormat/>
    <w:uiPriority w:val="0"/>
    <w:pPr>
      <w:widowControl/>
      <w:spacing w:after="160" w:line="240" w:lineRule="exact"/>
      <w:jc w:val="left"/>
    </w:pPr>
    <w:rPr>
      <w:rFonts w:ascii="Verdana" w:hAnsi="Verdana" w:eastAsia="仿宋_GB2312"/>
      <w:kern w:val="0"/>
      <w:sz w:val="24"/>
      <w:szCs w:val="2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1362</Words>
  <Characters>7765</Characters>
  <Lines>64</Lines>
  <Paragraphs>18</Paragraphs>
  <TotalTime>11</TotalTime>
  <ScaleCrop>false</ScaleCrop>
  <LinksUpToDate>false</LinksUpToDate>
  <CharactersWithSpaces>9109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2021-01-26T02:44:00Z</dcterms:created>
  <dc:creator>user</dc:creator>
  <cp:lastModifiedBy>null</cp:lastModifiedBy>
  <dcterms:modified xsi:type="dcterms:W3CDTF">2021-02-09T03:03:35Z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